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E8F49C" w14:textId="77777777" w:rsidR="00A87864" w:rsidRPr="009D6FED" w:rsidRDefault="00A87864" w:rsidP="00E470DA">
      <w:pPr>
        <w:spacing w:after="0" w:line="240" w:lineRule="auto"/>
        <w:jc w:val="center"/>
        <w:rPr>
          <w:rFonts w:ascii="Times New Roman" w:hAnsi="Times New Roman"/>
          <w:b/>
          <w:sz w:val="24"/>
          <w:szCs w:val="24"/>
          <w:lang w:val="en-US"/>
        </w:rPr>
      </w:pPr>
    </w:p>
    <w:p w14:paraId="16FCD034" w14:textId="77777777" w:rsidR="00A87864" w:rsidRPr="006A595A" w:rsidRDefault="001139B1" w:rsidP="00E470DA">
      <w:pPr>
        <w:spacing w:after="0" w:line="240" w:lineRule="auto"/>
        <w:jc w:val="center"/>
        <w:rPr>
          <w:rFonts w:ascii="Times New Roman" w:hAnsi="Times New Roman"/>
          <w:b/>
          <w:sz w:val="24"/>
          <w:szCs w:val="24"/>
        </w:rPr>
      </w:pPr>
      <w:r w:rsidRPr="006A595A">
        <w:rPr>
          <w:rFonts w:ascii="Times New Roman" w:hAnsi="Times New Roman"/>
          <w:b/>
          <w:sz w:val="24"/>
          <w:szCs w:val="24"/>
        </w:rPr>
        <w:t>Lietuvos Respublikos ambasada Latvijos Respublikoje</w:t>
      </w:r>
    </w:p>
    <w:p w14:paraId="7BCC11F6" w14:textId="77777777" w:rsidR="00A87864" w:rsidRPr="006A595A" w:rsidRDefault="00A87864" w:rsidP="00E470DA">
      <w:pPr>
        <w:spacing w:after="0" w:line="240" w:lineRule="auto"/>
        <w:jc w:val="center"/>
        <w:rPr>
          <w:rFonts w:ascii="Times New Roman" w:hAnsi="Times New Roman"/>
          <w:sz w:val="24"/>
          <w:szCs w:val="24"/>
        </w:rPr>
      </w:pPr>
    </w:p>
    <w:p w14:paraId="5ED9F79C" w14:textId="0C337788" w:rsidR="00A87864" w:rsidRPr="006A595A" w:rsidRDefault="004D7FE6" w:rsidP="00E470DA">
      <w:pPr>
        <w:jc w:val="center"/>
        <w:rPr>
          <w:rFonts w:ascii="Times New Roman" w:hAnsi="Times New Roman"/>
          <w:sz w:val="24"/>
          <w:szCs w:val="24"/>
        </w:rPr>
      </w:pPr>
      <w:r w:rsidRPr="006A595A">
        <w:rPr>
          <w:rFonts w:ascii="Times New Roman" w:hAnsi="Times New Roman"/>
          <w:sz w:val="24"/>
          <w:szCs w:val="24"/>
        </w:rPr>
        <w:t xml:space="preserve">2026 M. </w:t>
      </w:r>
      <w:r w:rsidR="0084722D">
        <w:rPr>
          <w:rFonts w:ascii="Times New Roman" w:hAnsi="Times New Roman"/>
          <w:sz w:val="24"/>
          <w:szCs w:val="24"/>
        </w:rPr>
        <w:t>RUGPJŪČIO 31 - RUGSĖJO 30 D.</w:t>
      </w:r>
      <w:r w:rsidRPr="006A595A">
        <w:rPr>
          <w:rFonts w:ascii="Times New Roman" w:hAnsi="Times New Roman"/>
          <w:sz w:val="24"/>
          <w:szCs w:val="24"/>
        </w:rPr>
        <w:t xml:space="preserve"> AKTUALIOS EKONOMINĖS INFORMACIJOS SUVESTINĖ</w:t>
      </w:r>
    </w:p>
    <w:tbl>
      <w:tblPr>
        <w:tblW w:w="145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48"/>
        <w:gridCol w:w="9037"/>
        <w:gridCol w:w="2370"/>
        <w:gridCol w:w="1615"/>
      </w:tblGrid>
      <w:tr w:rsidR="00B943A9" w:rsidRPr="006A595A" w14:paraId="6AF5595B" w14:textId="77777777" w:rsidTr="004317FE">
        <w:trPr>
          <w:trHeight w:val="385"/>
          <w:tblHeader/>
        </w:trPr>
        <w:tc>
          <w:tcPr>
            <w:tcW w:w="1548" w:type="dxa"/>
            <w:shd w:val="clear" w:color="auto" w:fill="D9EAF7"/>
            <w:tcMar>
              <w:top w:w="90" w:type="dxa"/>
              <w:left w:w="90" w:type="dxa"/>
              <w:bottom w:w="90" w:type="dxa"/>
              <w:right w:w="90" w:type="dxa"/>
            </w:tcMar>
            <w:vAlign w:val="center"/>
          </w:tcPr>
          <w:p w14:paraId="6AFD1594" w14:textId="40344349" w:rsidR="00B943A9" w:rsidRPr="000C618B" w:rsidRDefault="00B943A9" w:rsidP="00E470DA">
            <w:pPr>
              <w:pStyle w:val="Heading1"/>
              <w:spacing w:after="0" w:line="240" w:lineRule="auto"/>
              <w:jc w:val="both"/>
              <w:rPr>
                <w:rFonts w:ascii="Times New Roman" w:hAnsi="Times New Roman" w:cs="Times New Roman"/>
                <w:color w:val="auto"/>
                <w:sz w:val="24"/>
                <w:szCs w:val="24"/>
              </w:rPr>
            </w:pPr>
            <w:r w:rsidRPr="000C618B">
              <w:rPr>
                <w:rFonts w:ascii="Times New Roman" w:hAnsi="Times New Roman" w:cs="Times New Roman"/>
                <w:b/>
                <w:color w:val="auto"/>
                <w:sz w:val="24"/>
                <w:szCs w:val="24"/>
              </w:rPr>
              <w:t>Data</w:t>
            </w:r>
          </w:p>
        </w:tc>
        <w:tc>
          <w:tcPr>
            <w:tcW w:w="9037" w:type="dxa"/>
            <w:shd w:val="clear" w:color="auto" w:fill="D9EAF7"/>
            <w:tcMar>
              <w:top w:w="90" w:type="dxa"/>
              <w:left w:w="90" w:type="dxa"/>
              <w:bottom w:w="90" w:type="dxa"/>
              <w:right w:w="90" w:type="dxa"/>
            </w:tcMar>
            <w:vAlign w:val="center"/>
          </w:tcPr>
          <w:p w14:paraId="0A31BCEA" w14:textId="77777777" w:rsidR="00B943A9" w:rsidRPr="006A595A" w:rsidRDefault="00B943A9" w:rsidP="00E470DA">
            <w:pPr>
              <w:pStyle w:val="Heading1"/>
              <w:spacing w:after="0" w:line="240" w:lineRule="auto"/>
              <w:jc w:val="both"/>
              <w:rPr>
                <w:rFonts w:ascii="Times New Roman" w:hAnsi="Times New Roman" w:cs="Times New Roman"/>
                <w:color w:val="auto"/>
                <w:sz w:val="24"/>
                <w:szCs w:val="24"/>
              </w:rPr>
            </w:pPr>
            <w:r w:rsidRPr="006A595A">
              <w:rPr>
                <w:rFonts w:ascii="Times New Roman" w:hAnsi="Times New Roman" w:cs="Times New Roman"/>
                <w:b/>
                <w:color w:val="auto"/>
                <w:sz w:val="24"/>
                <w:szCs w:val="24"/>
              </w:rPr>
              <w:t>Pateikiamos informacijos apibendrinimas</w:t>
            </w:r>
          </w:p>
        </w:tc>
        <w:tc>
          <w:tcPr>
            <w:tcW w:w="2370" w:type="dxa"/>
            <w:shd w:val="clear" w:color="auto" w:fill="D9EAF7"/>
            <w:tcMar>
              <w:top w:w="90" w:type="dxa"/>
              <w:left w:w="90" w:type="dxa"/>
              <w:bottom w:w="90" w:type="dxa"/>
              <w:right w:w="90" w:type="dxa"/>
            </w:tcMar>
            <w:vAlign w:val="center"/>
          </w:tcPr>
          <w:p w14:paraId="31291116" w14:textId="77777777" w:rsidR="00B943A9" w:rsidRPr="006A595A" w:rsidRDefault="00B943A9" w:rsidP="00E470DA">
            <w:pPr>
              <w:pStyle w:val="Heading1"/>
              <w:spacing w:after="0" w:line="240" w:lineRule="auto"/>
              <w:jc w:val="both"/>
              <w:rPr>
                <w:rFonts w:ascii="Times New Roman" w:hAnsi="Times New Roman" w:cs="Times New Roman"/>
                <w:color w:val="auto"/>
                <w:sz w:val="24"/>
                <w:szCs w:val="24"/>
              </w:rPr>
            </w:pPr>
            <w:r w:rsidRPr="006A595A">
              <w:rPr>
                <w:rFonts w:ascii="Times New Roman" w:hAnsi="Times New Roman" w:cs="Times New Roman"/>
                <w:b/>
                <w:color w:val="auto"/>
                <w:sz w:val="24"/>
                <w:szCs w:val="24"/>
              </w:rPr>
              <w:t>Informacijos šaltinis</w:t>
            </w:r>
          </w:p>
        </w:tc>
        <w:tc>
          <w:tcPr>
            <w:tcW w:w="1615" w:type="dxa"/>
            <w:shd w:val="clear" w:color="auto" w:fill="D9EAF7"/>
            <w:tcMar>
              <w:top w:w="90" w:type="dxa"/>
              <w:left w:w="90" w:type="dxa"/>
              <w:bottom w:w="90" w:type="dxa"/>
              <w:right w:w="90" w:type="dxa"/>
            </w:tcMar>
            <w:vAlign w:val="center"/>
          </w:tcPr>
          <w:p w14:paraId="0F8135B0" w14:textId="77777777" w:rsidR="00B943A9" w:rsidRPr="006A595A" w:rsidRDefault="00B943A9" w:rsidP="00E470DA">
            <w:pPr>
              <w:pStyle w:val="Heading1"/>
              <w:spacing w:after="0" w:line="240" w:lineRule="auto"/>
              <w:jc w:val="both"/>
              <w:rPr>
                <w:rFonts w:ascii="Times New Roman" w:hAnsi="Times New Roman" w:cs="Times New Roman"/>
                <w:color w:val="auto"/>
                <w:sz w:val="24"/>
                <w:szCs w:val="24"/>
              </w:rPr>
            </w:pPr>
            <w:r w:rsidRPr="006A595A">
              <w:rPr>
                <w:rFonts w:ascii="Times New Roman" w:hAnsi="Times New Roman" w:cs="Times New Roman"/>
                <w:b/>
                <w:color w:val="auto"/>
                <w:sz w:val="24"/>
                <w:szCs w:val="24"/>
              </w:rPr>
              <w:t>Pastabos</w:t>
            </w:r>
          </w:p>
        </w:tc>
      </w:tr>
      <w:tr w:rsidR="00014AFB" w14:paraId="6B0362E2" w14:textId="77777777">
        <w:trPr>
          <w:cantSplit/>
        </w:trPr>
        <w:tc>
          <w:tcPr>
            <w:tcW w:w="14570" w:type="dxa"/>
            <w:gridSpan w:val="4"/>
            <w:shd w:val="clear" w:color="auto" w:fill="EAF2F8"/>
            <w:tcMar>
              <w:top w:w="100" w:type="dxa"/>
              <w:left w:w="90" w:type="dxa"/>
              <w:bottom w:w="100" w:type="dxa"/>
              <w:right w:w="90" w:type="dxa"/>
            </w:tcMar>
            <w:vAlign w:val="center"/>
          </w:tcPr>
          <w:p w14:paraId="6171EFA4" w14:textId="7EA59155" w:rsidR="00014AFB" w:rsidRDefault="0084722D">
            <w:pPr>
              <w:keepNext/>
              <w:spacing w:after="0" w:line="240" w:lineRule="auto"/>
              <w:rPr>
                <w:rFonts w:ascii="Times New Roman" w:hAnsi="Times New Roman"/>
                <w:sz w:val="24"/>
                <w:szCs w:val="24"/>
              </w:rPr>
            </w:pPr>
            <w:r w:rsidRPr="000C618B">
              <w:rPr>
                <w:rFonts w:ascii="Times New Roman" w:hAnsi="Times New Roman"/>
                <w:b/>
                <w:sz w:val="24"/>
                <w:szCs w:val="24"/>
              </w:rPr>
              <w:t>Lietuvos eksportuotojams aktuali informacija</w:t>
            </w:r>
          </w:p>
        </w:tc>
      </w:tr>
      <w:tr w:rsidR="00014AFB" w14:paraId="53066F53" w14:textId="77777777">
        <w:tc>
          <w:tcPr>
            <w:tcW w:w="1548" w:type="dxa"/>
            <w:tcMar>
              <w:top w:w="90" w:type="dxa"/>
              <w:left w:w="90" w:type="dxa"/>
              <w:bottom w:w="90" w:type="dxa"/>
              <w:right w:w="90" w:type="dxa"/>
            </w:tcMar>
            <w:vAlign w:val="center"/>
          </w:tcPr>
          <w:p w14:paraId="7BF55F0D" w14:textId="04BD0EF8" w:rsidR="00014AFB" w:rsidRDefault="00861313" w:rsidP="00861313">
            <w:pPr>
              <w:spacing w:after="0" w:line="240" w:lineRule="auto"/>
              <w:jc w:val="center"/>
              <w:rPr>
                <w:rFonts w:ascii="Times New Roman" w:hAnsi="Times New Roman"/>
                <w:sz w:val="24"/>
                <w:szCs w:val="24"/>
              </w:rPr>
            </w:pPr>
            <w:r w:rsidRPr="00861313">
              <w:rPr>
                <w:rFonts w:ascii="Times New Roman" w:hAnsi="Times New Roman"/>
                <w:sz w:val="24"/>
                <w:szCs w:val="24"/>
              </w:rPr>
              <w:t>2026</w:t>
            </w:r>
            <w:r>
              <w:rPr>
                <w:rFonts w:ascii="Times New Roman" w:hAnsi="Times New Roman"/>
                <w:sz w:val="24"/>
                <w:szCs w:val="24"/>
              </w:rPr>
              <w:t>-08-31</w:t>
            </w:r>
          </w:p>
        </w:tc>
        <w:tc>
          <w:tcPr>
            <w:tcW w:w="9037" w:type="dxa"/>
            <w:tcMar>
              <w:top w:w="90" w:type="dxa"/>
              <w:left w:w="90" w:type="dxa"/>
              <w:bottom w:w="90" w:type="dxa"/>
              <w:right w:w="90" w:type="dxa"/>
            </w:tcMar>
            <w:vAlign w:val="center"/>
          </w:tcPr>
          <w:p w14:paraId="0F4C65BE" w14:textId="6972BCFD" w:rsidR="00014AFB" w:rsidRDefault="00000000" w:rsidP="006E1F1F">
            <w:pPr>
              <w:spacing w:after="0" w:line="240" w:lineRule="auto"/>
              <w:jc w:val="both"/>
              <w:rPr>
                <w:rFonts w:ascii="Times New Roman" w:hAnsi="Times New Roman"/>
                <w:sz w:val="24"/>
                <w:szCs w:val="24"/>
              </w:rPr>
            </w:pPr>
            <w:r>
              <w:rPr>
                <w:rFonts w:ascii="Times New Roman" w:hAnsi="Times New Roman"/>
                <w:sz w:val="24"/>
                <w:szCs w:val="24"/>
              </w:rPr>
              <w:t xml:space="preserve">Latvijos ekonomika pirmąjį 2026 m. pusmetį augo 2,8 proc. Antrąjį ketvirtį BVP, palyginti su tuo pačiu 2025 m. laikotarpiu, padidėjo 3 proc., o palyginti su ankstesniu ketvirčiu </w:t>
            </w:r>
            <w:r w:rsidR="000520A3">
              <w:rPr>
                <w:rFonts w:ascii="Times New Roman" w:hAnsi="Times New Roman"/>
                <w:sz w:val="24"/>
                <w:szCs w:val="24"/>
              </w:rPr>
              <w:t>-</w:t>
            </w:r>
            <w:r>
              <w:rPr>
                <w:rFonts w:ascii="Times New Roman" w:hAnsi="Times New Roman"/>
                <w:sz w:val="24"/>
                <w:szCs w:val="24"/>
              </w:rPr>
              <w:t xml:space="preserve"> 0,7 proc. Augimą daugiausia skatino prekyba, apdirbamoji gamyba bei informacinių ir ryšių paslaugų sektorius. Apdirbamosios gamybos pridėtinė vertė išaugo 5,5 proc., mažmeninės prekybos </w:t>
            </w:r>
            <w:r w:rsidR="000520A3">
              <w:rPr>
                <w:rFonts w:ascii="Times New Roman" w:hAnsi="Times New Roman"/>
                <w:sz w:val="24"/>
                <w:szCs w:val="24"/>
              </w:rPr>
              <w:t>-</w:t>
            </w:r>
            <w:r>
              <w:rPr>
                <w:rFonts w:ascii="Times New Roman" w:hAnsi="Times New Roman"/>
                <w:sz w:val="24"/>
                <w:szCs w:val="24"/>
              </w:rPr>
              <w:t xml:space="preserve"> 5,8 proc., didmeninės prekybos </w:t>
            </w:r>
            <w:r w:rsidR="000520A3">
              <w:rPr>
                <w:rFonts w:ascii="Times New Roman" w:hAnsi="Times New Roman"/>
                <w:sz w:val="24"/>
                <w:szCs w:val="24"/>
              </w:rPr>
              <w:t>-</w:t>
            </w:r>
            <w:r>
              <w:rPr>
                <w:rFonts w:ascii="Times New Roman" w:hAnsi="Times New Roman"/>
                <w:sz w:val="24"/>
                <w:szCs w:val="24"/>
              </w:rPr>
              <w:t xml:space="preserve"> 7,4 proc., informacinių ir ryšių paslaugų </w:t>
            </w:r>
            <w:r w:rsidR="000520A3">
              <w:rPr>
                <w:rFonts w:ascii="Times New Roman" w:hAnsi="Times New Roman"/>
                <w:sz w:val="24"/>
                <w:szCs w:val="24"/>
              </w:rPr>
              <w:t>-</w:t>
            </w:r>
            <w:r>
              <w:rPr>
                <w:rFonts w:ascii="Times New Roman" w:hAnsi="Times New Roman"/>
                <w:sz w:val="24"/>
                <w:szCs w:val="24"/>
              </w:rPr>
              <w:t xml:space="preserve"> 8,3 proc. Silpnesni rezultatai fiksuoti transporto ir sandėliavimo, civilinės inžinerijos bei žemės ūkio sektoriuose. </w:t>
            </w:r>
          </w:p>
        </w:tc>
        <w:tc>
          <w:tcPr>
            <w:tcW w:w="2370" w:type="dxa"/>
            <w:tcMar>
              <w:top w:w="90" w:type="dxa"/>
              <w:left w:w="90" w:type="dxa"/>
              <w:bottom w:w="90" w:type="dxa"/>
              <w:right w:w="90" w:type="dxa"/>
            </w:tcMar>
            <w:vAlign w:val="center"/>
          </w:tcPr>
          <w:p w14:paraId="00E7F2C8" w14:textId="77777777" w:rsidR="00014AFB" w:rsidRDefault="00014AFB">
            <w:pPr>
              <w:spacing w:after="0" w:line="240" w:lineRule="auto"/>
              <w:rPr>
                <w:rFonts w:ascii="Times New Roman" w:hAnsi="Times New Roman"/>
                <w:sz w:val="24"/>
                <w:szCs w:val="24"/>
              </w:rPr>
            </w:pPr>
            <w:hyperlink r:id="rId8" w:history="1">
              <w:r>
                <w:rPr>
                  <w:rFonts w:ascii="Times New Roman" w:hAnsi="Times New Roman"/>
                  <w:color w:val="0563C1"/>
                  <w:sz w:val="24"/>
                  <w:szCs w:val="24"/>
                  <w:u w:val="single"/>
                </w:rPr>
                <w:t>1. Latvijos centrinė statistikos valdyba</w:t>
              </w:r>
            </w:hyperlink>
          </w:p>
        </w:tc>
        <w:tc>
          <w:tcPr>
            <w:tcW w:w="1615" w:type="dxa"/>
            <w:tcMar>
              <w:top w:w="90" w:type="dxa"/>
              <w:left w:w="90" w:type="dxa"/>
              <w:bottom w:w="90" w:type="dxa"/>
              <w:right w:w="90" w:type="dxa"/>
            </w:tcMar>
            <w:vAlign w:val="center"/>
          </w:tcPr>
          <w:p w14:paraId="5D59A471" w14:textId="6336DE00" w:rsidR="00014AFB" w:rsidRDefault="00014AFB">
            <w:pPr>
              <w:spacing w:after="0" w:line="240" w:lineRule="auto"/>
              <w:rPr>
                <w:rFonts w:ascii="Times New Roman" w:hAnsi="Times New Roman"/>
                <w:sz w:val="24"/>
                <w:szCs w:val="24"/>
              </w:rPr>
            </w:pPr>
          </w:p>
        </w:tc>
      </w:tr>
      <w:tr w:rsidR="00014AFB" w14:paraId="75D74664" w14:textId="77777777">
        <w:tc>
          <w:tcPr>
            <w:tcW w:w="1548" w:type="dxa"/>
            <w:tcMar>
              <w:top w:w="90" w:type="dxa"/>
              <w:left w:w="90" w:type="dxa"/>
              <w:bottom w:w="90" w:type="dxa"/>
              <w:right w:w="90" w:type="dxa"/>
            </w:tcMar>
            <w:vAlign w:val="center"/>
          </w:tcPr>
          <w:p w14:paraId="38E99427" w14:textId="77777777" w:rsidR="00014AFB" w:rsidRDefault="00000000">
            <w:pPr>
              <w:spacing w:after="0" w:line="240" w:lineRule="auto"/>
              <w:jc w:val="center"/>
              <w:rPr>
                <w:rFonts w:ascii="Times New Roman" w:hAnsi="Times New Roman"/>
                <w:sz w:val="24"/>
                <w:szCs w:val="24"/>
              </w:rPr>
            </w:pPr>
            <w:r>
              <w:rPr>
                <w:rFonts w:ascii="Times New Roman" w:hAnsi="Times New Roman"/>
                <w:sz w:val="24"/>
                <w:szCs w:val="24"/>
              </w:rPr>
              <w:t>2026-08-31</w:t>
            </w:r>
          </w:p>
        </w:tc>
        <w:tc>
          <w:tcPr>
            <w:tcW w:w="9037" w:type="dxa"/>
            <w:tcMar>
              <w:top w:w="90" w:type="dxa"/>
              <w:left w:w="90" w:type="dxa"/>
              <w:bottom w:w="90" w:type="dxa"/>
              <w:right w:w="90" w:type="dxa"/>
            </w:tcMar>
            <w:vAlign w:val="center"/>
          </w:tcPr>
          <w:p w14:paraId="73E55D34" w14:textId="0AC9D387" w:rsidR="00014AFB" w:rsidRDefault="00DA760A" w:rsidP="006E1F1F">
            <w:pPr>
              <w:spacing w:after="0" w:line="240" w:lineRule="auto"/>
              <w:jc w:val="both"/>
              <w:rPr>
                <w:rFonts w:ascii="Times New Roman" w:hAnsi="Times New Roman"/>
                <w:sz w:val="24"/>
                <w:szCs w:val="24"/>
              </w:rPr>
            </w:pPr>
            <w:r w:rsidRPr="00DA760A">
              <w:rPr>
                <w:rFonts w:ascii="Times New Roman" w:hAnsi="Times New Roman"/>
                <w:sz w:val="24"/>
                <w:szCs w:val="24"/>
              </w:rPr>
              <w:t>Sprendimą dėl „Telia“ priklausančių LMT ir „Tet“ akcijų išpirkimo turės priimti po Saeimos rinkimų suformuota Latvijos Vyriausybė</w:t>
            </w:r>
            <w:r w:rsidR="00D23E0A">
              <w:rPr>
                <w:rFonts w:ascii="Times New Roman" w:hAnsi="Times New Roman"/>
                <w:sz w:val="24"/>
                <w:szCs w:val="24"/>
              </w:rPr>
              <w:t>. Tai r</w:t>
            </w:r>
            <w:r w:rsidRPr="00DA760A">
              <w:rPr>
                <w:rFonts w:ascii="Times New Roman" w:hAnsi="Times New Roman"/>
                <w:sz w:val="24"/>
                <w:szCs w:val="24"/>
              </w:rPr>
              <w:t>ugsėjo 30 d.</w:t>
            </w:r>
            <w:r w:rsidR="00D23E0A">
              <w:rPr>
                <w:rFonts w:ascii="Times New Roman" w:hAnsi="Times New Roman"/>
                <w:sz w:val="24"/>
                <w:szCs w:val="24"/>
              </w:rPr>
              <w:t xml:space="preserve"> pranešė</w:t>
            </w:r>
            <w:r w:rsidRPr="00DA760A">
              <w:rPr>
                <w:rFonts w:ascii="Times New Roman" w:hAnsi="Times New Roman"/>
                <w:sz w:val="24"/>
                <w:szCs w:val="24"/>
              </w:rPr>
              <w:t xml:space="preserve"> premjeras Andris Kulbergas </w:t>
            </w:r>
            <w:r w:rsidR="00000000">
              <w:rPr>
                <w:rFonts w:ascii="Times New Roman" w:hAnsi="Times New Roman"/>
                <w:sz w:val="24"/>
                <w:szCs w:val="24"/>
              </w:rPr>
              <w:t xml:space="preserve">„Telia“ sutiko sandorio rengimo terminą pratęsti iki 2026 m. pabaigos. Toliau atliekamas įmonių vertinimas ir vertinami potencialių strateginių investuotojų pasiūlymai. Pagal svarstomą modelį „Latvenergo“, Latvijos valstybinis radijo ir televizijos centras, „Possessor“ ir strateginis investuotojas galėtų valdyti maždaug po ketvirtadalį abiejų bendrovių akcijų. </w:t>
            </w:r>
          </w:p>
        </w:tc>
        <w:tc>
          <w:tcPr>
            <w:tcW w:w="2370" w:type="dxa"/>
            <w:tcMar>
              <w:top w:w="90" w:type="dxa"/>
              <w:left w:w="90" w:type="dxa"/>
              <w:bottom w:w="90" w:type="dxa"/>
              <w:right w:w="90" w:type="dxa"/>
            </w:tcMar>
            <w:vAlign w:val="center"/>
          </w:tcPr>
          <w:p w14:paraId="29E7A0FB" w14:textId="77777777" w:rsidR="00014AFB" w:rsidRDefault="00014AFB">
            <w:pPr>
              <w:spacing w:after="0" w:line="240" w:lineRule="auto"/>
            </w:pPr>
            <w:hyperlink r:id="rId9" w:history="1">
              <w:r>
                <w:rPr>
                  <w:rFonts w:ascii="Times New Roman" w:hAnsi="Times New Roman"/>
                  <w:color w:val="0563C1"/>
                  <w:sz w:val="24"/>
                  <w:szCs w:val="24"/>
                  <w:u w:val="single"/>
                </w:rPr>
                <w:t>1. LSM</w:t>
              </w:r>
            </w:hyperlink>
          </w:p>
          <w:p w14:paraId="41358735" w14:textId="06F6066E" w:rsidR="00DA760A" w:rsidRDefault="00DA760A">
            <w:pPr>
              <w:spacing w:after="0" w:line="240" w:lineRule="auto"/>
              <w:rPr>
                <w:rFonts w:ascii="Times New Roman" w:hAnsi="Times New Roman"/>
                <w:sz w:val="24"/>
                <w:szCs w:val="24"/>
              </w:rPr>
            </w:pPr>
            <w:r>
              <w:t xml:space="preserve">2. </w:t>
            </w:r>
            <w:hyperlink r:id="rId10" w:history="1">
              <w:r w:rsidRPr="00DA760A">
                <w:rPr>
                  <w:rStyle w:val="Hyperlink"/>
                  <w:rFonts w:ascii="Times New Roman" w:hAnsi="Times New Roman"/>
                  <w:sz w:val="24"/>
                  <w:szCs w:val="24"/>
                </w:rPr>
                <w:t>liepajniekiem.lv</w:t>
              </w:r>
            </w:hyperlink>
          </w:p>
        </w:tc>
        <w:tc>
          <w:tcPr>
            <w:tcW w:w="1615" w:type="dxa"/>
            <w:tcMar>
              <w:top w:w="90" w:type="dxa"/>
              <w:left w:w="90" w:type="dxa"/>
              <w:bottom w:w="90" w:type="dxa"/>
              <w:right w:w="90" w:type="dxa"/>
            </w:tcMar>
            <w:vAlign w:val="center"/>
          </w:tcPr>
          <w:p w14:paraId="3D90C4B6" w14:textId="77777777" w:rsidR="00014AFB" w:rsidRDefault="00014AFB">
            <w:pPr>
              <w:spacing w:after="0" w:line="240" w:lineRule="auto"/>
              <w:rPr>
                <w:rFonts w:ascii="Times New Roman" w:hAnsi="Times New Roman"/>
                <w:sz w:val="24"/>
                <w:szCs w:val="24"/>
              </w:rPr>
            </w:pPr>
          </w:p>
        </w:tc>
      </w:tr>
      <w:tr w:rsidR="00014AFB" w14:paraId="372CA321" w14:textId="77777777">
        <w:tc>
          <w:tcPr>
            <w:tcW w:w="1548" w:type="dxa"/>
            <w:tcMar>
              <w:top w:w="90" w:type="dxa"/>
              <w:left w:w="90" w:type="dxa"/>
              <w:bottom w:w="90" w:type="dxa"/>
              <w:right w:w="90" w:type="dxa"/>
            </w:tcMar>
            <w:vAlign w:val="center"/>
          </w:tcPr>
          <w:p w14:paraId="55E09041" w14:textId="51779B12" w:rsidR="00014AFB" w:rsidRDefault="00861313">
            <w:pPr>
              <w:spacing w:after="0" w:line="240" w:lineRule="auto"/>
              <w:jc w:val="center"/>
              <w:rPr>
                <w:rFonts w:ascii="Times New Roman" w:hAnsi="Times New Roman"/>
                <w:sz w:val="24"/>
                <w:szCs w:val="24"/>
              </w:rPr>
            </w:pPr>
            <w:r>
              <w:rPr>
                <w:rFonts w:ascii="Times New Roman" w:hAnsi="Times New Roman"/>
                <w:sz w:val="24"/>
                <w:szCs w:val="24"/>
              </w:rPr>
              <w:t>2026-08-31</w:t>
            </w:r>
          </w:p>
        </w:tc>
        <w:tc>
          <w:tcPr>
            <w:tcW w:w="9037" w:type="dxa"/>
            <w:tcMar>
              <w:top w:w="90" w:type="dxa"/>
              <w:left w:w="90" w:type="dxa"/>
              <w:bottom w:w="90" w:type="dxa"/>
              <w:right w:w="90" w:type="dxa"/>
            </w:tcMar>
            <w:vAlign w:val="center"/>
          </w:tcPr>
          <w:p w14:paraId="742D4102" w14:textId="1EF4D04E" w:rsidR="00014AFB" w:rsidRDefault="00000000" w:rsidP="006E1F1F">
            <w:pPr>
              <w:spacing w:after="0" w:line="240" w:lineRule="auto"/>
              <w:jc w:val="both"/>
              <w:rPr>
                <w:rFonts w:ascii="Times New Roman" w:hAnsi="Times New Roman"/>
                <w:sz w:val="24"/>
                <w:szCs w:val="24"/>
              </w:rPr>
            </w:pPr>
            <w:r>
              <w:rPr>
                <w:rFonts w:ascii="Times New Roman" w:hAnsi="Times New Roman"/>
                <w:sz w:val="24"/>
                <w:szCs w:val="24"/>
              </w:rPr>
              <w:t>Ekonomikos atsigavimo požymius patvirtina ir rugpjūčio verslo apklausa. Verslo pasitikėjimas pagerėjo paslaugų ir statybos sektoriuose, o ypač ryškus pagerėjimas fiksuotas civilinėje inžinerijoje. Mažmeninės prekybos nuotaikos išliko teigiamos, tačiau apdirbamosios gamybos pasitikėjimo rodiklis, nors gerėjo trečią mėnesį iš eilės, tebebuvo neigiamas. Įmonių vertinamas ekonominis neapibrėžtumas gamybos, prekybos ir paslaugų sektoriuose sumažėjo iki žemiausio šių metų lygio.</w:t>
            </w:r>
          </w:p>
        </w:tc>
        <w:tc>
          <w:tcPr>
            <w:tcW w:w="2370" w:type="dxa"/>
            <w:tcMar>
              <w:top w:w="90" w:type="dxa"/>
              <w:left w:w="90" w:type="dxa"/>
              <w:bottom w:w="90" w:type="dxa"/>
              <w:right w:w="90" w:type="dxa"/>
            </w:tcMar>
            <w:vAlign w:val="center"/>
          </w:tcPr>
          <w:p w14:paraId="0723E2D1" w14:textId="77777777" w:rsidR="00014AFB" w:rsidRDefault="00014AFB">
            <w:pPr>
              <w:spacing w:after="0" w:line="240" w:lineRule="auto"/>
              <w:rPr>
                <w:rFonts w:ascii="Times New Roman" w:hAnsi="Times New Roman"/>
                <w:sz w:val="24"/>
                <w:szCs w:val="24"/>
              </w:rPr>
            </w:pPr>
            <w:hyperlink r:id="rId11" w:history="1">
              <w:r>
                <w:rPr>
                  <w:rFonts w:ascii="Times New Roman" w:hAnsi="Times New Roman"/>
                  <w:color w:val="0563C1"/>
                  <w:sz w:val="24"/>
                  <w:szCs w:val="24"/>
                  <w:u w:val="single"/>
                </w:rPr>
                <w:t>1. LV Portals</w:t>
              </w:r>
            </w:hyperlink>
          </w:p>
        </w:tc>
        <w:tc>
          <w:tcPr>
            <w:tcW w:w="1615" w:type="dxa"/>
            <w:tcMar>
              <w:top w:w="90" w:type="dxa"/>
              <w:left w:w="90" w:type="dxa"/>
              <w:bottom w:w="90" w:type="dxa"/>
              <w:right w:w="90" w:type="dxa"/>
            </w:tcMar>
            <w:vAlign w:val="center"/>
          </w:tcPr>
          <w:p w14:paraId="06C10D6C" w14:textId="7484E172" w:rsidR="00014AFB" w:rsidRDefault="00014AFB">
            <w:pPr>
              <w:spacing w:after="0" w:line="240" w:lineRule="auto"/>
              <w:rPr>
                <w:rFonts w:ascii="Times New Roman" w:hAnsi="Times New Roman"/>
                <w:sz w:val="24"/>
                <w:szCs w:val="24"/>
              </w:rPr>
            </w:pPr>
          </w:p>
        </w:tc>
      </w:tr>
      <w:tr w:rsidR="00014AFB" w14:paraId="428CD633" w14:textId="77777777">
        <w:tc>
          <w:tcPr>
            <w:tcW w:w="1548" w:type="dxa"/>
            <w:tcMar>
              <w:top w:w="90" w:type="dxa"/>
              <w:left w:w="90" w:type="dxa"/>
              <w:bottom w:w="90" w:type="dxa"/>
              <w:right w:w="90" w:type="dxa"/>
            </w:tcMar>
            <w:vAlign w:val="center"/>
          </w:tcPr>
          <w:p w14:paraId="467AF9FC" w14:textId="66F88505" w:rsidR="00014AFB" w:rsidRDefault="00861313">
            <w:pPr>
              <w:spacing w:after="0" w:line="240" w:lineRule="auto"/>
              <w:jc w:val="center"/>
              <w:rPr>
                <w:rFonts w:ascii="Times New Roman" w:hAnsi="Times New Roman"/>
                <w:sz w:val="24"/>
                <w:szCs w:val="24"/>
              </w:rPr>
            </w:pPr>
            <w:r>
              <w:rPr>
                <w:rFonts w:ascii="Times New Roman" w:hAnsi="Times New Roman"/>
                <w:sz w:val="24"/>
                <w:szCs w:val="24"/>
              </w:rPr>
              <w:t>2026-09-08</w:t>
            </w:r>
          </w:p>
        </w:tc>
        <w:tc>
          <w:tcPr>
            <w:tcW w:w="9037" w:type="dxa"/>
            <w:tcMar>
              <w:top w:w="90" w:type="dxa"/>
              <w:left w:w="90" w:type="dxa"/>
              <w:bottom w:w="90" w:type="dxa"/>
              <w:right w:w="90" w:type="dxa"/>
            </w:tcMar>
            <w:vAlign w:val="center"/>
          </w:tcPr>
          <w:p w14:paraId="69377A3A" w14:textId="6B2359D2" w:rsidR="00014AFB" w:rsidRDefault="00000000" w:rsidP="006E1F1F">
            <w:pPr>
              <w:spacing w:after="0" w:line="240" w:lineRule="auto"/>
              <w:jc w:val="both"/>
              <w:rPr>
                <w:rFonts w:ascii="Times New Roman" w:hAnsi="Times New Roman"/>
                <w:sz w:val="24"/>
                <w:szCs w:val="24"/>
              </w:rPr>
            </w:pPr>
            <w:r>
              <w:rPr>
                <w:rFonts w:ascii="Times New Roman" w:hAnsi="Times New Roman"/>
                <w:sz w:val="24"/>
                <w:szCs w:val="24"/>
              </w:rPr>
              <w:t>Ekonomistai prognozuoja, kad metinė infliacija Latvijoje šiemet sieks 3,3</w:t>
            </w:r>
            <w:r w:rsidR="003D2188">
              <w:rPr>
                <w:rFonts w:ascii="Times New Roman" w:hAnsi="Times New Roman"/>
                <w:sz w:val="24"/>
                <w:szCs w:val="24"/>
              </w:rPr>
              <w:t>-</w:t>
            </w:r>
            <w:r>
              <w:rPr>
                <w:rFonts w:ascii="Times New Roman" w:hAnsi="Times New Roman"/>
                <w:sz w:val="24"/>
                <w:szCs w:val="24"/>
              </w:rPr>
              <w:t xml:space="preserve">3,4 proc., o metų pabaigoje kainų augimas gali paspartėti. Rugpjūtį, palyginti su liepa, vartotojų kainos išaugo </w:t>
            </w:r>
            <w:r>
              <w:rPr>
                <w:rFonts w:ascii="Times New Roman" w:hAnsi="Times New Roman"/>
                <w:sz w:val="24"/>
                <w:szCs w:val="24"/>
              </w:rPr>
              <w:lastRenderedPageBreak/>
              <w:t>0,3 proc., o metinė infliacija siekė 3,2 proc. Pagrindiniu kainų augimo veiksniu tampa brangstanti energija, o atlyginimų augimas ir toliau prisideda prie paslaugų kainų didėjimo.</w:t>
            </w:r>
          </w:p>
        </w:tc>
        <w:tc>
          <w:tcPr>
            <w:tcW w:w="2370" w:type="dxa"/>
            <w:tcMar>
              <w:top w:w="90" w:type="dxa"/>
              <w:left w:w="90" w:type="dxa"/>
              <w:bottom w:w="90" w:type="dxa"/>
              <w:right w:w="90" w:type="dxa"/>
            </w:tcMar>
            <w:vAlign w:val="center"/>
          </w:tcPr>
          <w:p w14:paraId="1058F1E4" w14:textId="77777777" w:rsidR="00014AFB" w:rsidRDefault="00014AFB">
            <w:pPr>
              <w:spacing w:after="0" w:line="240" w:lineRule="auto"/>
              <w:rPr>
                <w:rFonts w:ascii="Times New Roman" w:hAnsi="Times New Roman"/>
                <w:sz w:val="24"/>
                <w:szCs w:val="24"/>
              </w:rPr>
            </w:pPr>
            <w:hyperlink r:id="rId12" w:history="1">
              <w:r>
                <w:rPr>
                  <w:rFonts w:ascii="Times New Roman" w:hAnsi="Times New Roman"/>
                  <w:color w:val="0563C1"/>
                  <w:sz w:val="24"/>
                  <w:szCs w:val="24"/>
                  <w:u w:val="single"/>
                </w:rPr>
                <w:t>1. LETA</w:t>
              </w:r>
            </w:hyperlink>
          </w:p>
        </w:tc>
        <w:tc>
          <w:tcPr>
            <w:tcW w:w="1615" w:type="dxa"/>
            <w:tcMar>
              <w:top w:w="90" w:type="dxa"/>
              <w:left w:w="90" w:type="dxa"/>
              <w:bottom w:w="90" w:type="dxa"/>
              <w:right w:w="90" w:type="dxa"/>
            </w:tcMar>
            <w:vAlign w:val="center"/>
          </w:tcPr>
          <w:p w14:paraId="3F44841B" w14:textId="28C9BF70" w:rsidR="00014AFB" w:rsidRDefault="00014AFB">
            <w:pPr>
              <w:spacing w:after="0" w:line="240" w:lineRule="auto"/>
              <w:rPr>
                <w:rFonts w:ascii="Times New Roman" w:hAnsi="Times New Roman"/>
                <w:sz w:val="24"/>
                <w:szCs w:val="24"/>
              </w:rPr>
            </w:pPr>
          </w:p>
        </w:tc>
      </w:tr>
      <w:tr w:rsidR="00014AFB" w14:paraId="7C0B55FC" w14:textId="77777777">
        <w:tc>
          <w:tcPr>
            <w:tcW w:w="1548" w:type="dxa"/>
            <w:tcMar>
              <w:top w:w="90" w:type="dxa"/>
              <w:left w:w="90" w:type="dxa"/>
              <w:bottom w:w="90" w:type="dxa"/>
              <w:right w:w="90" w:type="dxa"/>
            </w:tcMar>
            <w:vAlign w:val="center"/>
          </w:tcPr>
          <w:p w14:paraId="30024CED" w14:textId="179F799B" w:rsidR="00014AFB" w:rsidRDefault="00861313">
            <w:pPr>
              <w:spacing w:after="0" w:line="240" w:lineRule="auto"/>
              <w:jc w:val="center"/>
              <w:rPr>
                <w:rFonts w:ascii="Times New Roman" w:hAnsi="Times New Roman"/>
                <w:sz w:val="24"/>
                <w:szCs w:val="24"/>
              </w:rPr>
            </w:pPr>
            <w:r>
              <w:rPr>
                <w:rFonts w:ascii="Times New Roman" w:hAnsi="Times New Roman"/>
                <w:sz w:val="24"/>
                <w:szCs w:val="24"/>
              </w:rPr>
              <w:t>2026-09-03</w:t>
            </w:r>
          </w:p>
        </w:tc>
        <w:tc>
          <w:tcPr>
            <w:tcW w:w="9037" w:type="dxa"/>
            <w:tcMar>
              <w:top w:w="90" w:type="dxa"/>
              <w:left w:w="90" w:type="dxa"/>
              <w:bottom w:w="90" w:type="dxa"/>
              <w:right w:w="90" w:type="dxa"/>
            </w:tcMar>
            <w:vAlign w:val="center"/>
          </w:tcPr>
          <w:p w14:paraId="634DF73D" w14:textId="471C9ED4" w:rsidR="00014AFB" w:rsidRDefault="00000000" w:rsidP="006E1F1F">
            <w:pPr>
              <w:spacing w:after="0" w:line="240" w:lineRule="auto"/>
              <w:jc w:val="both"/>
              <w:rPr>
                <w:rFonts w:ascii="Times New Roman" w:hAnsi="Times New Roman"/>
                <w:sz w:val="24"/>
                <w:szCs w:val="24"/>
              </w:rPr>
            </w:pPr>
            <w:r>
              <w:rPr>
                <w:rFonts w:ascii="Times New Roman" w:hAnsi="Times New Roman"/>
                <w:sz w:val="24"/>
                <w:szCs w:val="24"/>
              </w:rPr>
              <w:t>Latvijos mokesčių pajamos per aštuonis mėnesius atsiliko nuo plano. Sausį</w:t>
            </w:r>
            <w:r w:rsidR="006E1F1F">
              <w:rPr>
                <w:rFonts w:ascii="Times New Roman" w:hAnsi="Times New Roman"/>
                <w:sz w:val="24"/>
                <w:szCs w:val="24"/>
              </w:rPr>
              <w:t>-</w:t>
            </w:r>
            <w:r>
              <w:rPr>
                <w:rFonts w:ascii="Times New Roman" w:hAnsi="Times New Roman"/>
                <w:sz w:val="24"/>
                <w:szCs w:val="24"/>
              </w:rPr>
              <w:t>rugpjūtį konsoliduoto biudžeto mokesčių pajamų planas įvykdytas 99,2 proc.</w:t>
            </w:r>
            <w:r w:rsidR="006E1F1F">
              <w:rPr>
                <w:rFonts w:ascii="Times New Roman" w:hAnsi="Times New Roman"/>
                <w:sz w:val="24"/>
                <w:szCs w:val="24"/>
              </w:rPr>
              <w:t xml:space="preserve"> S</w:t>
            </w:r>
            <w:r>
              <w:rPr>
                <w:rFonts w:ascii="Times New Roman" w:hAnsi="Times New Roman"/>
                <w:sz w:val="24"/>
                <w:szCs w:val="24"/>
              </w:rPr>
              <w:t xml:space="preserve">urinkta 81,5 mln. eurų mažiau negu numatyta. Finansų ministerijos duomenimis, labiausiai nuo prognozių atsiliko gyventojų pajamų, gamtos išteklių ir akcizų mokesčių pajamos. Akcizų surinkimą veikė nuo balandžio sumažintas dyzelino, įskaitant žemės ūkyje naudojamą, akcizas ir mažesni vartojimui išleistų cigarečių bei alkoholio kiekiai. Vis dėlto dėl metų pradžioje padidintų tarifų bendros akcizų pajamos, palyginti su praėjusių metų tuo pačiu laikotarpiu, išaugo 2,9 proc. iki 849 mln. </w:t>
            </w:r>
            <w:r w:rsidR="006F6AC3">
              <w:rPr>
                <w:rFonts w:ascii="Times New Roman" w:hAnsi="Times New Roman"/>
                <w:sz w:val="24"/>
                <w:szCs w:val="24"/>
              </w:rPr>
              <w:t>E</w:t>
            </w:r>
            <w:r>
              <w:rPr>
                <w:rFonts w:ascii="Times New Roman" w:hAnsi="Times New Roman"/>
                <w:sz w:val="24"/>
                <w:szCs w:val="24"/>
              </w:rPr>
              <w:t>urų</w:t>
            </w:r>
            <w:r w:rsidR="006F6AC3">
              <w:rPr>
                <w:rFonts w:ascii="Times New Roman" w:hAnsi="Times New Roman"/>
                <w:sz w:val="24"/>
                <w:szCs w:val="24"/>
              </w:rPr>
              <w:t>.</w:t>
            </w:r>
          </w:p>
        </w:tc>
        <w:tc>
          <w:tcPr>
            <w:tcW w:w="2370" w:type="dxa"/>
            <w:tcMar>
              <w:top w:w="90" w:type="dxa"/>
              <w:left w:w="90" w:type="dxa"/>
              <w:bottom w:w="90" w:type="dxa"/>
              <w:right w:w="90" w:type="dxa"/>
            </w:tcMar>
            <w:vAlign w:val="center"/>
          </w:tcPr>
          <w:p w14:paraId="4112C284" w14:textId="77777777" w:rsidR="00014AFB" w:rsidRDefault="00014AFB">
            <w:pPr>
              <w:spacing w:after="0" w:line="240" w:lineRule="auto"/>
              <w:rPr>
                <w:rFonts w:ascii="Times New Roman" w:hAnsi="Times New Roman"/>
                <w:sz w:val="24"/>
                <w:szCs w:val="24"/>
              </w:rPr>
            </w:pPr>
            <w:hyperlink r:id="rId13" w:history="1">
              <w:r>
                <w:rPr>
                  <w:rFonts w:ascii="Times New Roman" w:hAnsi="Times New Roman"/>
                  <w:color w:val="0563C1"/>
                  <w:sz w:val="24"/>
                  <w:szCs w:val="24"/>
                  <w:u w:val="single"/>
                </w:rPr>
                <w:t>1. Latvijos finansų ministeri</w:t>
              </w:r>
              <w:r>
                <w:rPr>
                  <w:rFonts w:ascii="Times New Roman" w:hAnsi="Times New Roman"/>
                  <w:color w:val="0563C1"/>
                  <w:sz w:val="24"/>
                  <w:szCs w:val="24"/>
                  <w:u w:val="single"/>
                </w:rPr>
                <w:t>ja</w:t>
              </w:r>
            </w:hyperlink>
          </w:p>
        </w:tc>
        <w:tc>
          <w:tcPr>
            <w:tcW w:w="1615" w:type="dxa"/>
            <w:tcMar>
              <w:top w:w="90" w:type="dxa"/>
              <w:left w:w="90" w:type="dxa"/>
              <w:bottom w:w="90" w:type="dxa"/>
              <w:right w:w="90" w:type="dxa"/>
            </w:tcMar>
            <w:vAlign w:val="center"/>
          </w:tcPr>
          <w:p w14:paraId="07BD1640" w14:textId="5EC1EA40" w:rsidR="00014AFB" w:rsidRDefault="00014AFB">
            <w:pPr>
              <w:spacing w:after="0" w:line="240" w:lineRule="auto"/>
              <w:rPr>
                <w:rFonts w:ascii="Times New Roman" w:hAnsi="Times New Roman"/>
                <w:sz w:val="24"/>
                <w:szCs w:val="24"/>
              </w:rPr>
            </w:pPr>
          </w:p>
        </w:tc>
      </w:tr>
      <w:tr w:rsidR="00014AFB" w14:paraId="32D72FA3" w14:textId="77777777">
        <w:trPr>
          <w:cantSplit/>
        </w:trPr>
        <w:tc>
          <w:tcPr>
            <w:tcW w:w="14570" w:type="dxa"/>
            <w:gridSpan w:val="4"/>
            <w:shd w:val="clear" w:color="auto" w:fill="EAF2F8"/>
            <w:tcMar>
              <w:top w:w="100" w:type="dxa"/>
              <w:left w:w="90" w:type="dxa"/>
              <w:bottom w:w="100" w:type="dxa"/>
              <w:right w:w="90" w:type="dxa"/>
            </w:tcMar>
            <w:vAlign w:val="center"/>
          </w:tcPr>
          <w:p w14:paraId="59EEA25A" w14:textId="17E39684" w:rsidR="00014AFB" w:rsidRDefault="0084722D" w:rsidP="006E1F1F">
            <w:pPr>
              <w:keepNext/>
              <w:spacing w:after="0" w:line="240" w:lineRule="auto"/>
              <w:jc w:val="both"/>
              <w:rPr>
                <w:rFonts w:ascii="Times New Roman" w:hAnsi="Times New Roman"/>
                <w:sz w:val="24"/>
                <w:szCs w:val="24"/>
              </w:rPr>
            </w:pPr>
            <w:r w:rsidRPr="006A595A">
              <w:rPr>
                <w:rFonts w:ascii="Times New Roman" w:hAnsi="Times New Roman"/>
                <w:b/>
                <w:sz w:val="24"/>
                <w:szCs w:val="24"/>
              </w:rPr>
              <w:t>Lietuvos verslo plėtrai aktuali informacija</w:t>
            </w:r>
          </w:p>
        </w:tc>
      </w:tr>
      <w:tr w:rsidR="0093137B" w14:paraId="7A855C8F" w14:textId="77777777">
        <w:tc>
          <w:tcPr>
            <w:tcW w:w="1548" w:type="dxa"/>
            <w:tcMar>
              <w:top w:w="90" w:type="dxa"/>
              <w:left w:w="90" w:type="dxa"/>
              <w:bottom w:w="90" w:type="dxa"/>
              <w:right w:w="90" w:type="dxa"/>
            </w:tcMar>
            <w:vAlign w:val="center"/>
          </w:tcPr>
          <w:p w14:paraId="78603551" w14:textId="09C690EC" w:rsidR="0093137B" w:rsidRDefault="0093137B" w:rsidP="0093137B">
            <w:pPr>
              <w:spacing w:after="0" w:line="240" w:lineRule="auto"/>
              <w:jc w:val="center"/>
              <w:rPr>
                <w:rFonts w:ascii="Times New Roman" w:hAnsi="Times New Roman"/>
                <w:sz w:val="24"/>
                <w:szCs w:val="24"/>
              </w:rPr>
            </w:pPr>
            <w:r>
              <w:rPr>
                <w:rFonts w:ascii="Times New Roman" w:hAnsi="Times New Roman"/>
                <w:sz w:val="24"/>
                <w:szCs w:val="24"/>
              </w:rPr>
              <w:t>2026-09-04</w:t>
            </w:r>
          </w:p>
        </w:tc>
        <w:tc>
          <w:tcPr>
            <w:tcW w:w="9037" w:type="dxa"/>
            <w:tcMar>
              <w:top w:w="90" w:type="dxa"/>
              <w:left w:w="90" w:type="dxa"/>
              <w:bottom w:w="90" w:type="dxa"/>
              <w:right w:w="90" w:type="dxa"/>
            </w:tcMar>
            <w:vAlign w:val="center"/>
          </w:tcPr>
          <w:p w14:paraId="1DEA6D79" w14:textId="0616491E" w:rsidR="0093137B" w:rsidRDefault="0093137B" w:rsidP="006E1F1F">
            <w:pPr>
              <w:spacing w:after="0" w:line="240" w:lineRule="auto"/>
              <w:jc w:val="both"/>
              <w:rPr>
                <w:rFonts w:ascii="Times New Roman" w:hAnsi="Times New Roman"/>
                <w:sz w:val="24"/>
                <w:szCs w:val="24"/>
              </w:rPr>
            </w:pPr>
            <w:r>
              <w:rPr>
                <w:rFonts w:ascii="Times New Roman" w:hAnsi="Times New Roman"/>
                <w:sz w:val="24"/>
                <w:szCs w:val="24"/>
              </w:rPr>
              <w:t xml:space="preserve">„Maxima Grupė“ pajamos Latvijoje augo nežymiai. 2026 m. pirmąjį pusmetį jos padidėjo 0,6 proc. </w:t>
            </w:r>
            <w:r w:rsidR="001070E8">
              <w:rPr>
                <w:rFonts w:ascii="Times New Roman" w:hAnsi="Times New Roman"/>
                <w:sz w:val="24"/>
                <w:szCs w:val="24"/>
              </w:rPr>
              <w:t>-</w:t>
            </w:r>
            <w:r>
              <w:rPr>
                <w:rFonts w:ascii="Times New Roman" w:hAnsi="Times New Roman"/>
                <w:sz w:val="24"/>
                <w:szCs w:val="24"/>
              </w:rPr>
              <w:t xml:space="preserve"> iki 559,7 mln. eurų, kai Lietuvoje augo 4,6 proc. Grupė, pardavusi veiklą Lenkijoje ir Bulgarijoje, šiuo metu koncentruojasi į Baltijos šalių rinkas. </w:t>
            </w:r>
          </w:p>
        </w:tc>
        <w:tc>
          <w:tcPr>
            <w:tcW w:w="2370" w:type="dxa"/>
            <w:tcMar>
              <w:top w:w="90" w:type="dxa"/>
              <w:left w:w="90" w:type="dxa"/>
              <w:bottom w:w="90" w:type="dxa"/>
              <w:right w:w="90" w:type="dxa"/>
            </w:tcMar>
            <w:vAlign w:val="center"/>
          </w:tcPr>
          <w:p w14:paraId="457676F9" w14:textId="51AA38E9" w:rsidR="0093137B" w:rsidRDefault="0093137B" w:rsidP="0093137B">
            <w:pPr>
              <w:spacing w:after="0" w:line="240" w:lineRule="auto"/>
            </w:pPr>
            <w:hyperlink r:id="rId14" w:history="1">
              <w:r>
                <w:rPr>
                  <w:rFonts w:ascii="Times New Roman" w:hAnsi="Times New Roman"/>
                  <w:color w:val="0563C1"/>
                  <w:sz w:val="24"/>
                  <w:szCs w:val="24"/>
                  <w:u w:val="single"/>
                </w:rPr>
                <w:t>1. Nasd</w:t>
              </w:r>
              <w:r>
                <w:rPr>
                  <w:rFonts w:ascii="Times New Roman" w:hAnsi="Times New Roman"/>
                  <w:color w:val="0563C1"/>
                  <w:sz w:val="24"/>
                  <w:szCs w:val="24"/>
                  <w:u w:val="single"/>
                </w:rPr>
                <w:t>aq</w:t>
              </w:r>
            </w:hyperlink>
          </w:p>
        </w:tc>
        <w:tc>
          <w:tcPr>
            <w:tcW w:w="1615" w:type="dxa"/>
            <w:tcMar>
              <w:top w:w="90" w:type="dxa"/>
              <w:left w:w="90" w:type="dxa"/>
              <w:bottom w:w="90" w:type="dxa"/>
              <w:right w:w="90" w:type="dxa"/>
            </w:tcMar>
            <w:vAlign w:val="center"/>
          </w:tcPr>
          <w:p w14:paraId="6CBF1B40" w14:textId="77777777" w:rsidR="0093137B" w:rsidRDefault="0093137B" w:rsidP="0093137B">
            <w:pPr>
              <w:spacing w:after="0" w:line="240" w:lineRule="auto"/>
              <w:rPr>
                <w:rFonts w:ascii="Times New Roman" w:hAnsi="Times New Roman"/>
                <w:sz w:val="24"/>
                <w:szCs w:val="24"/>
              </w:rPr>
            </w:pPr>
          </w:p>
        </w:tc>
      </w:tr>
      <w:tr w:rsidR="0093137B" w14:paraId="2E295F5C" w14:textId="77777777">
        <w:tc>
          <w:tcPr>
            <w:tcW w:w="1548" w:type="dxa"/>
            <w:tcMar>
              <w:top w:w="90" w:type="dxa"/>
              <w:left w:w="90" w:type="dxa"/>
              <w:bottom w:w="90" w:type="dxa"/>
              <w:right w:w="90" w:type="dxa"/>
            </w:tcMar>
            <w:vAlign w:val="center"/>
          </w:tcPr>
          <w:p w14:paraId="0E23A652" w14:textId="0A562E05" w:rsidR="0093137B" w:rsidRDefault="0093137B" w:rsidP="0093137B">
            <w:pPr>
              <w:spacing w:after="0" w:line="240" w:lineRule="auto"/>
              <w:jc w:val="center"/>
              <w:rPr>
                <w:rFonts w:ascii="Times New Roman" w:hAnsi="Times New Roman"/>
                <w:sz w:val="24"/>
                <w:szCs w:val="24"/>
              </w:rPr>
            </w:pPr>
            <w:r>
              <w:rPr>
                <w:rFonts w:ascii="Times New Roman" w:hAnsi="Times New Roman"/>
                <w:sz w:val="24"/>
                <w:szCs w:val="24"/>
              </w:rPr>
              <w:t>2026-09</w:t>
            </w:r>
          </w:p>
        </w:tc>
        <w:tc>
          <w:tcPr>
            <w:tcW w:w="9037" w:type="dxa"/>
            <w:tcMar>
              <w:top w:w="90" w:type="dxa"/>
              <w:left w:w="90" w:type="dxa"/>
              <w:bottom w:w="90" w:type="dxa"/>
              <w:right w:w="90" w:type="dxa"/>
            </w:tcMar>
            <w:vAlign w:val="center"/>
          </w:tcPr>
          <w:p w14:paraId="08B04F77" w14:textId="6AA0B65E" w:rsidR="0093137B" w:rsidRDefault="0093137B" w:rsidP="006E1F1F">
            <w:pPr>
              <w:spacing w:after="0" w:line="240" w:lineRule="auto"/>
              <w:jc w:val="both"/>
              <w:rPr>
                <w:rFonts w:ascii="Times New Roman" w:hAnsi="Times New Roman"/>
                <w:sz w:val="24"/>
                <w:szCs w:val="24"/>
              </w:rPr>
            </w:pPr>
            <w:r>
              <w:rPr>
                <w:rFonts w:ascii="Times New Roman" w:hAnsi="Times New Roman"/>
                <w:sz w:val="24"/>
                <w:szCs w:val="24"/>
              </w:rPr>
              <w:t xml:space="preserve">„CleanR Industry“ investuos 3,3 mln. eurų į atliekų rūšiavimo centro Rygoje modernizavimą. Bendrovė iki 2027 m. vidurio automatizuos atskirai surinktų pakuočių rūšiavimą, siekdama padidinti perdirbti perduodamų antrinių žaliavų kiekį ir sumažinti atliekų naudojimą energijai gaminti. Centre kasmet išrūšiuojama daugiau kaip 30 tūkst. tonų pakuočių, o apie 10 tūkst. tonų polimerų atliekų perdirbama į granules. </w:t>
            </w:r>
          </w:p>
        </w:tc>
        <w:tc>
          <w:tcPr>
            <w:tcW w:w="2370" w:type="dxa"/>
            <w:tcMar>
              <w:top w:w="90" w:type="dxa"/>
              <w:left w:w="90" w:type="dxa"/>
              <w:bottom w:w="90" w:type="dxa"/>
              <w:right w:w="90" w:type="dxa"/>
            </w:tcMar>
            <w:vAlign w:val="center"/>
          </w:tcPr>
          <w:p w14:paraId="6EE53A21" w14:textId="7C19DC46" w:rsidR="0093137B" w:rsidRPr="00326FBF" w:rsidRDefault="00326FBF" w:rsidP="00326FBF">
            <w:pPr>
              <w:pStyle w:val="ListParagraph"/>
              <w:numPr>
                <w:ilvl w:val="0"/>
                <w:numId w:val="13"/>
              </w:numPr>
              <w:spacing w:after="0" w:line="240" w:lineRule="auto"/>
              <w:jc w:val="both"/>
              <w:rPr>
                <w:rFonts w:ascii="Times New Roman" w:hAnsi="Times New Roman"/>
              </w:rPr>
            </w:pPr>
            <w:hyperlink r:id="rId15" w:history="1">
              <w:r w:rsidRPr="00326FBF">
                <w:rPr>
                  <w:rStyle w:val="Hyperlink"/>
                  <w:rFonts w:ascii="Times New Roman" w:hAnsi="Times New Roman"/>
                </w:rPr>
                <w:t>LSM</w:t>
              </w:r>
            </w:hyperlink>
          </w:p>
        </w:tc>
        <w:tc>
          <w:tcPr>
            <w:tcW w:w="1615" w:type="dxa"/>
            <w:tcMar>
              <w:top w:w="90" w:type="dxa"/>
              <w:left w:w="90" w:type="dxa"/>
              <w:bottom w:w="90" w:type="dxa"/>
              <w:right w:w="90" w:type="dxa"/>
            </w:tcMar>
            <w:vAlign w:val="center"/>
          </w:tcPr>
          <w:p w14:paraId="6AF40324" w14:textId="77777777" w:rsidR="0093137B" w:rsidRDefault="0093137B" w:rsidP="0093137B">
            <w:pPr>
              <w:spacing w:after="0" w:line="240" w:lineRule="auto"/>
              <w:rPr>
                <w:rFonts w:ascii="Times New Roman" w:hAnsi="Times New Roman"/>
                <w:sz w:val="24"/>
                <w:szCs w:val="24"/>
              </w:rPr>
            </w:pPr>
          </w:p>
        </w:tc>
      </w:tr>
      <w:tr w:rsidR="0093137B" w14:paraId="3E554CE8" w14:textId="77777777">
        <w:tc>
          <w:tcPr>
            <w:tcW w:w="1548" w:type="dxa"/>
            <w:tcMar>
              <w:top w:w="90" w:type="dxa"/>
              <w:left w:w="90" w:type="dxa"/>
              <w:bottom w:w="90" w:type="dxa"/>
              <w:right w:w="90" w:type="dxa"/>
            </w:tcMar>
            <w:vAlign w:val="center"/>
          </w:tcPr>
          <w:p w14:paraId="76688F88" w14:textId="1E11F979" w:rsidR="0093137B" w:rsidRDefault="0093137B" w:rsidP="0093137B">
            <w:pPr>
              <w:spacing w:after="0" w:line="240" w:lineRule="auto"/>
              <w:jc w:val="center"/>
              <w:rPr>
                <w:rFonts w:ascii="Times New Roman" w:hAnsi="Times New Roman"/>
                <w:sz w:val="24"/>
                <w:szCs w:val="24"/>
              </w:rPr>
            </w:pPr>
            <w:r>
              <w:rPr>
                <w:rFonts w:ascii="Times New Roman" w:hAnsi="Times New Roman"/>
                <w:sz w:val="24"/>
                <w:szCs w:val="24"/>
              </w:rPr>
              <w:t>2026-09-08</w:t>
            </w:r>
          </w:p>
        </w:tc>
        <w:tc>
          <w:tcPr>
            <w:tcW w:w="9037" w:type="dxa"/>
            <w:tcMar>
              <w:top w:w="90" w:type="dxa"/>
              <w:left w:w="90" w:type="dxa"/>
              <w:bottom w:w="90" w:type="dxa"/>
              <w:right w:w="90" w:type="dxa"/>
            </w:tcMar>
            <w:vAlign w:val="center"/>
          </w:tcPr>
          <w:p w14:paraId="245748EC" w14:textId="31C64BA7" w:rsidR="0093137B" w:rsidRDefault="0093137B" w:rsidP="006E1F1F">
            <w:pPr>
              <w:spacing w:after="0" w:line="240" w:lineRule="auto"/>
              <w:jc w:val="both"/>
              <w:rPr>
                <w:rFonts w:ascii="Times New Roman" w:hAnsi="Times New Roman"/>
                <w:sz w:val="24"/>
                <w:szCs w:val="24"/>
              </w:rPr>
            </w:pPr>
            <w:r>
              <w:rPr>
                <w:rFonts w:ascii="Times New Roman" w:hAnsi="Times New Roman"/>
                <w:sz w:val="24"/>
                <w:szCs w:val="24"/>
              </w:rPr>
              <w:t>„Swedbank“ skiria 65 mln. eurų prekybos centrui SĀGA. Rygos prekybos centro „SĀGA“ savininkė „Riga Retail Park“ susitarė dėl 65 mln. eurų finansavimo, skirto įsipareigojimams refinansuoti ir tolesnėms investicijoms. Iš šios sumos 8,5 mln. eurų bus skirta naujiems akcininkų investiciniams projektams.</w:t>
            </w:r>
          </w:p>
        </w:tc>
        <w:tc>
          <w:tcPr>
            <w:tcW w:w="2370" w:type="dxa"/>
            <w:tcMar>
              <w:top w:w="90" w:type="dxa"/>
              <w:left w:w="90" w:type="dxa"/>
              <w:bottom w:w="90" w:type="dxa"/>
              <w:right w:w="90" w:type="dxa"/>
            </w:tcMar>
            <w:vAlign w:val="center"/>
          </w:tcPr>
          <w:p w14:paraId="43954A98" w14:textId="1F510848" w:rsidR="0093137B" w:rsidRDefault="0093137B" w:rsidP="0093137B">
            <w:pPr>
              <w:spacing w:after="0" w:line="240" w:lineRule="auto"/>
            </w:pPr>
            <w:hyperlink r:id="rId16" w:history="1">
              <w:r>
                <w:rPr>
                  <w:rFonts w:ascii="Times New Roman" w:hAnsi="Times New Roman"/>
                  <w:color w:val="0563C1"/>
                  <w:sz w:val="24"/>
                  <w:szCs w:val="24"/>
                  <w:u w:val="single"/>
                </w:rPr>
                <w:t>1. Dienas Bizness</w:t>
              </w:r>
            </w:hyperlink>
          </w:p>
        </w:tc>
        <w:tc>
          <w:tcPr>
            <w:tcW w:w="1615" w:type="dxa"/>
            <w:tcMar>
              <w:top w:w="90" w:type="dxa"/>
              <w:left w:w="90" w:type="dxa"/>
              <w:bottom w:w="90" w:type="dxa"/>
              <w:right w:w="90" w:type="dxa"/>
            </w:tcMar>
            <w:vAlign w:val="center"/>
          </w:tcPr>
          <w:p w14:paraId="515B8049" w14:textId="77777777" w:rsidR="0093137B" w:rsidRDefault="0093137B" w:rsidP="0093137B">
            <w:pPr>
              <w:spacing w:after="0" w:line="240" w:lineRule="auto"/>
              <w:rPr>
                <w:rFonts w:ascii="Times New Roman" w:hAnsi="Times New Roman"/>
                <w:sz w:val="24"/>
                <w:szCs w:val="24"/>
              </w:rPr>
            </w:pPr>
          </w:p>
        </w:tc>
      </w:tr>
      <w:tr w:rsidR="0093137B" w14:paraId="3DB54598" w14:textId="77777777">
        <w:tc>
          <w:tcPr>
            <w:tcW w:w="1548" w:type="dxa"/>
            <w:tcMar>
              <w:top w:w="90" w:type="dxa"/>
              <w:left w:w="90" w:type="dxa"/>
              <w:bottom w:w="90" w:type="dxa"/>
              <w:right w:w="90" w:type="dxa"/>
            </w:tcMar>
            <w:vAlign w:val="center"/>
          </w:tcPr>
          <w:p w14:paraId="187A13C6" w14:textId="5D11CDA9" w:rsidR="0093137B" w:rsidRDefault="0093137B" w:rsidP="0093137B">
            <w:pPr>
              <w:spacing w:after="0" w:line="240" w:lineRule="auto"/>
              <w:jc w:val="center"/>
              <w:rPr>
                <w:rFonts w:ascii="Times New Roman" w:hAnsi="Times New Roman"/>
                <w:sz w:val="24"/>
                <w:szCs w:val="24"/>
              </w:rPr>
            </w:pPr>
            <w:r>
              <w:rPr>
                <w:rFonts w:ascii="Times New Roman" w:hAnsi="Times New Roman"/>
                <w:sz w:val="24"/>
                <w:szCs w:val="24"/>
              </w:rPr>
              <w:lastRenderedPageBreak/>
              <w:t>2026-08-14</w:t>
            </w:r>
          </w:p>
        </w:tc>
        <w:tc>
          <w:tcPr>
            <w:tcW w:w="9037" w:type="dxa"/>
            <w:tcMar>
              <w:top w:w="90" w:type="dxa"/>
              <w:left w:w="90" w:type="dxa"/>
              <w:bottom w:w="90" w:type="dxa"/>
              <w:right w:w="90" w:type="dxa"/>
            </w:tcMar>
            <w:vAlign w:val="center"/>
          </w:tcPr>
          <w:p w14:paraId="1557C9DE" w14:textId="7868BCE9" w:rsidR="0093137B" w:rsidRDefault="0093137B" w:rsidP="00311E71">
            <w:pPr>
              <w:spacing w:after="0" w:line="240" w:lineRule="auto"/>
              <w:jc w:val="both"/>
              <w:rPr>
                <w:rFonts w:ascii="Times New Roman" w:hAnsi="Times New Roman"/>
                <w:sz w:val="24"/>
                <w:szCs w:val="24"/>
              </w:rPr>
            </w:pPr>
            <w:r>
              <w:rPr>
                <w:rFonts w:ascii="Times New Roman" w:hAnsi="Times New Roman"/>
                <w:sz w:val="24"/>
                <w:szCs w:val="24"/>
              </w:rPr>
              <w:t xml:space="preserve">2026 m. antrąjį ketvirtį šalyje buvo 19,7 tūkst. laisvų darbo vietų </w:t>
            </w:r>
            <w:r w:rsidR="00831EAC">
              <w:rPr>
                <w:rFonts w:ascii="Times New Roman" w:hAnsi="Times New Roman"/>
                <w:sz w:val="24"/>
                <w:szCs w:val="24"/>
              </w:rPr>
              <w:t>-</w:t>
            </w:r>
            <w:r>
              <w:rPr>
                <w:rFonts w:ascii="Times New Roman" w:hAnsi="Times New Roman"/>
                <w:sz w:val="24"/>
                <w:szCs w:val="24"/>
              </w:rPr>
              <w:t xml:space="preserve"> 1,8 proc. mažiau nei prieš metus, o užimtų darbo vietų skaičius padidėjo 1,4 proc. </w:t>
            </w:r>
            <w:r w:rsidR="00831EAC">
              <w:rPr>
                <w:rFonts w:ascii="Times New Roman" w:hAnsi="Times New Roman"/>
                <w:sz w:val="24"/>
                <w:szCs w:val="24"/>
              </w:rPr>
              <w:t>-</w:t>
            </w:r>
            <w:r>
              <w:rPr>
                <w:rFonts w:ascii="Times New Roman" w:hAnsi="Times New Roman"/>
                <w:sz w:val="24"/>
                <w:szCs w:val="24"/>
              </w:rPr>
              <w:t xml:space="preserve"> iki 904,2 tūkst. Didžiausia laisvų vietų dalis fiksuota valstybės valdymo ir gynybos srityje </w:t>
            </w:r>
            <w:r w:rsidR="00831EAC">
              <w:rPr>
                <w:rFonts w:ascii="Times New Roman" w:hAnsi="Times New Roman"/>
                <w:sz w:val="24"/>
                <w:szCs w:val="24"/>
              </w:rPr>
              <w:t>-</w:t>
            </w:r>
            <w:r>
              <w:rPr>
                <w:rFonts w:ascii="Times New Roman" w:hAnsi="Times New Roman"/>
                <w:sz w:val="24"/>
                <w:szCs w:val="24"/>
              </w:rPr>
              <w:t xml:space="preserve"> 6,2 proc., palyginti su 2,1 proc. šalies vidurkiu. Daugiau kaip 80 proc. visų laisvų darbo vietų buvo sutelkta Rygos regione. Tuo pat metu beveik trečdalį visų bedarbių sudarė ilgalaikiai bedarbiai: iš 66,2 tūkst. darbo neturinčių asmenų 21,6 tūkst. darbo ieškojo metus arba ilgiau, o 4,2 tūkst. nedirbo mažiausiai ketverius metus. Bendras nedarbo lygis siekė 7 proc. </w:t>
            </w:r>
          </w:p>
        </w:tc>
        <w:tc>
          <w:tcPr>
            <w:tcW w:w="2370" w:type="dxa"/>
            <w:tcMar>
              <w:top w:w="90" w:type="dxa"/>
              <w:left w:w="90" w:type="dxa"/>
              <w:bottom w:w="90" w:type="dxa"/>
              <w:right w:w="90" w:type="dxa"/>
            </w:tcMar>
            <w:vAlign w:val="center"/>
          </w:tcPr>
          <w:p w14:paraId="63E811F4" w14:textId="77777777" w:rsidR="0093137B" w:rsidRDefault="0093137B" w:rsidP="0093137B">
            <w:pPr>
              <w:spacing w:after="0" w:line="240" w:lineRule="auto"/>
              <w:rPr>
                <w:rFonts w:ascii="Times New Roman" w:hAnsi="Times New Roman"/>
                <w:sz w:val="24"/>
                <w:szCs w:val="24"/>
              </w:rPr>
            </w:pPr>
            <w:hyperlink r:id="rId17" w:history="1">
              <w:r>
                <w:rPr>
                  <w:rFonts w:ascii="Times New Roman" w:hAnsi="Times New Roman"/>
                  <w:color w:val="0563C1"/>
                  <w:sz w:val="24"/>
                  <w:szCs w:val="24"/>
                  <w:u w:val="single"/>
                </w:rPr>
                <w:t>1. Latvijos centrinė statistikos valdyba</w:t>
              </w:r>
            </w:hyperlink>
          </w:p>
          <w:p w14:paraId="5905A258" w14:textId="77777777" w:rsidR="0093137B" w:rsidRDefault="0093137B" w:rsidP="0093137B">
            <w:pPr>
              <w:spacing w:after="0" w:line="240" w:lineRule="auto"/>
              <w:rPr>
                <w:rFonts w:ascii="Times New Roman" w:hAnsi="Times New Roman"/>
                <w:sz w:val="24"/>
                <w:szCs w:val="24"/>
              </w:rPr>
            </w:pPr>
            <w:hyperlink r:id="rId18" w:history="1">
              <w:r>
                <w:rPr>
                  <w:rFonts w:ascii="Times New Roman" w:hAnsi="Times New Roman"/>
                  <w:color w:val="0563C1"/>
                  <w:sz w:val="24"/>
                  <w:szCs w:val="24"/>
                  <w:u w:val="single"/>
                </w:rPr>
                <w:t>2. Latvijos centrinė statistikos valdyba</w:t>
              </w:r>
            </w:hyperlink>
          </w:p>
        </w:tc>
        <w:tc>
          <w:tcPr>
            <w:tcW w:w="1615" w:type="dxa"/>
            <w:tcMar>
              <w:top w:w="90" w:type="dxa"/>
              <w:left w:w="90" w:type="dxa"/>
              <w:bottom w:w="90" w:type="dxa"/>
              <w:right w:w="90" w:type="dxa"/>
            </w:tcMar>
            <w:vAlign w:val="center"/>
          </w:tcPr>
          <w:p w14:paraId="4831E89A" w14:textId="70D9FEAA" w:rsidR="0093137B" w:rsidRDefault="0093137B" w:rsidP="0093137B">
            <w:pPr>
              <w:spacing w:after="0" w:line="240" w:lineRule="auto"/>
              <w:rPr>
                <w:rFonts w:ascii="Times New Roman" w:hAnsi="Times New Roman"/>
                <w:sz w:val="24"/>
                <w:szCs w:val="24"/>
              </w:rPr>
            </w:pPr>
          </w:p>
        </w:tc>
      </w:tr>
      <w:tr w:rsidR="0093137B" w14:paraId="55858158" w14:textId="77777777">
        <w:tc>
          <w:tcPr>
            <w:tcW w:w="1548" w:type="dxa"/>
            <w:tcMar>
              <w:top w:w="90" w:type="dxa"/>
              <w:left w:w="90" w:type="dxa"/>
              <w:bottom w:w="90" w:type="dxa"/>
              <w:right w:w="90" w:type="dxa"/>
            </w:tcMar>
            <w:vAlign w:val="center"/>
          </w:tcPr>
          <w:p w14:paraId="6E3BB667" w14:textId="36D449AB" w:rsidR="0093137B" w:rsidRDefault="0093137B" w:rsidP="0093137B">
            <w:pPr>
              <w:spacing w:after="0" w:line="240" w:lineRule="auto"/>
              <w:jc w:val="center"/>
              <w:rPr>
                <w:rFonts w:ascii="Times New Roman" w:hAnsi="Times New Roman"/>
                <w:sz w:val="24"/>
                <w:szCs w:val="24"/>
              </w:rPr>
            </w:pPr>
            <w:r>
              <w:rPr>
                <w:rFonts w:ascii="Times New Roman" w:hAnsi="Times New Roman"/>
                <w:sz w:val="24"/>
                <w:szCs w:val="24"/>
              </w:rPr>
              <w:t>2026-08-31</w:t>
            </w:r>
          </w:p>
        </w:tc>
        <w:tc>
          <w:tcPr>
            <w:tcW w:w="9037" w:type="dxa"/>
            <w:tcMar>
              <w:top w:w="90" w:type="dxa"/>
              <w:left w:w="90" w:type="dxa"/>
              <w:bottom w:w="90" w:type="dxa"/>
              <w:right w:w="90" w:type="dxa"/>
            </w:tcMar>
            <w:vAlign w:val="center"/>
          </w:tcPr>
          <w:p w14:paraId="03D173A0" w14:textId="424742AD" w:rsidR="0093137B" w:rsidRDefault="0093137B" w:rsidP="00311E71">
            <w:pPr>
              <w:spacing w:after="0" w:line="240" w:lineRule="auto"/>
              <w:jc w:val="both"/>
              <w:rPr>
                <w:rFonts w:ascii="Times New Roman" w:hAnsi="Times New Roman"/>
                <w:sz w:val="24"/>
                <w:szCs w:val="24"/>
              </w:rPr>
            </w:pPr>
            <w:r>
              <w:rPr>
                <w:rFonts w:ascii="Times New Roman" w:hAnsi="Times New Roman"/>
                <w:sz w:val="24"/>
                <w:szCs w:val="24"/>
              </w:rPr>
              <w:t xml:space="preserve">Darbo užmokesčio augimas Latvijoje lėtėja. Bendrovės „Figure Baltic Advisory“ tyrimo duomenimis, darbuotojų, kurie per pastaruosius metus liko tose pačiose pareigose, bazinis mėnesio atlyginimas Latvijoje vidutiniškai padidėjo 5,8 proc., o bendras metinis atlygis </w:t>
            </w:r>
            <w:r w:rsidR="00570929">
              <w:rPr>
                <w:rFonts w:ascii="Times New Roman" w:hAnsi="Times New Roman"/>
                <w:sz w:val="24"/>
                <w:szCs w:val="24"/>
              </w:rPr>
              <w:t>-</w:t>
            </w:r>
            <w:r>
              <w:rPr>
                <w:rFonts w:ascii="Times New Roman" w:hAnsi="Times New Roman"/>
                <w:sz w:val="24"/>
                <w:szCs w:val="24"/>
              </w:rPr>
              <w:t xml:space="preserve"> 7,1 proc. Neskaitant COVID-19 pandemijos laikotarpio, tai lėčiausias augimas nuo 2017 m. Per ateinančius metus Latvijos darbdaviai prognozuoja dar nuosaikesnį 4,2 proc.bazinių atlyginimų augimą. Tyrimas rodo, kad spaudimas darbo užmokesčiui mažėja, tačiau išlieka kvalifikuotų darbuotojų trūkumas, o atlyginimai Latvijoje vis dar auga sparčiau už įmonių našumą. Tyrime dalyvavo daugiau kaip 530 organizacijų, pateikusių duomenis apie maždaug 100 tūkst. darbo vietų.</w:t>
            </w:r>
          </w:p>
        </w:tc>
        <w:tc>
          <w:tcPr>
            <w:tcW w:w="2370" w:type="dxa"/>
            <w:tcMar>
              <w:top w:w="90" w:type="dxa"/>
              <w:left w:w="90" w:type="dxa"/>
              <w:bottom w:w="90" w:type="dxa"/>
              <w:right w:w="90" w:type="dxa"/>
            </w:tcMar>
            <w:vAlign w:val="center"/>
          </w:tcPr>
          <w:p w14:paraId="154D6B50" w14:textId="77777777" w:rsidR="0093137B" w:rsidRDefault="0093137B" w:rsidP="0093137B">
            <w:pPr>
              <w:spacing w:after="0" w:line="240" w:lineRule="auto"/>
              <w:rPr>
                <w:rFonts w:ascii="Times New Roman" w:hAnsi="Times New Roman"/>
                <w:sz w:val="24"/>
                <w:szCs w:val="24"/>
              </w:rPr>
            </w:pPr>
            <w:hyperlink r:id="rId19" w:history="1">
              <w:r>
                <w:rPr>
                  <w:rFonts w:ascii="Times New Roman" w:hAnsi="Times New Roman"/>
                  <w:color w:val="0563C1"/>
                  <w:sz w:val="24"/>
                  <w:szCs w:val="24"/>
                  <w:u w:val="single"/>
                </w:rPr>
                <w:t>1. Dienas Bizness</w:t>
              </w:r>
            </w:hyperlink>
          </w:p>
        </w:tc>
        <w:tc>
          <w:tcPr>
            <w:tcW w:w="1615" w:type="dxa"/>
            <w:tcMar>
              <w:top w:w="90" w:type="dxa"/>
              <w:left w:w="90" w:type="dxa"/>
              <w:bottom w:w="90" w:type="dxa"/>
              <w:right w:w="90" w:type="dxa"/>
            </w:tcMar>
            <w:vAlign w:val="center"/>
          </w:tcPr>
          <w:p w14:paraId="561A99A7" w14:textId="2A65151E" w:rsidR="0093137B" w:rsidRDefault="0093137B" w:rsidP="0093137B">
            <w:pPr>
              <w:spacing w:after="0" w:line="240" w:lineRule="auto"/>
              <w:rPr>
                <w:rFonts w:ascii="Times New Roman" w:hAnsi="Times New Roman"/>
                <w:sz w:val="24"/>
                <w:szCs w:val="24"/>
              </w:rPr>
            </w:pPr>
          </w:p>
        </w:tc>
      </w:tr>
      <w:tr w:rsidR="0093137B" w14:paraId="09F4EB78" w14:textId="77777777">
        <w:tc>
          <w:tcPr>
            <w:tcW w:w="1548" w:type="dxa"/>
            <w:tcMar>
              <w:top w:w="90" w:type="dxa"/>
              <w:left w:w="90" w:type="dxa"/>
              <w:bottom w:w="90" w:type="dxa"/>
              <w:right w:w="90" w:type="dxa"/>
            </w:tcMar>
            <w:vAlign w:val="center"/>
          </w:tcPr>
          <w:p w14:paraId="7DBFF976" w14:textId="018FFAA4" w:rsidR="0093137B" w:rsidRDefault="0093137B" w:rsidP="0093137B">
            <w:pPr>
              <w:spacing w:after="0" w:line="240" w:lineRule="auto"/>
              <w:jc w:val="center"/>
              <w:rPr>
                <w:rFonts w:ascii="Times New Roman" w:hAnsi="Times New Roman"/>
                <w:sz w:val="24"/>
                <w:szCs w:val="24"/>
              </w:rPr>
            </w:pPr>
            <w:r>
              <w:rPr>
                <w:rFonts w:ascii="Times New Roman" w:hAnsi="Times New Roman"/>
                <w:sz w:val="24"/>
                <w:szCs w:val="24"/>
              </w:rPr>
              <w:t>2026-08-14</w:t>
            </w:r>
          </w:p>
        </w:tc>
        <w:tc>
          <w:tcPr>
            <w:tcW w:w="9037" w:type="dxa"/>
            <w:tcMar>
              <w:top w:w="90" w:type="dxa"/>
              <w:left w:w="90" w:type="dxa"/>
              <w:bottom w:w="90" w:type="dxa"/>
              <w:right w:w="90" w:type="dxa"/>
            </w:tcMar>
            <w:vAlign w:val="center"/>
          </w:tcPr>
          <w:p w14:paraId="48D224AB" w14:textId="4AC39F30" w:rsidR="0093137B" w:rsidRDefault="0093137B" w:rsidP="00311E71">
            <w:pPr>
              <w:spacing w:after="0" w:line="240" w:lineRule="auto"/>
              <w:jc w:val="both"/>
              <w:rPr>
                <w:rFonts w:ascii="Times New Roman" w:hAnsi="Times New Roman"/>
                <w:sz w:val="24"/>
                <w:szCs w:val="24"/>
              </w:rPr>
            </w:pPr>
            <w:r>
              <w:rPr>
                <w:rFonts w:ascii="Times New Roman" w:hAnsi="Times New Roman"/>
                <w:sz w:val="24"/>
                <w:szCs w:val="24"/>
              </w:rPr>
              <w:t xml:space="preserve">Latvijoje beveik trečdalį bedarbių sudaro ilgalaikiai bedarbiai. 2026 m. antrąjį ketvirtį šalyje buvo 66,2 tūkst. bedarbių, iš jų 21,6 tūkst., arba 32,7 proc., darbo ieškojo ne trumpiau kaip metus. 4,2 tūkst. asmenų nedirbo ketverius metus ar ilgiau. Nors ilgalaikių bedarbių skaičius per ketvirtį sumažėjo 4,2 tūkst., palyginti su tuo pačiu laikotarpiu pernai, jis išliko beveik nepakitęs. Bendras nedarbo lygis siekė 7 proc. </w:t>
            </w:r>
          </w:p>
        </w:tc>
        <w:tc>
          <w:tcPr>
            <w:tcW w:w="2370" w:type="dxa"/>
            <w:tcMar>
              <w:top w:w="90" w:type="dxa"/>
              <w:left w:w="90" w:type="dxa"/>
              <w:bottom w:w="90" w:type="dxa"/>
              <w:right w:w="90" w:type="dxa"/>
            </w:tcMar>
            <w:vAlign w:val="center"/>
          </w:tcPr>
          <w:p w14:paraId="40D59740" w14:textId="77777777" w:rsidR="0093137B" w:rsidRDefault="0093137B" w:rsidP="0093137B">
            <w:pPr>
              <w:spacing w:after="0" w:line="240" w:lineRule="auto"/>
              <w:rPr>
                <w:rFonts w:ascii="Times New Roman" w:hAnsi="Times New Roman"/>
                <w:sz w:val="24"/>
                <w:szCs w:val="24"/>
              </w:rPr>
            </w:pPr>
            <w:hyperlink r:id="rId20" w:history="1">
              <w:r>
                <w:rPr>
                  <w:rFonts w:ascii="Times New Roman" w:hAnsi="Times New Roman"/>
                  <w:color w:val="0563C1"/>
                  <w:sz w:val="24"/>
                  <w:szCs w:val="24"/>
                  <w:u w:val="single"/>
                </w:rPr>
                <w:t>1. Latvijos centrinė statistikos valdyba</w:t>
              </w:r>
            </w:hyperlink>
          </w:p>
        </w:tc>
        <w:tc>
          <w:tcPr>
            <w:tcW w:w="1615" w:type="dxa"/>
            <w:tcMar>
              <w:top w:w="90" w:type="dxa"/>
              <w:left w:w="90" w:type="dxa"/>
              <w:bottom w:w="90" w:type="dxa"/>
              <w:right w:w="90" w:type="dxa"/>
            </w:tcMar>
            <w:vAlign w:val="center"/>
          </w:tcPr>
          <w:p w14:paraId="5D185800" w14:textId="3CA1E899" w:rsidR="0093137B" w:rsidRDefault="0093137B" w:rsidP="0093137B">
            <w:pPr>
              <w:spacing w:after="0" w:line="240" w:lineRule="auto"/>
              <w:rPr>
                <w:rFonts w:ascii="Times New Roman" w:hAnsi="Times New Roman"/>
                <w:sz w:val="24"/>
                <w:szCs w:val="24"/>
              </w:rPr>
            </w:pPr>
          </w:p>
        </w:tc>
      </w:tr>
      <w:tr w:rsidR="0093137B" w14:paraId="5FD620E4" w14:textId="77777777">
        <w:tc>
          <w:tcPr>
            <w:tcW w:w="1548" w:type="dxa"/>
            <w:tcMar>
              <w:top w:w="90" w:type="dxa"/>
              <w:left w:w="90" w:type="dxa"/>
              <w:bottom w:w="90" w:type="dxa"/>
              <w:right w:w="90" w:type="dxa"/>
            </w:tcMar>
            <w:vAlign w:val="center"/>
          </w:tcPr>
          <w:p w14:paraId="13FA0A8D" w14:textId="3B823475" w:rsidR="0093137B" w:rsidRDefault="0093137B" w:rsidP="0093137B">
            <w:pPr>
              <w:spacing w:after="0" w:line="240" w:lineRule="auto"/>
              <w:jc w:val="center"/>
              <w:rPr>
                <w:rFonts w:ascii="Times New Roman" w:hAnsi="Times New Roman"/>
                <w:sz w:val="24"/>
                <w:szCs w:val="24"/>
              </w:rPr>
            </w:pPr>
            <w:r>
              <w:rPr>
                <w:rFonts w:ascii="Times New Roman" w:hAnsi="Times New Roman"/>
                <w:sz w:val="24"/>
                <w:szCs w:val="24"/>
              </w:rPr>
              <w:t>2026-09-07</w:t>
            </w:r>
          </w:p>
        </w:tc>
        <w:tc>
          <w:tcPr>
            <w:tcW w:w="9037" w:type="dxa"/>
            <w:tcMar>
              <w:top w:w="90" w:type="dxa"/>
              <w:left w:w="90" w:type="dxa"/>
              <w:bottom w:w="90" w:type="dxa"/>
              <w:right w:w="90" w:type="dxa"/>
            </w:tcMar>
            <w:vAlign w:val="center"/>
          </w:tcPr>
          <w:p w14:paraId="6AE0D892" w14:textId="1EF0317F" w:rsidR="0093137B" w:rsidRDefault="0093137B" w:rsidP="00311E71">
            <w:pPr>
              <w:spacing w:after="0" w:line="240" w:lineRule="auto"/>
              <w:jc w:val="both"/>
              <w:rPr>
                <w:rFonts w:ascii="Times New Roman" w:hAnsi="Times New Roman"/>
                <w:sz w:val="24"/>
                <w:szCs w:val="24"/>
              </w:rPr>
            </w:pPr>
            <w:r>
              <w:rPr>
                <w:rFonts w:ascii="Times New Roman" w:hAnsi="Times New Roman"/>
                <w:sz w:val="24"/>
                <w:szCs w:val="24"/>
              </w:rPr>
              <w:t xml:space="preserve">Latvijoje daugėja užimtų darbo vietų, tačiau išlieka darbuotojų trūkumas viešajame sektoriuje. 2026 m. II ketvirtį Latvijoje buvo 19,7 tūkst. laisvų darbo vietų </w:t>
            </w:r>
            <w:r w:rsidR="00E04BF4">
              <w:rPr>
                <w:rFonts w:ascii="Times New Roman" w:hAnsi="Times New Roman"/>
                <w:sz w:val="24"/>
                <w:szCs w:val="24"/>
              </w:rPr>
              <w:t>-</w:t>
            </w:r>
            <w:r>
              <w:rPr>
                <w:rFonts w:ascii="Times New Roman" w:hAnsi="Times New Roman"/>
                <w:sz w:val="24"/>
                <w:szCs w:val="24"/>
              </w:rPr>
              <w:t xml:space="preserve"> 1,8 proc. mažiau nei prieš metus. Tuo pat metu užimtų darbo vietų skaičius padidėjo 1,4 proc. </w:t>
            </w:r>
            <w:r w:rsidR="00E04BF4">
              <w:rPr>
                <w:rFonts w:ascii="Times New Roman" w:hAnsi="Times New Roman"/>
                <w:sz w:val="24"/>
                <w:szCs w:val="24"/>
              </w:rPr>
              <w:t>-</w:t>
            </w:r>
            <w:r>
              <w:rPr>
                <w:rFonts w:ascii="Times New Roman" w:hAnsi="Times New Roman"/>
                <w:sz w:val="24"/>
                <w:szCs w:val="24"/>
              </w:rPr>
              <w:t xml:space="preserve"> iki 904,2 tūkst. Privačiajame sektoriuje buvo 10,5 tūkst., viešajame </w:t>
            </w:r>
            <w:r w:rsidR="00E04BF4">
              <w:rPr>
                <w:rFonts w:ascii="Times New Roman" w:hAnsi="Times New Roman"/>
                <w:sz w:val="24"/>
                <w:szCs w:val="24"/>
              </w:rPr>
              <w:t xml:space="preserve">- </w:t>
            </w:r>
            <w:r>
              <w:rPr>
                <w:rFonts w:ascii="Times New Roman" w:hAnsi="Times New Roman"/>
                <w:sz w:val="24"/>
                <w:szCs w:val="24"/>
              </w:rPr>
              <w:t>9,2 tūkst. laisvų darbo vietų.</w:t>
            </w:r>
            <w:r w:rsidR="009D6FED">
              <w:rPr>
                <w:rFonts w:ascii="Times New Roman" w:hAnsi="Times New Roman"/>
                <w:sz w:val="24"/>
                <w:szCs w:val="24"/>
              </w:rPr>
              <w:t xml:space="preserve"> </w:t>
            </w:r>
          </w:p>
        </w:tc>
        <w:tc>
          <w:tcPr>
            <w:tcW w:w="2370" w:type="dxa"/>
            <w:tcMar>
              <w:top w:w="90" w:type="dxa"/>
              <w:left w:w="90" w:type="dxa"/>
              <w:bottom w:w="90" w:type="dxa"/>
              <w:right w:w="90" w:type="dxa"/>
            </w:tcMar>
            <w:vAlign w:val="center"/>
          </w:tcPr>
          <w:p w14:paraId="4EE13ECB" w14:textId="77777777" w:rsidR="0093137B" w:rsidRDefault="0093137B" w:rsidP="0093137B">
            <w:pPr>
              <w:spacing w:after="0" w:line="240" w:lineRule="auto"/>
              <w:rPr>
                <w:rFonts w:ascii="Times New Roman" w:hAnsi="Times New Roman"/>
                <w:sz w:val="24"/>
                <w:szCs w:val="24"/>
              </w:rPr>
            </w:pPr>
            <w:hyperlink r:id="rId21" w:history="1">
              <w:r>
                <w:rPr>
                  <w:rFonts w:ascii="Times New Roman" w:hAnsi="Times New Roman"/>
                  <w:color w:val="0563C1"/>
                  <w:sz w:val="24"/>
                  <w:szCs w:val="24"/>
                  <w:u w:val="single"/>
                </w:rPr>
                <w:t>1. Latvijos centrinė statistikos valdyba</w:t>
              </w:r>
            </w:hyperlink>
          </w:p>
        </w:tc>
        <w:tc>
          <w:tcPr>
            <w:tcW w:w="1615" w:type="dxa"/>
            <w:tcMar>
              <w:top w:w="90" w:type="dxa"/>
              <w:left w:w="90" w:type="dxa"/>
              <w:bottom w:w="90" w:type="dxa"/>
              <w:right w:w="90" w:type="dxa"/>
            </w:tcMar>
            <w:vAlign w:val="center"/>
          </w:tcPr>
          <w:p w14:paraId="3232BF00" w14:textId="02E7EA15" w:rsidR="0093137B" w:rsidRDefault="0093137B" w:rsidP="0093137B">
            <w:pPr>
              <w:spacing w:after="0" w:line="240" w:lineRule="auto"/>
              <w:rPr>
                <w:rFonts w:ascii="Times New Roman" w:hAnsi="Times New Roman"/>
                <w:sz w:val="24"/>
                <w:szCs w:val="24"/>
              </w:rPr>
            </w:pPr>
          </w:p>
        </w:tc>
      </w:tr>
      <w:tr w:rsidR="0093137B" w14:paraId="0017A8D4" w14:textId="77777777">
        <w:trPr>
          <w:cantSplit/>
        </w:trPr>
        <w:tc>
          <w:tcPr>
            <w:tcW w:w="14570" w:type="dxa"/>
            <w:gridSpan w:val="4"/>
            <w:shd w:val="clear" w:color="auto" w:fill="EAF2F8"/>
            <w:tcMar>
              <w:top w:w="100" w:type="dxa"/>
              <w:left w:w="90" w:type="dxa"/>
              <w:bottom w:w="100" w:type="dxa"/>
              <w:right w:w="90" w:type="dxa"/>
            </w:tcMar>
            <w:vAlign w:val="center"/>
          </w:tcPr>
          <w:p w14:paraId="4969EF8C" w14:textId="63477905" w:rsidR="0093137B" w:rsidRDefault="0093137B" w:rsidP="00311E71">
            <w:pPr>
              <w:keepNext/>
              <w:spacing w:after="0" w:line="240" w:lineRule="auto"/>
              <w:jc w:val="both"/>
              <w:rPr>
                <w:rFonts w:ascii="Times New Roman" w:hAnsi="Times New Roman"/>
                <w:sz w:val="24"/>
                <w:szCs w:val="24"/>
              </w:rPr>
            </w:pPr>
            <w:r w:rsidRPr="006A595A">
              <w:rPr>
                <w:rFonts w:ascii="Times New Roman" w:hAnsi="Times New Roman"/>
                <w:b/>
                <w:sz w:val="24"/>
                <w:szCs w:val="24"/>
              </w:rPr>
              <w:lastRenderedPageBreak/>
              <w:t>Lietuvos ekonominiam saugumui aktuali informacija</w:t>
            </w:r>
          </w:p>
        </w:tc>
      </w:tr>
      <w:tr w:rsidR="0093137B" w14:paraId="6523BD49" w14:textId="77777777">
        <w:tc>
          <w:tcPr>
            <w:tcW w:w="1548" w:type="dxa"/>
            <w:tcMar>
              <w:top w:w="90" w:type="dxa"/>
              <w:left w:w="90" w:type="dxa"/>
              <w:bottom w:w="90" w:type="dxa"/>
              <w:right w:w="90" w:type="dxa"/>
            </w:tcMar>
            <w:vAlign w:val="center"/>
          </w:tcPr>
          <w:p w14:paraId="26B46DC3" w14:textId="01AB4510" w:rsidR="0093137B" w:rsidRDefault="0093137B" w:rsidP="0093137B">
            <w:pPr>
              <w:spacing w:after="0" w:line="240" w:lineRule="auto"/>
              <w:jc w:val="center"/>
              <w:rPr>
                <w:rFonts w:ascii="Times New Roman" w:hAnsi="Times New Roman"/>
                <w:sz w:val="24"/>
                <w:szCs w:val="24"/>
              </w:rPr>
            </w:pPr>
            <w:r>
              <w:rPr>
                <w:rFonts w:ascii="Times New Roman" w:hAnsi="Times New Roman"/>
                <w:sz w:val="24"/>
                <w:szCs w:val="24"/>
              </w:rPr>
              <w:t>2026-09-02</w:t>
            </w:r>
          </w:p>
        </w:tc>
        <w:tc>
          <w:tcPr>
            <w:tcW w:w="9037" w:type="dxa"/>
            <w:tcMar>
              <w:top w:w="90" w:type="dxa"/>
              <w:left w:w="90" w:type="dxa"/>
              <w:bottom w:w="90" w:type="dxa"/>
              <w:right w:w="90" w:type="dxa"/>
            </w:tcMar>
            <w:vAlign w:val="center"/>
          </w:tcPr>
          <w:p w14:paraId="72E393C6" w14:textId="16451D11" w:rsidR="0093137B" w:rsidRDefault="0093137B" w:rsidP="00311E71">
            <w:pPr>
              <w:spacing w:after="0" w:line="240" w:lineRule="auto"/>
              <w:jc w:val="both"/>
              <w:rPr>
                <w:rFonts w:ascii="Times New Roman" w:hAnsi="Times New Roman"/>
                <w:sz w:val="24"/>
                <w:szCs w:val="24"/>
              </w:rPr>
            </w:pPr>
            <w:r>
              <w:rPr>
                <w:rFonts w:ascii="Times New Roman" w:hAnsi="Times New Roman"/>
                <w:sz w:val="24"/>
                <w:szCs w:val="24"/>
              </w:rPr>
              <w:t xml:space="preserve">Rygos oro uosto apyvarta 2026 m. I pusmetį augo 1,5 proc. iki 38,82 mln. Eur, o pelnas </w:t>
            </w:r>
            <w:r w:rsidR="008E3E0A">
              <w:rPr>
                <w:rFonts w:ascii="Times New Roman" w:hAnsi="Times New Roman"/>
                <w:sz w:val="24"/>
                <w:szCs w:val="24"/>
              </w:rPr>
              <w:t>-</w:t>
            </w:r>
            <w:r>
              <w:rPr>
                <w:rFonts w:ascii="Times New Roman" w:hAnsi="Times New Roman"/>
                <w:sz w:val="24"/>
                <w:szCs w:val="24"/>
              </w:rPr>
              <w:t xml:space="preserve"> 15,3 proc. iki 2,79 mln. Eur. Keleivių skaičius sumažėjo 1 proc. iki 3,279 mln., tačiau krovinių apimtys išaugo 57 proc. iki 14 tūkst. tonų. Oro uostas į plėtros projektus investavo 11,2 mln. Eur</w:t>
            </w:r>
            <w:r w:rsidR="008E3E0A">
              <w:rPr>
                <w:rFonts w:ascii="Times New Roman" w:hAnsi="Times New Roman"/>
                <w:sz w:val="24"/>
                <w:szCs w:val="24"/>
              </w:rPr>
              <w:t xml:space="preserve">. </w:t>
            </w:r>
            <w:r w:rsidR="00706E27">
              <w:rPr>
                <w:rFonts w:ascii="Times New Roman" w:hAnsi="Times New Roman"/>
                <w:sz w:val="24"/>
                <w:szCs w:val="24"/>
              </w:rPr>
              <w:t>T</w:t>
            </w:r>
            <w:r>
              <w:rPr>
                <w:rFonts w:ascii="Times New Roman" w:hAnsi="Times New Roman"/>
                <w:sz w:val="24"/>
                <w:szCs w:val="24"/>
              </w:rPr>
              <w:t xml:space="preserve">aip pat stiprino dronų aptikimo ir neutralizavimo bei saugumo sistemas. </w:t>
            </w:r>
          </w:p>
        </w:tc>
        <w:tc>
          <w:tcPr>
            <w:tcW w:w="2370" w:type="dxa"/>
            <w:tcMar>
              <w:top w:w="90" w:type="dxa"/>
              <w:left w:w="90" w:type="dxa"/>
              <w:bottom w:w="90" w:type="dxa"/>
              <w:right w:w="90" w:type="dxa"/>
            </w:tcMar>
            <w:vAlign w:val="center"/>
          </w:tcPr>
          <w:p w14:paraId="1FA91AC7" w14:textId="77777777" w:rsidR="0093137B" w:rsidRDefault="0093137B" w:rsidP="0093137B">
            <w:pPr>
              <w:spacing w:after="0" w:line="240" w:lineRule="auto"/>
              <w:rPr>
                <w:rFonts w:ascii="Times New Roman" w:hAnsi="Times New Roman"/>
                <w:sz w:val="24"/>
                <w:szCs w:val="24"/>
              </w:rPr>
            </w:pPr>
            <w:hyperlink r:id="rId22" w:history="1">
              <w:r>
                <w:rPr>
                  <w:rFonts w:ascii="Times New Roman" w:hAnsi="Times New Roman"/>
                  <w:color w:val="0563C1"/>
                  <w:sz w:val="24"/>
                  <w:szCs w:val="24"/>
                  <w:u w:val="single"/>
                </w:rPr>
                <w:t>1. LETA</w:t>
              </w:r>
            </w:hyperlink>
          </w:p>
        </w:tc>
        <w:tc>
          <w:tcPr>
            <w:tcW w:w="1615" w:type="dxa"/>
            <w:tcMar>
              <w:top w:w="90" w:type="dxa"/>
              <w:left w:w="90" w:type="dxa"/>
              <w:bottom w:w="90" w:type="dxa"/>
              <w:right w:w="90" w:type="dxa"/>
            </w:tcMar>
            <w:vAlign w:val="center"/>
          </w:tcPr>
          <w:p w14:paraId="357503E8" w14:textId="2125ECD2" w:rsidR="0093137B" w:rsidRDefault="0093137B" w:rsidP="0093137B">
            <w:pPr>
              <w:spacing w:after="0" w:line="240" w:lineRule="auto"/>
              <w:rPr>
                <w:rFonts w:ascii="Times New Roman" w:hAnsi="Times New Roman"/>
                <w:sz w:val="24"/>
                <w:szCs w:val="24"/>
              </w:rPr>
            </w:pPr>
          </w:p>
        </w:tc>
      </w:tr>
      <w:tr w:rsidR="0093137B" w14:paraId="31BC9D80" w14:textId="77777777" w:rsidTr="00094BBA">
        <w:tc>
          <w:tcPr>
            <w:tcW w:w="1548" w:type="dxa"/>
            <w:tcMar>
              <w:top w:w="90" w:type="dxa"/>
              <w:left w:w="90" w:type="dxa"/>
              <w:bottom w:w="90" w:type="dxa"/>
              <w:right w:w="90" w:type="dxa"/>
            </w:tcMar>
            <w:vAlign w:val="center"/>
          </w:tcPr>
          <w:p w14:paraId="28F7E7F5" w14:textId="77777777" w:rsidR="0093137B" w:rsidRDefault="0093137B" w:rsidP="0093137B">
            <w:pPr>
              <w:spacing w:after="0" w:line="240" w:lineRule="auto"/>
              <w:jc w:val="center"/>
              <w:rPr>
                <w:rFonts w:ascii="Times New Roman" w:hAnsi="Times New Roman"/>
                <w:sz w:val="24"/>
                <w:szCs w:val="24"/>
              </w:rPr>
            </w:pPr>
            <w:r>
              <w:rPr>
                <w:rFonts w:ascii="Times New Roman" w:hAnsi="Times New Roman"/>
                <w:sz w:val="24"/>
                <w:szCs w:val="24"/>
              </w:rPr>
              <w:t>2026-09-11</w:t>
            </w:r>
          </w:p>
        </w:tc>
        <w:tc>
          <w:tcPr>
            <w:tcW w:w="9037" w:type="dxa"/>
            <w:tcMar>
              <w:top w:w="90" w:type="dxa"/>
              <w:left w:w="90" w:type="dxa"/>
              <w:bottom w:w="90" w:type="dxa"/>
              <w:right w:w="90" w:type="dxa"/>
            </w:tcMar>
            <w:vAlign w:val="center"/>
          </w:tcPr>
          <w:p w14:paraId="3D2A8174" w14:textId="1A2F5C26" w:rsidR="0093137B" w:rsidRDefault="009D6FED" w:rsidP="00311E71">
            <w:pPr>
              <w:spacing w:after="0" w:line="240" w:lineRule="auto"/>
              <w:jc w:val="both"/>
              <w:rPr>
                <w:rFonts w:ascii="Times New Roman" w:hAnsi="Times New Roman"/>
                <w:sz w:val="24"/>
                <w:szCs w:val="24"/>
              </w:rPr>
            </w:pPr>
            <w:r w:rsidRPr="009D6FED">
              <w:rPr>
                <w:rFonts w:ascii="Times New Roman" w:hAnsi="Times New Roman"/>
                <w:sz w:val="24"/>
                <w:szCs w:val="24"/>
              </w:rPr>
              <w:t xml:space="preserve">„airBaltic“ tęsia finansinį restruktūrizavimą pagal JAV „Chapter 11“ procedūrą ir jau gavo pirmąją 140 mln. eurų dalį iš teismo preliminariai patvirtinto 350 mln. eurų finansavimo paketo. Didžioji dalis šios sumos </w:t>
            </w:r>
            <w:r w:rsidR="00706E27">
              <w:rPr>
                <w:rFonts w:ascii="Times New Roman" w:hAnsi="Times New Roman"/>
                <w:sz w:val="24"/>
                <w:szCs w:val="24"/>
              </w:rPr>
              <w:t>-</w:t>
            </w:r>
            <w:r w:rsidRPr="009D6FED">
              <w:rPr>
                <w:rFonts w:ascii="Times New Roman" w:hAnsi="Times New Roman"/>
                <w:sz w:val="24"/>
                <w:szCs w:val="24"/>
              </w:rPr>
              <w:t xml:space="preserve"> 78,9 mln. eurų </w:t>
            </w:r>
            <w:r w:rsidR="00706E27">
              <w:rPr>
                <w:rFonts w:ascii="Times New Roman" w:hAnsi="Times New Roman"/>
                <w:sz w:val="24"/>
                <w:szCs w:val="24"/>
              </w:rPr>
              <w:t>-</w:t>
            </w:r>
            <w:r w:rsidRPr="009D6FED">
              <w:rPr>
                <w:rFonts w:ascii="Times New Roman" w:hAnsi="Times New Roman"/>
                <w:sz w:val="24"/>
                <w:szCs w:val="24"/>
              </w:rPr>
              <w:t xml:space="preserve"> bus skirta aštuoniems „Airbus A220-300“ orlaiviams ir septyniems atsarginiams varikliams išpirkti. Bendrovės finansinė skola siekia 503,3 mln. eurų, o veiklos nuomos įsipareigojimai </w:t>
            </w:r>
            <w:r w:rsidR="00706E27">
              <w:rPr>
                <w:rFonts w:ascii="Times New Roman" w:hAnsi="Times New Roman"/>
                <w:sz w:val="24"/>
                <w:szCs w:val="24"/>
              </w:rPr>
              <w:t>-</w:t>
            </w:r>
            <w:r w:rsidRPr="009D6FED">
              <w:rPr>
                <w:rFonts w:ascii="Times New Roman" w:hAnsi="Times New Roman"/>
                <w:sz w:val="24"/>
                <w:szCs w:val="24"/>
              </w:rPr>
              <w:t xml:space="preserve"> 855,6 mln. eurų. Siekdama mažinti sąnaudas, „airBaltic“ konsultuojasi su profesinėmis sąjungomis dėl galimo darbuotojų skaičiaus mažinimo, taip pat planuoja iki 2026 m. pabaigos sumažinti orlaivių parką nuo 54 iki 36 lėktuvų. Nepaisant restruktūrizavimo, skrydžiai ir keleivių aptarnavimas tęsiami įprastai, o procedūrą tikimasi užbaigti iki 2027 m. birželio.</w:t>
            </w:r>
          </w:p>
        </w:tc>
        <w:tc>
          <w:tcPr>
            <w:tcW w:w="2370" w:type="dxa"/>
            <w:tcMar>
              <w:top w:w="90" w:type="dxa"/>
              <w:left w:w="90" w:type="dxa"/>
              <w:bottom w:w="90" w:type="dxa"/>
              <w:right w:w="90" w:type="dxa"/>
            </w:tcMar>
            <w:vAlign w:val="center"/>
          </w:tcPr>
          <w:p w14:paraId="22B523B2" w14:textId="77777777" w:rsidR="0093137B" w:rsidRDefault="0093137B" w:rsidP="0093137B">
            <w:pPr>
              <w:spacing w:after="0" w:line="240" w:lineRule="auto"/>
              <w:rPr>
                <w:rFonts w:ascii="Times New Roman" w:hAnsi="Times New Roman"/>
                <w:sz w:val="24"/>
                <w:szCs w:val="24"/>
              </w:rPr>
            </w:pPr>
            <w:hyperlink r:id="rId23" w:history="1">
              <w:r>
                <w:rPr>
                  <w:rFonts w:ascii="Times New Roman" w:hAnsi="Times New Roman"/>
                  <w:color w:val="0563C1"/>
                  <w:sz w:val="24"/>
                  <w:szCs w:val="24"/>
                  <w:u w:val="single"/>
                </w:rPr>
                <w:t>1. Reuters</w:t>
              </w:r>
            </w:hyperlink>
          </w:p>
          <w:p w14:paraId="1A27345D" w14:textId="77777777" w:rsidR="0093137B" w:rsidRDefault="0093137B" w:rsidP="0093137B">
            <w:pPr>
              <w:spacing w:after="0" w:line="240" w:lineRule="auto"/>
              <w:rPr>
                <w:rFonts w:ascii="Times New Roman" w:hAnsi="Times New Roman"/>
                <w:sz w:val="24"/>
                <w:szCs w:val="24"/>
              </w:rPr>
            </w:pPr>
            <w:hyperlink r:id="rId24" w:history="1">
              <w:r>
                <w:rPr>
                  <w:rFonts w:ascii="Times New Roman" w:hAnsi="Times New Roman"/>
                  <w:color w:val="0563C1"/>
                  <w:sz w:val="24"/>
                  <w:szCs w:val="24"/>
                  <w:u w:val="single"/>
                </w:rPr>
                <w:t>2. Reuters</w:t>
              </w:r>
            </w:hyperlink>
          </w:p>
        </w:tc>
        <w:tc>
          <w:tcPr>
            <w:tcW w:w="1615" w:type="dxa"/>
            <w:tcMar>
              <w:top w:w="90" w:type="dxa"/>
              <w:left w:w="90" w:type="dxa"/>
              <w:bottom w:w="90" w:type="dxa"/>
              <w:right w:w="90" w:type="dxa"/>
            </w:tcMar>
            <w:vAlign w:val="center"/>
          </w:tcPr>
          <w:p w14:paraId="6D109F4F" w14:textId="77777777" w:rsidR="0093137B" w:rsidRDefault="0093137B" w:rsidP="0093137B">
            <w:pPr>
              <w:spacing w:after="0" w:line="240" w:lineRule="auto"/>
              <w:rPr>
                <w:rFonts w:ascii="Times New Roman" w:hAnsi="Times New Roman"/>
                <w:sz w:val="24"/>
                <w:szCs w:val="24"/>
              </w:rPr>
            </w:pPr>
          </w:p>
        </w:tc>
      </w:tr>
      <w:tr w:rsidR="0093137B" w14:paraId="5C65B630" w14:textId="77777777">
        <w:tc>
          <w:tcPr>
            <w:tcW w:w="1548" w:type="dxa"/>
            <w:tcMar>
              <w:top w:w="90" w:type="dxa"/>
              <w:left w:w="90" w:type="dxa"/>
              <w:bottom w:w="90" w:type="dxa"/>
              <w:right w:w="90" w:type="dxa"/>
            </w:tcMar>
            <w:vAlign w:val="center"/>
          </w:tcPr>
          <w:p w14:paraId="73E27C84" w14:textId="38A34F2D" w:rsidR="0093137B" w:rsidRDefault="0093137B" w:rsidP="0093137B">
            <w:pPr>
              <w:spacing w:after="0" w:line="240" w:lineRule="auto"/>
              <w:jc w:val="center"/>
              <w:rPr>
                <w:rFonts w:ascii="Times New Roman" w:hAnsi="Times New Roman"/>
                <w:sz w:val="24"/>
                <w:szCs w:val="24"/>
              </w:rPr>
            </w:pPr>
            <w:r>
              <w:rPr>
                <w:rFonts w:ascii="Times New Roman" w:hAnsi="Times New Roman"/>
                <w:sz w:val="24"/>
                <w:szCs w:val="24"/>
              </w:rPr>
              <w:t>2026-09-01</w:t>
            </w:r>
          </w:p>
        </w:tc>
        <w:tc>
          <w:tcPr>
            <w:tcW w:w="9037" w:type="dxa"/>
            <w:tcMar>
              <w:top w:w="90" w:type="dxa"/>
              <w:left w:w="90" w:type="dxa"/>
              <w:bottom w:w="90" w:type="dxa"/>
              <w:right w:w="90" w:type="dxa"/>
            </w:tcMar>
            <w:vAlign w:val="center"/>
          </w:tcPr>
          <w:p w14:paraId="52CFBEA6" w14:textId="46A237B6" w:rsidR="0093137B" w:rsidRDefault="0093137B" w:rsidP="000A699C">
            <w:pPr>
              <w:spacing w:after="0" w:line="240" w:lineRule="auto"/>
              <w:jc w:val="both"/>
              <w:rPr>
                <w:rFonts w:ascii="Times New Roman" w:hAnsi="Times New Roman"/>
                <w:sz w:val="24"/>
                <w:szCs w:val="24"/>
              </w:rPr>
            </w:pPr>
            <w:r>
              <w:rPr>
                <w:rFonts w:ascii="Times New Roman" w:hAnsi="Times New Roman"/>
                <w:sz w:val="24"/>
                <w:szCs w:val="24"/>
              </w:rPr>
              <w:t xml:space="preserve">Latvija atsisako dabartinio „Rail Baltica“ tilto per Dauguvą projekto ir grąžins Europos Komisijai 25,8 mln. eurų avansą. Pagal dabartinį dviejų lygių automobilių ir geležinkelio tilto ties Salaspiliu projektą statybos galėtų kainuoti apie 744 mln. eurų, todėl Vyriausybė pavedė parengti ekonomiškesnį techninį sprendinį. Dėl projekto pakeitimo bus nutraukta 51,5 mln. eurų vertės ES karinio mobilumo finansavimo sutartis, o Latvija turės grąžinti jau gautą avansą. Svarstoma vietoje vieno dviejų lygių tilto statyti du lygiagrečius tiltus automobiliams ir geležinkeliui </w:t>
            </w:r>
            <w:r w:rsidR="00D50EED">
              <w:rPr>
                <w:rFonts w:ascii="Times New Roman" w:hAnsi="Times New Roman"/>
                <w:sz w:val="24"/>
                <w:szCs w:val="24"/>
              </w:rPr>
              <w:t>-</w:t>
            </w:r>
            <w:r>
              <w:rPr>
                <w:rFonts w:ascii="Times New Roman" w:hAnsi="Times New Roman"/>
                <w:sz w:val="24"/>
                <w:szCs w:val="24"/>
              </w:rPr>
              <w:t xml:space="preserve"> preliminariai tai galėtų sumažinti kainą apie 30 proc.</w:t>
            </w:r>
          </w:p>
        </w:tc>
        <w:tc>
          <w:tcPr>
            <w:tcW w:w="2370" w:type="dxa"/>
            <w:tcMar>
              <w:top w:w="90" w:type="dxa"/>
              <w:left w:w="90" w:type="dxa"/>
              <w:bottom w:w="90" w:type="dxa"/>
              <w:right w:w="90" w:type="dxa"/>
            </w:tcMar>
            <w:vAlign w:val="center"/>
          </w:tcPr>
          <w:p w14:paraId="06D1D953" w14:textId="19DD8F63" w:rsidR="0093137B" w:rsidRDefault="00326FBF" w:rsidP="00326FBF">
            <w:pPr>
              <w:pStyle w:val="ListParagraph"/>
              <w:numPr>
                <w:ilvl w:val="0"/>
                <w:numId w:val="14"/>
              </w:numPr>
              <w:spacing w:after="0" w:line="240" w:lineRule="auto"/>
            </w:pPr>
            <w:hyperlink r:id="rId25" w:history="1">
              <w:r w:rsidRPr="00326FBF">
                <w:rPr>
                  <w:rStyle w:val="Hyperlink"/>
                </w:rPr>
                <w:t>ReTV.lv</w:t>
              </w:r>
            </w:hyperlink>
          </w:p>
        </w:tc>
        <w:tc>
          <w:tcPr>
            <w:tcW w:w="1615" w:type="dxa"/>
            <w:tcMar>
              <w:top w:w="90" w:type="dxa"/>
              <w:left w:w="90" w:type="dxa"/>
              <w:bottom w:w="90" w:type="dxa"/>
              <w:right w:w="90" w:type="dxa"/>
            </w:tcMar>
            <w:vAlign w:val="center"/>
          </w:tcPr>
          <w:p w14:paraId="3B8AF1A9" w14:textId="77777777" w:rsidR="0093137B" w:rsidRDefault="0093137B" w:rsidP="0093137B">
            <w:pPr>
              <w:spacing w:after="0" w:line="240" w:lineRule="auto"/>
              <w:rPr>
                <w:rFonts w:ascii="Times New Roman" w:hAnsi="Times New Roman"/>
                <w:sz w:val="24"/>
                <w:szCs w:val="24"/>
              </w:rPr>
            </w:pPr>
          </w:p>
        </w:tc>
      </w:tr>
      <w:tr w:rsidR="0093137B" w14:paraId="37A23519" w14:textId="77777777">
        <w:tc>
          <w:tcPr>
            <w:tcW w:w="1548" w:type="dxa"/>
            <w:tcMar>
              <w:top w:w="90" w:type="dxa"/>
              <w:left w:w="90" w:type="dxa"/>
              <w:bottom w:w="90" w:type="dxa"/>
              <w:right w:w="90" w:type="dxa"/>
            </w:tcMar>
            <w:vAlign w:val="center"/>
          </w:tcPr>
          <w:p w14:paraId="0381017D" w14:textId="77777777" w:rsidR="0093137B" w:rsidRDefault="0093137B" w:rsidP="0093137B">
            <w:pPr>
              <w:spacing w:after="0" w:line="240" w:lineRule="auto"/>
              <w:jc w:val="center"/>
              <w:rPr>
                <w:rFonts w:ascii="Times New Roman" w:hAnsi="Times New Roman"/>
                <w:sz w:val="24"/>
                <w:szCs w:val="24"/>
              </w:rPr>
            </w:pPr>
            <w:r>
              <w:rPr>
                <w:rFonts w:ascii="Times New Roman" w:hAnsi="Times New Roman"/>
                <w:sz w:val="24"/>
                <w:szCs w:val="24"/>
              </w:rPr>
              <w:t>2026-09-09</w:t>
            </w:r>
          </w:p>
        </w:tc>
        <w:tc>
          <w:tcPr>
            <w:tcW w:w="9037" w:type="dxa"/>
            <w:tcMar>
              <w:top w:w="90" w:type="dxa"/>
              <w:left w:w="90" w:type="dxa"/>
              <w:bottom w:w="90" w:type="dxa"/>
              <w:right w:w="90" w:type="dxa"/>
            </w:tcMar>
            <w:vAlign w:val="center"/>
          </w:tcPr>
          <w:p w14:paraId="0722C838" w14:textId="77777777" w:rsidR="0093137B" w:rsidRDefault="0093137B" w:rsidP="000A699C">
            <w:pPr>
              <w:spacing w:after="0" w:line="240" w:lineRule="auto"/>
              <w:jc w:val="both"/>
              <w:rPr>
                <w:rFonts w:ascii="Times New Roman" w:hAnsi="Times New Roman"/>
                <w:sz w:val="24"/>
                <w:szCs w:val="24"/>
              </w:rPr>
            </w:pPr>
            <w:r>
              <w:rPr>
                <w:rFonts w:ascii="Times New Roman" w:hAnsi="Times New Roman"/>
                <w:sz w:val="24"/>
                <w:szCs w:val="24"/>
              </w:rPr>
              <w:t xml:space="preserve">Baltijos šalys derina bendrą priemonę prieš rusiškų grūdų tranzitą. Rugsėjo 9 d. Latvijos premjeras Andris Kulbergas pranešė, kad Latvija, Lietuva ir Estija aukščiausiu politiniu lygmeniu derina bendrą poziciją, kuri gali būti paskelbta artimiausiu metu. Svarstoma ne </w:t>
            </w:r>
            <w:r>
              <w:rPr>
                <w:rFonts w:ascii="Times New Roman" w:hAnsi="Times New Roman"/>
                <w:sz w:val="24"/>
                <w:szCs w:val="24"/>
              </w:rPr>
              <w:lastRenderedPageBreak/>
              <w:t>muitais apmokestinti grūdus, o koordinuotai didinti mokestį už Rusijos krovinių naudojimąsi Baltijos šalių transporto infrastruktūra. Konkretūs tarifai, jų taikymo apimtis ir įsigaliojimo data dar nenustatyti.</w:t>
            </w:r>
          </w:p>
        </w:tc>
        <w:tc>
          <w:tcPr>
            <w:tcW w:w="2370" w:type="dxa"/>
            <w:tcMar>
              <w:top w:w="90" w:type="dxa"/>
              <w:left w:w="90" w:type="dxa"/>
              <w:bottom w:w="90" w:type="dxa"/>
              <w:right w:w="90" w:type="dxa"/>
            </w:tcMar>
            <w:vAlign w:val="center"/>
          </w:tcPr>
          <w:p w14:paraId="5C67BB79" w14:textId="747E1635" w:rsidR="0093137B" w:rsidRPr="00605E9A" w:rsidRDefault="00605E9A" w:rsidP="00605E9A">
            <w:pPr>
              <w:pStyle w:val="ListParagraph"/>
              <w:numPr>
                <w:ilvl w:val="0"/>
                <w:numId w:val="15"/>
              </w:numPr>
              <w:spacing w:after="0" w:line="240" w:lineRule="auto"/>
              <w:rPr>
                <w:rFonts w:ascii="Times New Roman" w:hAnsi="Times New Roman"/>
                <w:sz w:val="24"/>
                <w:szCs w:val="24"/>
              </w:rPr>
            </w:pPr>
            <w:hyperlink r:id="rId26" w:history="1">
              <w:r w:rsidRPr="00605E9A">
                <w:rPr>
                  <w:rStyle w:val="Hyperlink"/>
                  <w:rFonts w:ascii="Times New Roman" w:hAnsi="Times New Roman"/>
                  <w:sz w:val="24"/>
                  <w:szCs w:val="24"/>
                </w:rPr>
                <w:t>TVNET.lv</w:t>
              </w:r>
            </w:hyperlink>
          </w:p>
        </w:tc>
        <w:tc>
          <w:tcPr>
            <w:tcW w:w="1615" w:type="dxa"/>
            <w:tcMar>
              <w:top w:w="90" w:type="dxa"/>
              <w:left w:w="90" w:type="dxa"/>
              <w:bottom w:w="90" w:type="dxa"/>
              <w:right w:w="90" w:type="dxa"/>
            </w:tcMar>
            <w:vAlign w:val="center"/>
          </w:tcPr>
          <w:p w14:paraId="128FF477" w14:textId="77777777" w:rsidR="0093137B" w:rsidRDefault="0093137B" w:rsidP="0093137B">
            <w:pPr>
              <w:spacing w:after="0" w:line="240" w:lineRule="auto"/>
              <w:rPr>
                <w:rFonts w:ascii="Times New Roman" w:hAnsi="Times New Roman"/>
                <w:sz w:val="24"/>
                <w:szCs w:val="24"/>
              </w:rPr>
            </w:pPr>
          </w:p>
        </w:tc>
      </w:tr>
      <w:tr w:rsidR="003539C3" w14:paraId="3721CA58" w14:textId="77777777">
        <w:tc>
          <w:tcPr>
            <w:tcW w:w="1548" w:type="dxa"/>
            <w:tcMar>
              <w:top w:w="90" w:type="dxa"/>
              <w:left w:w="90" w:type="dxa"/>
              <w:bottom w:w="90" w:type="dxa"/>
              <w:right w:w="90" w:type="dxa"/>
            </w:tcMar>
            <w:vAlign w:val="center"/>
          </w:tcPr>
          <w:p w14:paraId="1BFC3D52" w14:textId="77777777" w:rsidR="003539C3" w:rsidRDefault="003539C3" w:rsidP="003539C3">
            <w:pPr>
              <w:spacing w:after="0" w:line="240" w:lineRule="auto"/>
              <w:jc w:val="center"/>
              <w:rPr>
                <w:rFonts w:ascii="Times New Roman" w:hAnsi="Times New Roman"/>
                <w:sz w:val="24"/>
                <w:szCs w:val="24"/>
              </w:rPr>
            </w:pPr>
            <w:r>
              <w:rPr>
                <w:rFonts w:ascii="Times New Roman" w:hAnsi="Times New Roman"/>
                <w:sz w:val="24"/>
                <w:szCs w:val="24"/>
              </w:rPr>
              <w:t>2026-09-16</w:t>
            </w:r>
          </w:p>
          <w:p w14:paraId="5B13DCD8" w14:textId="77777777" w:rsidR="003539C3" w:rsidRDefault="003539C3" w:rsidP="003539C3">
            <w:pPr>
              <w:spacing w:after="0" w:line="240" w:lineRule="auto"/>
              <w:jc w:val="center"/>
              <w:rPr>
                <w:rFonts w:ascii="Times New Roman" w:hAnsi="Times New Roman"/>
                <w:sz w:val="24"/>
                <w:szCs w:val="24"/>
              </w:rPr>
            </w:pPr>
          </w:p>
        </w:tc>
        <w:tc>
          <w:tcPr>
            <w:tcW w:w="9037" w:type="dxa"/>
            <w:tcMar>
              <w:top w:w="90" w:type="dxa"/>
              <w:left w:w="90" w:type="dxa"/>
              <w:bottom w:w="90" w:type="dxa"/>
              <w:right w:w="90" w:type="dxa"/>
            </w:tcMar>
            <w:vAlign w:val="center"/>
          </w:tcPr>
          <w:p w14:paraId="240C1ED7" w14:textId="36C93B78" w:rsidR="003539C3" w:rsidRDefault="003539C3" w:rsidP="006259DC">
            <w:pPr>
              <w:spacing w:after="0" w:line="240" w:lineRule="auto"/>
              <w:jc w:val="both"/>
              <w:rPr>
                <w:rFonts w:ascii="Times New Roman" w:hAnsi="Times New Roman"/>
                <w:sz w:val="24"/>
                <w:szCs w:val="24"/>
              </w:rPr>
            </w:pPr>
            <w:r w:rsidRPr="009D6FED">
              <w:rPr>
                <w:rFonts w:ascii="Times New Roman" w:hAnsi="Times New Roman"/>
                <w:sz w:val="24"/>
                <w:szCs w:val="24"/>
              </w:rPr>
              <w:t>Saeima skubos tvarka priėmė Geležinkelių įstatymo pataisas, leidžiančias „LatRailNet“ operatyviai didinti infrastruktūros naudojimo mokestį rusiškų grūdų vežėjams. Nors Vyriausybė rekomendavo svarstyti 300 proc. mokesčio padidinimą, galutinį tarifą nustatys „LatRailNet“, o pranešimo apie jo pakeitimą terminas sutrumpintas nuo dviejų mėnesių iki dviejų savaičių. Specialus režimas galios iki 2026 m. pabaigos, o papildomos pajamos būtų skiriamos Ukrainos gynybai. Mokestis būtų taikomas javams, geležinkeliu išsiunčiamiems iš Rusijoje esančių stočių, įskaitant tranzitą į Latvijos uostus, nepriklausomai nuo vežėjo registracijos ar savininkų.</w:t>
            </w:r>
          </w:p>
        </w:tc>
        <w:tc>
          <w:tcPr>
            <w:tcW w:w="2370" w:type="dxa"/>
            <w:tcMar>
              <w:top w:w="90" w:type="dxa"/>
              <w:left w:w="90" w:type="dxa"/>
              <w:bottom w:w="90" w:type="dxa"/>
              <w:right w:w="90" w:type="dxa"/>
            </w:tcMar>
            <w:vAlign w:val="center"/>
          </w:tcPr>
          <w:p w14:paraId="60FB4BC6" w14:textId="77777777" w:rsidR="003539C3" w:rsidRDefault="003539C3" w:rsidP="003539C3">
            <w:pPr>
              <w:spacing w:after="0" w:line="240" w:lineRule="auto"/>
              <w:rPr>
                <w:rFonts w:ascii="Times New Roman" w:hAnsi="Times New Roman"/>
                <w:sz w:val="24"/>
                <w:szCs w:val="24"/>
              </w:rPr>
            </w:pPr>
            <w:hyperlink r:id="rId27" w:history="1">
              <w:r>
                <w:rPr>
                  <w:rFonts w:ascii="Times New Roman" w:hAnsi="Times New Roman"/>
                  <w:color w:val="0563C1"/>
                  <w:sz w:val="24"/>
                  <w:szCs w:val="24"/>
                  <w:u w:val="single"/>
                </w:rPr>
                <w:t>1. Saeima</w:t>
              </w:r>
            </w:hyperlink>
          </w:p>
          <w:p w14:paraId="0007E5D1" w14:textId="2396DB53" w:rsidR="003539C3" w:rsidRDefault="003539C3" w:rsidP="003539C3">
            <w:pPr>
              <w:spacing w:after="0" w:line="240" w:lineRule="auto"/>
            </w:pPr>
            <w:hyperlink r:id="rId28" w:history="1">
              <w:r w:rsidRPr="003539C3">
                <w:rPr>
                  <w:rFonts w:ascii="Times New Roman" w:hAnsi="Times New Roman"/>
                  <w:color w:val="0563C1"/>
                  <w:sz w:val="24"/>
                  <w:szCs w:val="24"/>
                  <w:u w:val="single"/>
                </w:rPr>
                <w:t>2. Latvijos Vyriausybė</w:t>
              </w:r>
            </w:hyperlink>
          </w:p>
        </w:tc>
        <w:tc>
          <w:tcPr>
            <w:tcW w:w="1615" w:type="dxa"/>
            <w:tcMar>
              <w:top w:w="90" w:type="dxa"/>
              <w:left w:w="90" w:type="dxa"/>
              <w:bottom w:w="90" w:type="dxa"/>
              <w:right w:w="90" w:type="dxa"/>
            </w:tcMar>
            <w:vAlign w:val="center"/>
          </w:tcPr>
          <w:p w14:paraId="4A082FE2" w14:textId="77777777" w:rsidR="003539C3" w:rsidRDefault="003539C3" w:rsidP="003539C3">
            <w:pPr>
              <w:spacing w:after="0" w:line="240" w:lineRule="auto"/>
              <w:rPr>
                <w:rFonts w:ascii="Times New Roman" w:hAnsi="Times New Roman"/>
                <w:sz w:val="24"/>
                <w:szCs w:val="24"/>
              </w:rPr>
            </w:pPr>
          </w:p>
        </w:tc>
      </w:tr>
      <w:tr w:rsidR="00976CD3" w14:paraId="2C767980" w14:textId="77777777">
        <w:tc>
          <w:tcPr>
            <w:tcW w:w="1548" w:type="dxa"/>
            <w:tcMar>
              <w:top w:w="90" w:type="dxa"/>
              <w:left w:w="90" w:type="dxa"/>
              <w:bottom w:w="90" w:type="dxa"/>
              <w:right w:w="90" w:type="dxa"/>
            </w:tcMar>
            <w:vAlign w:val="center"/>
          </w:tcPr>
          <w:p w14:paraId="1215629D" w14:textId="7DEE34CB" w:rsidR="00976CD3" w:rsidRDefault="00976CD3" w:rsidP="00976CD3">
            <w:pPr>
              <w:spacing w:after="0" w:line="240" w:lineRule="auto"/>
              <w:jc w:val="center"/>
              <w:rPr>
                <w:rFonts w:ascii="Times New Roman" w:hAnsi="Times New Roman"/>
                <w:sz w:val="24"/>
                <w:szCs w:val="24"/>
              </w:rPr>
            </w:pPr>
            <w:r>
              <w:rPr>
                <w:rFonts w:ascii="Times New Roman" w:hAnsi="Times New Roman"/>
                <w:sz w:val="24"/>
                <w:szCs w:val="24"/>
              </w:rPr>
              <w:t>2026-09-08</w:t>
            </w:r>
          </w:p>
        </w:tc>
        <w:tc>
          <w:tcPr>
            <w:tcW w:w="9037" w:type="dxa"/>
            <w:tcMar>
              <w:top w:w="90" w:type="dxa"/>
              <w:left w:w="90" w:type="dxa"/>
              <w:bottom w:w="90" w:type="dxa"/>
              <w:right w:w="90" w:type="dxa"/>
            </w:tcMar>
            <w:vAlign w:val="center"/>
          </w:tcPr>
          <w:p w14:paraId="5974EBE3" w14:textId="366C50A0" w:rsidR="00976CD3" w:rsidRPr="009D6FED" w:rsidRDefault="00976CD3" w:rsidP="00976CD3">
            <w:pPr>
              <w:spacing w:after="0" w:line="240" w:lineRule="auto"/>
              <w:jc w:val="both"/>
              <w:rPr>
                <w:rFonts w:ascii="Times New Roman" w:hAnsi="Times New Roman"/>
                <w:sz w:val="24"/>
                <w:szCs w:val="24"/>
              </w:rPr>
            </w:pPr>
            <w:r w:rsidRPr="009D6FED">
              <w:rPr>
                <w:rFonts w:ascii="Times New Roman" w:hAnsi="Times New Roman"/>
                <w:sz w:val="24"/>
                <w:szCs w:val="24"/>
              </w:rPr>
              <w:t xml:space="preserve">Rugsėjo 8 d. Latvijos Vyriausybė suteikė Maisto ir veterinarijos tarnybai teisę imti tranzitu vežamų grūdų mėginius ir laboratoriniais tyrimais tikrinti deklaruojamą jų kilmę, ypač įtarus, kad jie gali būti iš okupuotų Ukrainos teritorijų. </w:t>
            </w:r>
          </w:p>
        </w:tc>
        <w:tc>
          <w:tcPr>
            <w:tcW w:w="2370" w:type="dxa"/>
            <w:tcMar>
              <w:top w:w="90" w:type="dxa"/>
              <w:left w:w="90" w:type="dxa"/>
              <w:bottom w:w="90" w:type="dxa"/>
              <w:right w:w="90" w:type="dxa"/>
            </w:tcMar>
            <w:vAlign w:val="center"/>
          </w:tcPr>
          <w:p w14:paraId="758A4EE9" w14:textId="745DCDC8" w:rsidR="00976CD3" w:rsidRDefault="00976CD3" w:rsidP="00976CD3">
            <w:pPr>
              <w:spacing w:after="0" w:line="240" w:lineRule="auto"/>
            </w:pPr>
            <w:hyperlink r:id="rId29" w:history="1">
              <w:r>
                <w:rPr>
                  <w:rFonts w:ascii="Times New Roman" w:hAnsi="Times New Roman"/>
                  <w:color w:val="0563C1"/>
                  <w:sz w:val="24"/>
                  <w:szCs w:val="24"/>
                  <w:u w:val="single"/>
                </w:rPr>
                <w:t>1. LETA</w:t>
              </w:r>
            </w:hyperlink>
          </w:p>
        </w:tc>
        <w:tc>
          <w:tcPr>
            <w:tcW w:w="1615" w:type="dxa"/>
            <w:tcMar>
              <w:top w:w="90" w:type="dxa"/>
              <w:left w:w="90" w:type="dxa"/>
              <w:bottom w:w="90" w:type="dxa"/>
              <w:right w:w="90" w:type="dxa"/>
            </w:tcMar>
            <w:vAlign w:val="center"/>
          </w:tcPr>
          <w:p w14:paraId="56022C9D" w14:textId="77777777" w:rsidR="00976CD3" w:rsidRDefault="00976CD3" w:rsidP="00976CD3">
            <w:pPr>
              <w:spacing w:after="0" w:line="240" w:lineRule="auto"/>
              <w:rPr>
                <w:rFonts w:ascii="Times New Roman" w:hAnsi="Times New Roman"/>
                <w:sz w:val="24"/>
                <w:szCs w:val="24"/>
              </w:rPr>
            </w:pPr>
          </w:p>
        </w:tc>
      </w:tr>
      <w:tr w:rsidR="00976CD3" w14:paraId="32A5F353" w14:textId="77777777">
        <w:tc>
          <w:tcPr>
            <w:tcW w:w="1548" w:type="dxa"/>
            <w:tcMar>
              <w:top w:w="90" w:type="dxa"/>
              <w:left w:w="90" w:type="dxa"/>
              <w:bottom w:w="90" w:type="dxa"/>
              <w:right w:w="90" w:type="dxa"/>
            </w:tcMar>
            <w:vAlign w:val="center"/>
          </w:tcPr>
          <w:p w14:paraId="56888C43" w14:textId="199E20D4" w:rsidR="00976CD3" w:rsidRDefault="00976CD3" w:rsidP="00976CD3">
            <w:pPr>
              <w:spacing w:after="0" w:line="240" w:lineRule="auto"/>
              <w:jc w:val="center"/>
              <w:rPr>
                <w:rFonts w:ascii="Times New Roman" w:hAnsi="Times New Roman"/>
                <w:sz w:val="24"/>
                <w:szCs w:val="24"/>
              </w:rPr>
            </w:pPr>
            <w:r>
              <w:rPr>
                <w:rFonts w:ascii="Times New Roman" w:hAnsi="Times New Roman"/>
                <w:sz w:val="24"/>
                <w:szCs w:val="24"/>
              </w:rPr>
              <w:t>2026-09-18</w:t>
            </w:r>
          </w:p>
        </w:tc>
        <w:tc>
          <w:tcPr>
            <w:tcW w:w="9037" w:type="dxa"/>
            <w:tcMar>
              <w:top w:w="90" w:type="dxa"/>
              <w:left w:w="90" w:type="dxa"/>
              <w:bottom w:w="90" w:type="dxa"/>
              <w:right w:w="90" w:type="dxa"/>
            </w:tcMar>
            <w:vAlign w:val="center"/>
          </w:tcPr>
          <w:p w14:paraId="0D24B282" w14:textId="57483D80" w:rsidR="00976CD3" w:rsidRDefault="00976CD3" w:rsidP="00976CD3">
            <w:pPr>
              <w:spacing w:after="0" w:line="240" w:lineRule="auto"/>
              <w:jc w:val="both"/>
              <w:rPr>
                <w:rFonts w:ascii="Times New Roman" w:hAnsi="Times New Roman"/>
                <w:sz w:val="24"/>
                <w:szCs w:val="24"/>
              </w:rPr>
            </w:pPr>
            <w:r>
              <w:rPr>
                <w:rFonts w:ascii="Times New Roman" w:hAnsi="Times New Roman"/>
                <w:sz w:val="24"/>
                <w:szCs w:val="24"/>
              </w:rPr>
              <w:t>„Latvijas dzelzceļš“ („Latvijos geležinkeliai“) už 72,7 mln. eurų modernizavo elektrifikuotų geležinkelių infrastruktūrą. Pasinaudojant ES Ekonomikos gaivinimo ir atsparumo didinimo priemonės lėšomis atnaujinta arba įrengta kontaktinio tinklo, elektros tiekimo ir signalizacijos infrastruktūra 103 km ruožuose Rygoje bei Jūrmalos kryptimi. Iki 2029 m. numatoma modernizuoti ir Jāņavārti–Uogrės bei Slokos–Tukumo II ruožus. Dar beveik 200 km kontaktinio tinklo atnaujinimui iki 2034 m. finansavimas kol kas neužtikrintas.</w:t>
            </w:r>
          </w:p>
        </w:tc>
        <w:tc>
          <w:tcPr>
            <w:tcW w:w="2370" w:type="dxa"/>
            <w:tcMar>
              <w:top w:w="90" w:type="dxa"/>
              <w:left w:w="90" w:type="dxa"/>
              <w:bottom w:w="90" w:type="dxa"/>
              <w:right w:w="90" w:type="dxa"/>
            </w:tcMar>
            <w:vAlign w:val="center"/>
          </w:tcPr>
          <w:p w14:paraId="53E0CFB6" w14:textId="77777777" w:rsidR="00976CD3" w:rsidRDefault="00976CD3" w:rsidP="00976CD3">
            <w:pPr>
              <w:spacing w:after="0" w:line="240" w:lineRule="auto"/>
              <w:rPr>
                <w:rFonts w:ascii="Times New Roman" w:hAnsi="Times New Roman"/>
                <w:sz w:val="24"/>
                <w:szCs w:val="24"/>
              </w:rPr>
            </w:pPr>
            <w:hyperlink r:id="rId30" w:history="1">
              <w:r>
                <w:rPr>
                  <w:rFonts w:ascii="Times New Roman" w:hAnsi="Times New Roman"/>
                  <w:color w:val="0563C1"/>
                  <w:sz w:val="24"/>
                  <w:szCs w:val="24"/>
                  <w:u w:val="single"/>
                </w:rPr>
                <w:t>1. Latvijas dzelzceļš</w:t>
              </w:r>
            </w:hyperlink>
          </w:p>
        </w:tc>
        <w:tc>
          <w:tcPr>
            <w:tcW w:w="1615" w:type="dxa"/>
            <w:tcMar>
              <w:top w:w="90" w:type="dxa"/>
              <w:left w:w="90" w:type="dxa"/>
              <w:bottom w:w="90" w:type="dxa"/>
              <w:right w:w="90" w:type="dxa"/>
            </w:tcMar>
            <w:vAlign w:val="center"/>
          </w:tcPr>
          <w:p w14:paraId="728D5294" w14:textId="68201751" w:rsidR="00976CD3" w:rsidRDefault="00976CD3" w:rsidP="00976CD3">
            <w:pPr>
              <w:spacing w:after="0" w:line="240" w:lineRule="auto"/>
              <w:rPr>
                <w:rFonts w:ascii="Times New Roman" w:hAnsi="Times New Roman"/>
                <w:sz w:val="24"/>
                <w:szCs w:val="24"/>
              </w:rPr>
            </w:pPr>
          </w:p>
        </w:tc>
      </w:tr>
      <w:tr w:rsidR="00976CD3" w14:paraId="64B978CB" w14:textId="77777777">
        <w:tc>
          <w:tcPr>
            <w:tcW w:w="1548" w:type="dxa"/>
            <w:tcMar>
              <w:top w:w="90" w:type="dxa"/>
              <w:left w:w="90" w:type="dxa"/>
              <w:bottom w:w="90" w:type="dxa"/>
              <w:right w:w="90" w:type="dxa"/>
            </w:tcMar>
            <w:vAlign w:val="center"/>
          </w:tcPr>
          <w:p w14:paraId="23747EDC" w14:textId="326A8ACF" w:rsidR="00976CD3" w:rsidRDefault="00976CD3" w:rsidP="00976CD3">
            <w:pPr>
              <w:spacing w:after="0" w:line="240" w:lineRule="auto"/>
              <w:jc w:val="center"/>
              <w:rPr>
                <w:rFonts w:ascii="Times New Roman" w:hAnsi="Times New Roman"/>
                <w:sz w:val="24"/>
                <w:szCs w:val="24"/>
              </w:rPr>
            </w:pPr>
            <w:r>
              <w:rPr>
                <w:rFonts w:ascii="Times New Roman" w:hAnsi="Times New Roman"/>
                <w:sz w:val="24"/>
                <w:szCs w:val="24"/>
              </w:rPr>
              <w:t>2026-09-18</w:t>
            </w:r>
          </w:p>
        </w:tc>
        <w:tc>
          <w:tcPr>
            <w:tcW w:w="9037" w:type="dxa"/>
            <w:tcMar>
              <w:top w:w="90" w:type="dxa"/>
              <w:left w:w="90" w:type="dxa"/>
              <w:bottom w:w="90" w:type="dxa"/>
              <w:right w:w="90" w:type="dxa"/>
            </w:tcMar>
            <w:vAlign w:val="center"/>
          </w:tcPr>
          <w:p w14:paraId="2057D0C4" w14:textId="78DB9F3B" w:rsidR="00976CD3" w:rsidRDefault="00976CD3" w:rsidP="00976CD3">
            <w:pPr>
              <w:spacing w:after="0" w:line="240" w:lineRule="auto"/>
              <w:jc w:val="both"/>
              <w:rPr>
                <w:rFonts w:ascii="Times New Roman" w:hAnsi="Times New Roman"/>
                <w:sz w:val="24"/>
                <w:szCs w:val="24"/>
              </w:rPr>
            </w:pPr>
            <w:r>
              <w:rPr>
                <w:rFonts w:ascii="Times New Roman" w:hAnsi="Times New Roman"/>
                <w:sz w:val="24"/>
                <w:szCs w:val="24"/>
              </w:rPr>
              <w:t xml:space="preserve">Latvijos uostų krovinių apyvarta sumažėjo 12,3 proc. 2026 m. sausį-rugpjūtį Latvijos uostuose perkrauta 19,85 mln. tonų krovinių - 12,3 proc. mažiau nei tuo pačiu laikotarpiu pernai. Biriųjų krovinių apimtys sumažėjo 15,1 proc., iš jų grūdų ir jų produktų - 11,7 proc., o anglių krova praktiškai sunyko - sumažėjo 46 kartus. Generalinių krovinių perkrauta 7,3 proc. mažiau, konteinerių - 7,4 proc. mažiau, tačiau „ro-ro“ krovinių apimtys padidėjo 1,5 </w:t>
            </w:r>
            <w:r>
              <w:rPr>
                <w:rFonts w:ascii="Times New Roman" w:hAnsi="Times New Roman"/>
                <w:sz w:val="24"/>
                <w:szCs w:val="24"/>
              </w:rPr>
              <w:lastRenderedPageBreak/>
              <w:t>proc. Skystųjų krovinių apyvarta smuko 16,2 proc., daugiausia dėl beveik 20 proc. sumažėjusios naftos produktų krovos. Suskystintų gamtinių dujų (SGD) krova išaugo 80,3 proc. iki 243,9 tūkst. tonų.</w:t>
            </w:r>
          </w:p>
        </w:tc>
        <w:tc>
          <w:tcPr>
            <w:tcW w:w="2370" w:type="dxa"/>
            <w:tcMar>
              <w:top w:w="90" w:type="dxa"/>
              <w:left w:w="90" w:type="dxa"/>
              <w:bottom w:w="90" w:type="dxa"/>
              <w:right w:w="90" w:type="dxa"/>
            </w:tcMar>
            <w:vAlign w:val="center"/>
          </w:tcPr>
          <w:p w14:paraId="63F0AF7D" w14:textId="77777777" w:rsidR="00976CD3" w:rsidRDefault="00976CD3" w:rsidP="00976CD3">
            <w:pPr>
              <w:spacing w:after="0" w:line="240" w:lineRule="auto"/>
              <w:rPr>
                <w:rFonts w:ascii="Times New Roman" w:hAnsi="Times New Roman"/>
                <w:sz w:val="24"/>
                <w:szCs w:val="24"/>
              </w:rPr>
            </w:pPr>
            <w:hyperlink r:id="rId31" w:history="1">
              <w:r>
                <w:rPr>
                  <w:rFonts w:ascii="Times New Roman" w:hAnsi="Times New Roman"/>
                  <w:color w:val="0563C1"/>
                  <w:sz w:val="24"/>
                  <w:szCs w:val="24"/>
                  <w:u w:val="single"/>
                </w:rPr>
                <w:t>1. Latvijos susisiekimo mini</w:t>
              </w:r>
              <w:r>
                <w:rPr>
                  <w:rFonts w:ascii="Times New Roman" w:hAnsi="Times New Roman"/>
                  <w:color w:val="0563C1"/>
                  <w:sz w:val="24"/>
                  <w:szCs w:val="24"/>
                  <w:u w:val="single"/>
                </w:rPr>
                <w:t>sterija</w:t>
              </w:r>
            </w:hyperlink>
          </w:p>
        </w:tc>
        <w:tc>
          <w:tcPr>
            <w:tcW w:w="1615" w:type="dxa"/>
            <w:tcMar>
              <w:top w:w="90" w:type="dxa"/>
              <w:left w:w="90" w:type="dxa"/>
              <w:bottom w:w="90" w:type="dxa"/>
              <w:right w:w="90" w:type="dxa"/>
            </w:tcMar>
            <w:vAlign w:val="center"/>
          </w:tcPr>
          <w:p w14:paraId="238948C5" w14:textId="322B6C59" w:rsidR="00976CD3" w:rsidRDefault="00976CD3" w:rsidP="00976CD3">
            <w:pPr>
              <w:spacing w:after="0" w:line="240" w:lineRule="auto"/>
              <w:rPr>
                <w:rFonts w:ascii="Times New Roman" w:hAnsi="Times New Roman"/>
                <w:sz w:val="24"/>
                <w:szCs w:val="24"/>
              </w:rPr>
            </w:pPr>
          </w:p>
        </w:tc>
      </w:tr>
      <w:tr w:rsidR="00976CD3" w14:paraId="104CF923" w14:textId="77777777">
        <w:tc>
          <w:tcPr>
            <w:tcW w:w="1548" w:type="dxa"/>
            <w:tcMar>
              <w:top w:w="90" w:type="dxa"/>
              <w:left w:w="90" w:type="dxa"/>
              <w:bottom w:w="90" w:type="dxa"/>
              <w:right w:w="90" w:type="dxa"/>
            </w:tcMar>
            <w:vAlign w:val="center"/>
          </w:tcPr>
          <w:p w14:paraId="3A5BEBAC" w14:textId="77777777" w:rsidR="00976CD3" w:rsidRDefault="00976CD3" w:rsidP="00976CD3">
            <w:pPr>
              <w:spacing w:after="0" w:line="240" w:lineRule="auto"/>
              <w:jc w:val="both"/>
              <w:rPr>
                <w:rFonts w:ascii="Times New Roman" w:hAnsi="Times New Roman"/>
                <w:sz w:val="24"/>
                <w:szCs w:val="24"/>
              </w:rPr>
            </w:pPr>
            <w:r>
              <w:rPr>
                <w:rFonts w:ascii="Times New Roman" w:hAnsi="Times New Roman"/>
                <w:sz w:val="24"/>
                <w:szCs w:val="24"/>
              </w:rPr>
              <w:t>2026-09-24</w:t>
            </w:r>
          </w:p>
        </w:tc>
        <w:tc>
          <w:tcPr>
            <w:tcW w:w="9037" w:type="dxa"/>
            <w:tcMar>
              <w:top w:w="90" w:type="dxa"/>
              <w:left w:w="90" w:type="dxa"/>
              <w:bottom w:w="90" w:type="dxa"/>
              <w:right w:w="90" w:type="dxa"/>
            </w:tcMar>
            <w:vAlign w:val="center"/>
          </w:tcPr>
          <w:p w14:paraId="372D0918" w14:textId="266E1316" w:rsidR="00976CD3" w:rsidRDefault="00976CD3" w:rsidP="00976CD3">
            <w:pPr>
              <w:spacing w:after="0" w:line="240" w:lineRule="auto"/>
              <w:jc w:val="both"/>
              <w:rPr>
                <w:rFonts w:ascii="Times New Roman" w:hAnsi="Times New Roman"/>
                <w:sz w:val="24"/>
                <w:szCs w:val="24"/>
              </w:rPr>
            </w:pPr>
            <w:r>
              <w:rPr>
                <w:rFonts w:ascii="Times New Roman" w:hAnsi="Times New Roman"/>
                <w:sz w:val="24"/>
                <w:szCs w:val="24"/>
              </w:rPr>
              <w:t>Saeima priėmė degalų akcizo mažinimą. Rugsėjo 24 d. pataisos skubos tvarka priimtos galutiniu balsavimu. Nuo spalio 1 d. iki metų pabaigos mažesnis akcizas bus taikomas dyzelinui ir bešviniam benzinui. Skaičiuojama, kad litras galėtų atpigti apie 8 centus, jeigu prekybininkai visą mokesčio sumažinimą perkels į kainą. Tai negarantuoja tokio kainos pokyčio degalinėse jau spalio 1 d.</w:t>
            </w:r>
          </w:p>
        </w:tc>
        <w:tc>
          <w:tcPr>
            <w:tcW w:w="2370" w:type="dxa"/>
            <w:tcMar>
              <w:top w:w="90" w:type="dxa"/>
              <w:left w:w="90" w:type="dxa"/>
              <w:bottom w:w="90" w:type="dxa"/>
              <w:right w:w="90" w:type="dxa"/>
            </w:tcMar>
            <w:vAlign w:val="center"/>
          </w:tcPr>
          <w:p w14:paraId="55C2A5B9" w14:textId="77777777" w:rsidR="00976CD3" w:rsidRDefault="00976CD3" w:rsidP="00976CD3">
            <w:pPr>
              <w:spacing w:after="0" w:line="240" w:lineRule="auto"/>
              <w:rPr>
                <w:rFonts w:ascii="Times New Roman" w:hAnsi="Times New Roman"/>
                <w:sz w:val="24"/>
                <w:szCs w:val="24"/>
              </w:rPr>
            </w:pPr>
            <w:hyperlink r:id="rId32" w:history="1">
              <w:r>
                <w:rPr>
                  <w:rFonts w:ascii="Times New Roman" w:hAnsi="Times New Roman"/>
                  <w:color w:val="0563C1"/>
                  <w:sz w:val="24"/>
                  <w:szCs w:val="24"/>
                  <w:u w:val="single"/>
                </w:rPr>
                <w:t>1. Saeima</w:t>
              </w:r>
            </w:hyperlink>
          </w:p>
          <w:p w14:paraId="275C9967" w14:textId="77777777" w:rsidR="00976CD3" w:rsidRDefault="00976CD3" w:rsidP="00976CD3">
            <w:pPr>
              <w:spacing w:after="0" w:line="240" w:lineRule="auto"/>
              <w:rPr>
                <w:rFonts w:ascii="Times New Roman" w:hAnsi="Times New Roman"/>
                <w:sz w:val="24"/>
                <w:szCs w:val="24"/>
              </w:rPr>
            </w:pPr>
            <w:hyperlink r:id="rId33" w:history="1">
              <w:r>
                <w:rPr>
                  <w:rFonts w:ascii="Times New Roman" w:hAnsi="Times New Roman"/>
                  <w:color w:val="0563C1"/>
                  <w:sz w:val="24"/>
                  <w:szCs w:val="24"/>
                  <w:u w:val="single"/>
                </w:rPr>
                <w:t>2. LSM</w:t>
              </w:r>
            </w:hyperlink>
          </w:p>
        </w:tc>
        <w:tc>
          <w:tcPr>
            <w:tcW w:w="1615" w:type="dxa"/>
            <w:tcMar>
              <w:top w:w="90" w:type="dxa"/>
              <w:left w:w="90" w:type="dxa"/>
              <w:bottom w:w="90" w:type="dxa"/>
              <w:right w:w="90" w:type="dxa"/>
            </w:tcMar>
            <w:vAlign w:val="center"/>
          </w:tcPr>
          <w:p w14:paraId="2675CD2D" w14:textId="77777777" w:rsidR="00976CD3" w:rsidRDefault="00976CD3" w:rsidP="00976CD3">
            <w:pPr>
              <w:spacing w:after="0" w:line="240" w:lineRule="auto"/>
              <w:rPr>
                <w:rFonts w:ascii="Times New Roman" w:hAnsi="Times New Roman"/>
                <w:sz w:val="24"/>
                <w:szCs w:val="24"/>
              </w:rPr>
            </w:pPr>
          </w:p>
        </w:tc>
      </w:tr>
      <w:tr w:rsidR="00976CD3" w14:paraId="30596851" w14:textId="77777777">
        <w:tc>
          <w:tcPr>
            <w:tcW w:w="1548" w:type="dxa"/>
            <w:tcMar>
              <w:top w:w="90" w:type="dxa"/>
              <w:left w:w="90" w:type="dxa"/>
              <w:bottom w:w="90" w:type="dxa"/>
              <w:right w:w="90" w:type="dxa"/>
            </w:tcMar>
            <w:vAlign w:val="center"/>
          </w:tcPr>
          <w:p w14:paraId="29B44878" w14:textId="7244EAD6" w:rsidR="00976CD3" w:rsidRDefault="00976CD3" w:rsidP="00976CD3">
            <w:pPr>
              <w:spacing w:after="0" w:line="240" w:lineRule="auto"/>
              <w:jc w:val="center"/>
              <w:rPr>
                <w:rFonts w:ascii="Times New Roman" w:hAnsi="Times New Roman"/>
                <w:sz w:val="24"/>
                <w:szCs w:val="24"/>
              </w:rPr>
            </w:pPr>
            <w:r>
              <w:rPr>
                <w:rFonts w:ascii="Times New Roman" w:hAnsi="Times New Roman"/>
                <w:sz w:val="24"/>
                <w:szCs w:val="24"/>
              </w:rPr>
              <w:t>2026-09-08</w:t>
            </w:r>
          </w:p>
        </w:tc>
        <w:tc>
          <w:tcPr>
            <w:tcW w:w="9037" w:type="dxa"/>
            <w:tcMar>
              <w:top w:w="90" w:type="dxa"/>
              <w:left w:w="90" w:type="dxa"/>
              <w:bottom w:w="90" w:type="dxa"/>
              <w:right w:w="90" w:type="dxa"/>
            </w:tcMar>
            <w:vAlign w:val="center"/>
          </w:tcPr>
          <w:p w14:paraId="044CE65C" w14:textId="77777777" w:rsidR="00976CD3" w:rsidRDefault="00976CD3" w:rsidP="00976CD3">
            <w:pPr>
              <w:spacing w:after="0" w:line="240" w:lineRule="auto"/>
              <w:jc w:val="both"/>
              <w:rPr>
                <w:rFonts w:ascii="Times New Roman" w:hAnsi="Times New Roman"/>
                <w:sz w:val="24"/>
                <w:szCs w:val="24"/>
              </w:rPr>
            </w:pPr>
            <w:r>
              <w:rPr>
                <w:rFonts w:ascii="Times New Roman" w:hAnsi="Times New Roman"/>
                <w:sz w:val="24"/>
                <w:szCs w:val="24"/>
              </w:rPr>
              <w:t>„Infortar“ taps didžiausiu pieno gamintoju Baltijos šalyse. Estijos investicijų bendrovė „Infortar“ perka 100 proc. Lietuvos žemės ūkio grupės „Litagra“ akcijų. Po sandorio grupės pieno gamyba sieks apie 93 tūkst. tonų per metus, o valdomos žemės plotas išaugs iki 23 tūkst. hektarų.</w:t>
            </w:r>
          </w:p>
        </w:tc>
        <w:tc>
          <w:tcPr>
            <w:tcW w:w="2370" w:type="dxa"/>
            <w:tcMar>
              <w:top w:w="90" w:type="dxa"/>
              <w:left w:w="90" w:type="dxa"/>
              <w:bottom w:w="90" w:type="dxa"/>
              <w:right w:w="90" w:type="dxa"/>
            </w:tcMar>
            <w:vAlign w:val="center"/>
          </w:tcPr>
          <w:p w14:paraId="152E04D5" w14:textId="77777777" w:rsidR="00976CD3" w:rsidRDefault="00976CD3" w:rsidP="00976CD3">
            <w:pPr>
              <w:spacing w:after="0" w:line="240" w:lineRule="auto"/>
              <w:rPr>
                <w:rFonts w:ascii="Times New Roman" w:hAnsi="Times New Roman"/>
                <w:sz w:val="24"/>
                <w:szCs w:val="24"/>
              </w:rPr>
            </w:pPr>
            <w:hyperlink r:id="rId34" w:history="1">
              <w:r>
                <w:rPr>
                  <w:rFonts w:ascii="Times New Roman" w:hAnsi="Times New Roman"/>
                  <w:color w:val="0563C1"/>
                  <w:sz w:val="24"/>
                  <w:szCs w:val="24"/>
                  <w:u w:val="single"/>
                </w:rPr>
                <w:t>1. Dienas Bizness</w:t>
              </w:r>
            </w:hyperlink>
          </w:p>
        </w:tc>
        <w:tc>
          <w:tcPr>
            <w:tcW w:w="1615" w:type="dxa"/>
            <w:tcMar>
              <w:top w:w="90" w:type="dxa"/>
              <w:left w:w="90" w:type="dxa"/>
              <w:bottom w:w="90" w:type="dxa"/>
              <w:right w:w="90" w:type="dxa"/>
            </w:tcMar>
            <w:vAlign w:val="center"/>
          </w:tcPr>
          <w:p w14:paraId="217C15B4" w14:textId="46E857B7" w:rsidR="00976CD3" w:rsidRDefault="00976CD3" w:rsidP="00976CD3">
            <w:pPr>
              <w:spacing w:after="0" w:line="240" w:lineRule="auto"/>
              <w:rPr>
                <w:rFonts w:ascii="Times New Roman" w:hAnsi="Times New Roman"/>
                <w:sz w:val="24"/>
                <w:szCs w:val="24"/>
              </w:rPr>
            </w:pPr>
          </w:p>
        </w:tc>
      </w:tr>
      <w:tr w:rsidR="00976CD3" w14:paraId="4DE11CA7" w14:textId="77777777">
        <w:tc>
          <w:tcPr>
            <w:tcW w:w="1548" w:type="dxa"/>
            <w:tcMar>
              <w:top w:w="90" w:type="dxa"/>
              <w:left w:w="90" w:type="dxa"/>
              <w:bottom w:w="90" w:type="dxa"/>
              <w:right w:w="90" w:type="dxa"/>
            </w:tcMar>
            <w:vAlign w:val="center"/>
          </w:tcPr>
          <w:p w14:paraId="3B74AECF" w14:textId="20DA2E7F" w:rsidR="00976CD3" w:rsidRDefault="00976CD3" w:rsidP="00976CD3">
            <w:pPr>
              <w:spacing w:after="0" w:line="240" w:lineRule="auto"/>
              <w:jc w:val="center"/>
              <w:rPr>
                <w:rFonts w:ascii="Times New Roman" w:hAnsi="Times New Roman"/>
                <w:sz w:val="24"/>
                <w:szCs w:val="24"/>
              </w:rPr>
            </w:pPr>
            <w:r>
              <w:rPr>
                <w:rFonts w:ascii="Times New Roman" w:hAnsi="Times New Roman"/>
                <w:sz w:val="24"/>
                <w:szCs w:val="24"/>
              </w:rPr>
              <w:t>2026-09-30</w:t>
            </w:r>
          </w:p>
        </w:tc>
        <w:tc>
          <w:tcPr>
            <w:tcW w:w="9037" w:type="dxa"/>
            <w:tcMar>
              <w:top w:w="90" w:type="dxa"/>
              <w:left w:w="90" w:type="dxa"/>
              <w:bottom w:w="90" w:type="dxa"/>
              <w:right w:w="90" w:type="dxa"/>
            </w:tcMar>
            <w:vAlign w:val="center"/>
          </w:tcPr>
          <w:p w14:paraId="2341C5C3" w14:textId="77777777" w:rsidR="00976CD3" w:rsidRDefault="00976CD3" w:rsidP="00976CD3">
            <w:pPr>
              <w:spacing w:after="0" w:line="240" w:lineRule="auto"/>
              <w:jc w:val="both"/>
              <w:rPr>
                <w:rFonts w:ascii="Times New Roman" w:hAnsi="Times New Roman"/>
                <w:sz w:val="24"/>
                <w:szCs w:val="24"/>
              </w:rPr>
            </w:pPr>
            <w:r>
              <w:rPr>
                <w:rFonts w:ascii="Times New Roman" w:hAnsi="Times New Roman"/>
                <w:sz w:val="24"/>
                <w:szCs w:val="24"/>
              </w:rPr>
              <w:t>Latvijos Vyriausybė dėl 2026 m. gausių kritulių ir potvynių padarinių visoje šalyje žemės ūkio sektoriuje paskelbė nepaprastąją padėtį, galiosiančią iki 2027 m. sausio 10 d. Žemės ūkio ministerija koordinuos nukentėjusių ūkių ir patirtų nuostolių vertinimą bei taikys išimtis, kad dėl nepalankių oro sąlygų ūkininkai neprarastų teisės į valstybės ir ES paramą. Iki šiol 174 ūkininkai pranešė apie nepalankių oro sąlygų paveiktus 10 335 ha, tačiau ministerija vertina, kad realus poveikis žemės ūkiui gali būti gerokai didesnis. 2026 m. vasarą kritulių kiekis buvo 29 proc. didesnis už normą, o dėl per didelės dirvožemio drėgmės ypač apsunkinta žieminių kultūrų sėja.</w:t>
            </w:r>
          </w:p>
        </w:tc>
        <w:tc>
          <w:tcPr>
            <w:tcW w:w="2370" w:type="dxa"/>
            <w:tcMar>
              <w:top w:w="90" w:type="dxa"/>
              <w:left w:w="90" w:type="dxa"/>
              <w:bottom w:w="90" w:type="dxa"/>
              <w:right w:w="90" w:type="dxa"/>
            </w:tcMar>
            <w:vAlign w:val="center"/>
          </w:tcPr>
          <w:p w14:paraId="2D4C931F" w14:textId="5B118AA8" w:rsidR="00976CD3" w:rsidRPr="00605E9A" w:rsidRDefault="00976CD3" w:rsidP="00976CD3">
            <w:pPr>
              <w:pStyle w:val="ListParagraph"/>
              <w:numPr>
                <w:ilvl w:val="0"/>
                <w:numId w:val="17"/>
              </w:numPr>
              <w:spacing w:after="0" w:line="240" w:lineRule="auto"/>
              <w:rPr>
                <w:rFonts w:ascii="Times New Roman" w:hAnsi="Times New Roman"/>
                <w:sz w:val="24"/>
                <w:szCs w:val="24"/>
              </w:rPr>
            </w:pPr>
            <w:hyperlink r:id="rId35" w:history="1">
              <w:r w:rsidRPr="00605E9A">
                <w:rPr>
                  <w:rStyle w:val="Hyperlink"/>
                  <w:rFonts w:ascii="Times New Roman" w:hAnsi="Times New Roman"/>
                  <w:sz w:val="24"/>
                  <w:szCs w:val="24"/>
                </w:rPr>
                <w:t>LSM</w:t>
              </w:r>
            </w:hyperlink>
          </w:p>
        </w:tc>
        <w:tc>
          <w:tcPr>
            <w:tcW w:w="1615" w:type="dxa"/>
            <w:tcMar>
              <w:top w:w="90" w:type="dxa"/>
              <w:left w:w="90" w:type="dxa"/>
              <w:bottom w:w="90" w:type="dxa"/>
              <w:right w:w="90" w:type="dxa"/>
            </w:tcMar>
            <w:vAlign w:val="center"/>
          </w:tcPr>
          <w:p w14:paraId="6DB4D876" w14:textId="11EB0B46" w:rsidR="00976CD3" w:rsidRDefault="00976CD3" w:rsidP="00976CD3">
            <w:pPr>
              <w:spacing w:after="0" w:line="240" w:lineRule="auto"/>
              <w:rPr>
                <w:rFonts w:ascii="Times New Roman" w:hAnsi="Times New Roman"/>
                <w:sz w:val="24"/>
                <w:szCs w:val="24"/>
              </w:rPr>
            </w:pPr>
          </w:p>
        </w:tc>
      </w:tr>
      <w:tr w:rsidR="00976CD3" w14:paraId="4590970D" w14:textId="77777777" w:rsidTr="00094BBA">
        <w:trPr>
          <w:cantSplit/>
        </w:trPr>
        <w:tc>
          <w:tcPr>
            <w:tcW w:w="14570" w:type="dxa"/>
            <w:gridSpan w:val="4"/>
            <w:shd w:val="clear" w:color="auto" w:fill="EAF2F8"/>
            <w:tcMar>
              <w:top w:w="100" w:type="dxa"/>
              <w:left w:w="90" w:type="dxa"/>
              <w:bottom w:w="100" w:type="dxa"/>
              <w:right w:w="90" w:type="dxa"/>
            </w:tcMar>
            <w:vAlign w:val="center"/>
          </w:tcPr>
          <w:p w14:paraId="0FD6FC0F" w14:textId="77777777" w:rsidR="00976CD3" w:rsidRDefault="00976CD3" w:rsidP="00976CD3">
            <w:pPr>
              <w:keepNext/>
              <w:spacing w:after="0" w:line="240" w:lineRule="auto"/>
              <w:rPr>
                <w:rFonts w:ascii="Times New Roman" w:hAnsi="Times New Roman"/>
                <w:sz w:val="24"/>
                <w:szCs w:val="24"/>
              </w:rPr>
            </w:pPr>
            <w:r w:rsidRPr="006A595A">
              <w:rPr>
                <w:rFonts w:ascii="Times New Roman" w:hAnsi="Times New Roman"/>
                <w:b/>
                <w:sz w:val="24"/>
                <w:szCs w:val="24"/>
              </w:rPr>
              <w:t>Kita ekonominiam bendradarbiavimui aktuali informacija</w:t>
            </w:r>
          </w:p>
        </w:tc>
      </w:tr>
      <w:tr w:rsidR="00976CD3" w14:paraId="4858B48C" w14:textId="77777777">
        <w:tc>
          <w:tcPr>
            <w:tcW w:w="1548" w:type="dxa"/>
            <w:tcMar>
              <w:top w:w="90" w:type="dxa"/>
              <w:left w:w="90" w:type="dxa"/>
              <w:bottom w:w="90" w:type="dxa"/>
              <w:right w:w="90" w:type="dxa"/>
            </w:tcMar>
            <w:vAlign w:val="center"/>
          </w:tcPr>
          <w:p w14:paraId="5384FEDC" w14:textId="6CC58748" w:rsidR="00976CD3" w:rsidRDefault="00976CD3" w:rsidP="00AE3235">
            <w:pPr>
              <w:spacing w:after="0" w:line="240" w:lineRule="auto"/>
              <w:jc w:val="both"/>
              <w:rPr>
                <w:rFonts w:ascii="Times New Roman" w:hAnsi="Times New Roman"/>
                <w:sz w:val="24"/>
                <w:szCs w:val="24"/>
              </w:rPr>
            </w:pPr>
            <w:r>
              <w:rPr>
                <w:rFonts w:ascii="Times New Roman" w:hAnsi="Times New Roman"/>
                <w:sz w:val="24"/>
                <w:szCs w:val="24"/>
              </w:rPr>
              <w:t>2026-08-28</w:t>
            </w:r>
          </w:p>
        </w:tc>
        <w:tc>
          <w:tcPr>
            <w:tcW w:w="9037" w:type="dxa"/>
            <w:tcMar>
              <w:top w:w="90" w:type="dxa"/>
              <w:left w:w="90" w:type="dxa"/>
              <w:bottom w:w="90" w:type="dxa"/>
              <w:right w:w="90" w:type="dxa"/>
            </w:tcMar>
            <w:vAlign w:val="center"/>
          </w:tcPr>
          <w:p w14:paraId="30321B82" w14:textId="61E2E708" w:rsidR="00976CD3" w:rsidRDefault="00976CD3" w:rsidP="002C2C53">
            <w:pPr>
              <w:spacing w:after="0" w:line="240" w:lineRule="auto"/>
              <w:jc w:val="both"/>
              <w:rPr>
                <w:rFonts w:ascii="Times New Roman" w:hAnsi="Times New Roman"/>
                <w:sz w:val="24"/>
                <w:szCs w:val="24"/>
              </w:rPr>
            </w:pPr>
            <w:r>
              <w:rPr>
                <w:rFonts w:ascii="Times New Roman" w:hAnsi="Times New Roman"/>
                <w:sz w:val="24"/>
                <w:szCs w:val="24"/>
              </w:rPr>
              <w:t xml:space="preserve">Latvija didins elektros skirstomojo tinklo atsparumą. Šiuo metu 69 proc. „Sadales tīkls“ tinklo sudaro audroms ir kitiems meteorologiniams reiškiniams atsparesnės oro arba požeminės izoliuotų kabelių linijos. Iki 2035 m. šią dalį numatoma padidinti iki 85 proc., o </w:t>
            </w:r>
            <w:r>
              <w:rPr>
                <w:rFonts w:ascii="Times New Roman" w:hAnsi="Times New Roman"/>
                <w:sz w:val="24"/>
                <w:szCs w:val="24"/>
              </w:rPr>
              <w:lastRenderedPageBreak/>
              <w:t>visą žemosios įtampos tinklą kabelinėmis linijomis pakeisti iki 2030 m. Investavus 163 mln. eurų ES fondų lėšų, regioniniuose plėtros centruose vartotojams prieinama tinklo galia taip pat turėtų būti padidinta apie 200 MW. Modernizavimo poreikį išryškino rugpjūčio 22 d. audra, kai elektros tiekimas buvo nutrūkęs maždaug 277 tūkst. vartotojų.</w:t>
            </w:r>
          </w:p>
        </w:tc>
        <w:tc>
          <w:tcPr>
            <w:tcW w:w="2370" w:type="dxa"/>
            <w:tcMar>
              <w:top w:w="90" w:type="dxa"/>
              <w:left w:w="90" w:type="dxa"/>
              <w:bottom w:w="90" w:type="dxa"/>
              <w:right w:w="90" w:type="dxa"/>
            </w:tcMar>
            <w:vAlign w:val="center"/>
          </w:tcPr>
          <w:p w14:paraId="0D561F0C" w14:textId="6CD69AB0" w:rsidR="00976CD3" w:rsidRDefault="00976CD3" w:rsidP="00AE3235">
            <w:pPr>
              <w:spacing w:after="0" w:line="240" w:lineRule="auto"/>
              <w:jc w:val="both"/>
            </w:pPr>
            <w:hyperlink r:id="rId36" w:history="1">
              <w:r>
                <w:rPr>
                  <w:rFonts w:ascii="Times New Roman" w:hAnsi="Times New Roman"/>
                  <w:color w:val="0563C1"/>
                  <w:sz w:val="24"/>
                  <w:szCs w:val="24"/>
                  <w:u w:val="single"/>
                </w:rPr>
                <w:t>1. Dienas Bizness</w:t>
              </w:r>
            </w:hyperlink>
          </w:p>
        </w:tc>
        <w:tc>
          <w:tcPr>
            <w:tcW w:w="1615" w:type="dxa"/>
            <w:tcMar>
              <w:top w:w="90" w:type="dxa"/>
              <w:left w:w="90" w:type="dxa"/>
              <w:bottom w:w="90" w:type="dxa"/>
              <w:right w:w="90" w:type="dxa"/>
            </w:tcMar>
            <w:vAlign w:val="center"/>
          </w:tcPr>
          <w:p w14:paraId="3BF1DA83" w14:textId="77777777" w:rsidR="00976CD3" w:rsidRDefault="00976CD3" w:rsidP="00AE3235">
            <w:pPr>
              <w:spacing w:after="0" w:line="240" w:lineRule="auto"/>
              <w:jc w:val="both"/>
              <w:rPr>
                <w:rFonts w:ascii="Times New Roman" w:hAnsi="Times New Roman"/>
                <w:sz w:val="24"/>
                <w:szCs w:val="24"/>
              </w:rPr>
            </w:pPr>
          </w:p>
        </w:tc>
      </w:tr>
      <w:tr w:rsidR="00976CD3" w14:paraId="4A487765" w14:textId="77777777" w:rsidTr="00094BBA">
        <w:tc>
          <w:tcPr>
            <w:tcW w:w="1548" w:type="dxa"/>
            <w:tcMar>
              <w:top w:w="90" w:type="dxa"/>
              <w:left w:w="90" w:type="dxa"/>
              <w:bottom w:w="90" w:type="dxa"/>
              <w:right w:w="90" w:type="dxa"/>
            </w:tcMar>
            <w:vAlign w:val="center"/>
          </w:tcPr>
          <w:p w14:paraId="72E4806B" w14:textId="77777777" w:rsidR="00976CD3" w:rsidRDefault="00976CD3" w:rsidP="00976CD3">
            <w:pPr>
              <w:spacing w:after="0" w:line="240" w:lineRule="auto"/>
              <w:jc w:val="center"/>
              <w:rPr>
                <w:rFonts w:ascii="Times New Roman" w:hAnsi="Times New Roman"/>
                <w:sz w:val="24"/>
                <w:szCs w:val="24"/>
              </w:rPr>
            </w:pPr>
            <w:r>
              <w:rPr>
                <w:rFonts w:ascii="Times New Roman" w:hAnsi="Times New Roman"/>
                <w:sz w:val="24"/>
                <w:szCs w:val="24"/>
              </w:rPr>
              <w:t>2026-08-25</w:t>
            </w:r>
          </w:p>
        </w:tc>
        <w:tc>
          <w:tcPr>
            <w:tcW w:w="9037" w:type="dxa"/>
            <w:tcMar>
              <w:top w:w="90" w:type="dxa"/>
              <w:left w:w="90" w:type="dxa"/>
              <w:bottom w:w="90" w:type="dxa"/>
              <w:right w:w="90" w:type="dxa"/>
            </w:tcMar>
            <w:vAlign w:val="center"/>
          </w:tcPr>
          <w:p w14:paraId="290BCFFB" w14:textId="6DD49453" w:rsidR="00976CD3" w:rsidRPr="009D6FED" w:rsidRDefault="00976CD3" w:rsidP="002C2C53">
            <w:pPr>
              <w:spacing w:after="0" w:line="240" w:lineRule="auto"/>
              <w:jc w:val="both"/>
              <w:rPr>
                <w:rFonts w:ascii="Times New Roman" w:hAnsi="Times New Roman"/>
                <w:sz w:val="24"/>
                <w:szCs w:val="24"/>
              </w:rPr>
            </w:pPr>
            <w:r w:rsidRPr="009D6FED">
              <w:rPr>
                <w:rFonts w:ascii="Times New Roman" w:hAnsi="Times New Roman"/>
                <w:sz w:val="24"/>
                <w:szCs w:val="24"/>
              </w:rPr>
              <w:t>Latvijoje vėjo parkų plėtrą lėtina didėjantis savivaldybių ir vietos bendruomenių pasipriešinimas. Nors iki 2030 m. siekiama įrengti apie 1,5 GW vėjo elektrinių, rugpjūčio 25 d. Vyriausybė nepatvirtino „K2 Ventum“ iki 46 turbinų parko prie Pavilostos, todėl projektas turės būti derinamas su savivaldybėmis įprasta tvarka. „Eurowind Energy“, iki 2032 m. Latvijoje planuojanti investuoti apie 600 mln. eurų į 300 MW vėjo parkus, teigia, kad tokių projektų stabdymas didina reguliacinį neapibrėžtumą ir gali mažinti investuotojų pasitikėjimą.</w:t>
            </w:r>
          </w:p>
        </w:tc>
        <w:tc>
          <w:tcPr>
            <w:tcW w:w="2370" w:type="dxa"/>
            <w:tcMar>
              <w:top w:w="90" w:type="dxa"/>
              <w:left w:w="90" w:type="dxa"/>
              <w:bottom w:w="90" w:type="dxa"/>
              <w:right w:w="90" w:type="dxa"/>
            </w:tcMar>
            <w:vAlign w:val="center"/>
          </w:tcPr>
          <w:p w14:paraId="4536AAFF" w14:textId="77777777" w:rsidR="00976CD3" w:rsidRDefault="00976CD3" w:rsidP="00976CD3">
            <w:pPr>
              <w:spacing w:after="0" w:line="240" w:lineRule="auto"/>
              <w:rPr>
                <w:rFonts w:ascii="Times New Roman" w:hAnsi="Times New Roman"/>
                <w:sz w:val="24"/>
                <w:szCs w:val="24"/>
              </w:rPr>
            </w:pPr>
            <w:hyperlink r:id="rId37" w:history="1">
              <w:r>
                <w:rPr>
                  <w:rFonts w:ascii="Times New Roman" w:hAnsi="Times New Roman"/>
                  <w:color w:val="0563C1"/>
                  <w:sz w:val="24"/>
                  <w:szCs w:val="24"/>
                  <w:u w:val="single"/>
                </w:rPr>
                <w:t>1. LSM</w:t>
              </w:r>
            </w:hyperlink>
          </w:p>
          <w:p w14:paraId="5D4AD82B" w14:textId="77777777" w:rsidR="00976CD3" w:rsidRDefault="00976CD3" w:rsidP="00976CD3">
            <w:pPr>
              <w:spacing w:after="0" w:line="240" w:lineRule="auto"/>
              <w:rPr>
                <w:rFonts w:ascii="Times New Roman" w:hAnsi="Times New Roman"/>
                <w:sz w:val="24"/>
                <w:szCs w:val="24"/>
              </w:rPr>
            </w:pPr>
            <w:hyperlink r:id="rId38" w:history="1">
              <w:r>
                <w:rPr>
                  <w:rFonts w:ascii="Times New Roman" w:hAnsi="Times New Roman"/>
                  <w:color w:val="0563C1"/>
                  <w:sz w:val="24"/>
                  <w:szCs w:val="24"/>
                  <w:u w:val="single"/>
                </w:rPr>
                <w:t>2. LSM</w:t>
              </w:r>
            </w:hyperlink>
          </w:p>
          <w:p w14:paraId="1B53DA2A" w14:textId="77777777" w:rsidR="00976CD3" w:rsidRDefault="00976CD3" w:rsidP="00976CD3">
            <w:pPr>
              <w:spacing w:after="0" w:line="240" w:lineRule="auto"/>
              <w:rPr>
                <w:rFonts w:ascii="Times New Roman" w:hAnsi="Times New Roman"/>
                <w:sz w:val="24"/>
                <w:szCs w:val="24"/>
              </w:rPr>
            </w:pPr>
            <w:hyperlink r:id="rId39" w:history="1">
              <w:r>
                <w:rPr>
                  <w:rFonts w:ascii="Times New Roman" w:hAnsi="Times New Roman"/>
                  <w:color w:val="0563C1"/>
                  <w:sz w:val="24"/>
                  <w:szCs w:val="24"/>
                  <w:u w:val="single"/>
                </w:rPr>
                <w:t>3. LSM</w:t>
              </w:r>
            </w:hyperlink>
          </w:p>
        </w:tc>
        <w:tc>
          <w:tcPr>
            <w:tcW w:w="1615" w:type="dxa"/>
            <w:tcMar>
              <w:top w:w="90" w:type="dxa"/>
              <w:left w:w="90" w:type="dxa"/>
              <w:bottom w:w="90" w:type="dxa"/>
              <w:right w:w="90" w:type="dxa"/>
            </w:tcMar>
            <w:vAlign w:val="center"/>
          </w:tcPr>
          <w:p w14:paraId="7AE5505A" w14:textId="77777777" w:rsidR="00976CD3" w:rsidRDefault="00976CD3" w:rsidP="00976CD3">
            <w:pPr>
              <w:spacing w:after="0" w:line="240" w:lineRule="auto"/>
              <w:rPr>
                <w:rFonts w:ascii="Times New Roman" w:hAnsi="Times New Roman"/>
                <w:sz w:val="24"/>
                <w:szCs w:val="24"/>
              </w:rPr>
            </w:pPr>
          </w:p>
        </w:tc>
      </w:tr>
      <w:tr w:rsidR="00976CD3" w14:paraId="5C7FE2A3" w14:textId="77777777">
        <w:tc>
          <w:tcPr>
            <w:tcW w:w="1548" w:type="dxa"/>
            <w:tcMar>
              <w:top w:w="90" w:type="dxa"/>
              <w:left w:w="90" w:type="dxa"/>
              <w:bottom w:w="90" w:type="dxa"/>
              <w:right w:w="90" w:type="dxa"/>
            </w:tcMar>
            <w:vAlign w:val="center"/>
          </w:tcPr>
          <w:p w14:paraId="1C36358A" w14:textId="2E4D1D4A" w:rsidR="00976CD3" w:rsidRDefault="00976CD3" w:rsidP="00976CD3">
            <w:pPr>
              <w:spacing w:after="0" w:line="240" w:lineRule="auto"/>
              <w:jc w:val="center"/>
              <w:rPr>
                <w:rFonts w:ascii="Times New Roman" w:hAnsi="Times New Roman"/>
                <w:sz w:val="24"/>
                <w:szCs w:val="24"/>
              </w:rPr>
            </w:pPr>
            <w:r>
              <w:rPr>
                <w:rFonts w:ascii="Times New Roman" w:hAnsi="Times New Roman"/>
                <w:sz w:val="24"/>
                <w:szCs w:val="24"/>
              </w:rPr>
              <w:t>2026-09</w:t>
            </w:r>
            <w:r w:rsidR="00AB2BB1">
              <w:rPr>
                <w:rFonts w:ascii="Times New Roman" w:hAnsi="Times New Roman"/>
                <w:sz w:val="24"/>
                <w:szCs w:val="24"/>
              </w:rPr>
              <w:t>-13</w:t>
            </w:r>
          </w:p>
        </w:tc>
        <w:tc>
          <w:tcPr>
            <w:tcW w:w="9037" w:type="dxa"/>
            <w:tcMar>
              <w:top w:w="90" w:type="dxa"/>
              <w:left w:w="90" w:type="dxa"/>
              <w:bottom w:w="90" w:type="dxa"/>
              <w:right w:w="90" w:type="dxa"/>
            </w:tcMar>
            <w:vAlign w:val="center"/>
          </w:tcPr>
          <w:p w14:paraId="66B0B809" w14:textId="74358D4D" w:rsidR="00976CD3" w:rsidRDefault="00976CD3" w:rsidP="002C2C53">
            <w:pPr>
              <w:spacing w:after="0" w:line="240" w:lineRule="auto"/>
              <w:jc w:val="both"/>
              <w:rPr>
                <w:rFonts w:ascii="Times New Roman" w:hAnsi="Times New Roman"/>
                <w:sz w:val="24"/>
                <w:szCs w:val="24"/>
              </w:rPr>
            </w:pPr>
            <w:r>
              <w:rPr>
                <w:rFonts w:ascii="Times New Roman" w:hAnsi="Times New Roman"/>
                <w:sz w:val="24"/>
                <w:szCs w:val="24"/>
              </w:rPr>
              <w:t>Augantis užsieniečių skaičius didina paklausą Latvijos būsto rinkoje. Užsieniečių paklausa jau prisideda prie nuomos kainų augimo, tačiau kol kas neturėtų reikšmingai paveikti nekilnojamojo turto pardavimo kainų. Didėja Kinijos, Pietų Korėjos ir kitų Azijos valstybių gyventojų susidomėjimas būstu Rygoje, Estijos investuotojus vilioja mažesnės nei Taline kainos, o lietuviai dažniau domisi būstu Latvijos pajūryje, ypač Kurše. Naujos statybos butų kvadratinis metras Rygoje kainuoja apie 2</w:t>
            </w:r>
            <w:r w:rsidR="00B2480F">
              <w:rPr>
                <w:rFonts w:ascii="Times New Roman" w:hAnsi="Times New Roman"/>
                <w:sz w:val="24"/>
                <w:szCs w:val="24"/>
              </w:rPr>
              <w:t> </w:t>
            </w:r>
            <w:r>
              <w:rPr>
                <w:rFonts w:ascii="Times New Roman" w:hAnsi="Times New Roman"/>
                <w:sz w:val="24"/>
                <w:szCs w:val="24"/>
              </w:rPr>
              <w:t>500</w:t>
            </w:r>
            <w:r w:rsidR="00B2480F">
              <w:rPr>
                <w:rFonts w:ascii="Times New Roman" w:hAnsi="Times New Roman"/>
                <w:sz w:val="24"/>
                <w:szCs w:val="24"/>
              </w:rPr>
              <w:t>-</w:t>
            </w:r>
            <w:r>
              <w:rPr>
                <w:rFonts w:ascii="Times New Roman" w:hAnsi="Times New Roman"/>
                <w:sz w:val="24"/>
                <w:szCs w:val="24"/>
              </w:rPr>
              <w:t>2 800 EUR, palyginti su 4</w:t>
            </w:r>
            <w:r w:rsidR="00B2480F">
              <w:rPr>
                <w:rFonts w:ascii="Times New Roman" w:hAnsi="Times New Roman"/>
                <w:sz w:val="24"/>
                <w:szCs w:val="24"/>
              </w:rPr>
              <w:t> </w:t>
            </w:r>
            <w:r>
              <w:rPr>
                <w:rFonts w:ascii="Times New Roman" w:hAnsi="Times New Roman"/>
                <w:sz w:val="24"/>
                <w:szCs w:val="24"/>
              </w:rPr>
              <w:t>500</w:t>
            </w:r>
            <w:r w:rsidR="00B2480F">
              <w:rPr>
                <w:rFonts w:ascii="Times New Roman" w:hAnsi="Times New Roman"/>
                <w:sz w:val="24"/>
                <w:szCs w:val="24"/>
              </w:rPr>
              <w:t>-</w:t>
            </w:r>
            <w:r>
              <w:rPr>
                <w:rFonts w:ascii="Times New Roman" w:hAnsi="Times New Roman"/>
                <w:sz w:val="24"/>
                <w:szCs w:val="24"/>
              </w:rPr>
              <w:t xml:space="preserve">5 200 EUR Taline, todėl Latvijos sostinė vertinama kaip turinti didesnį kainų augimo potencialą. </w:t>
            </w:r>
          </w:p>
        </w:tc>
        <w:tc>
          <w:tcPr>
            <w:tcW w:w="2370" w:type="dxa"/>
            <w:tcMar>
              <w:top w:w="90" w:type="dxa"/>
              <w:left w:w="90" w:type="dxa"/>
              <w:bottom w:w="90" w:type="dxa"/>
              <w:right w:w="90" w:type="dxa"/>
            </w:tcMar>
            <w:vAlign w:val="center"/>
          </w:tcPr>
          <w:p w14:paraId="2491275C" w14:textId="6BE0356D" w:rsidR="00976CD3" w:rsidRPr="00B2480F" w:rsidRDefault="00976CD3" w:rsidP="00976CD3">
            <w:pPr>
              <w:pStyle w:val="ListParagraph"/>
              <w:numPr>
                <w:ilvl w:val="0"/>
                <w:numId w:val="18"/>
              </w:numPr>
              <w:spacing w:after="0" w:line="240" w:lineRule="auto"/>
              <w:rPr>
                <w:rFonts w:ascii="Times New Roman" w:hAnsi="Times New Roman"/>
                <w:sz w:val="24"/>
                <w:szCs w:val="24"/>
              </w:rPr>
            </w:pPr>
            <w:hyperlink r:id="rId40" w:history="1">
              <w:r w:rsidRPr="00B2480F">
                <w:rPr>
                  <w:rStyle w:val="Hyperlink"/>
                  <w:rFonts w:ascii="Times New Roman" w:hAnsi="Times New Roman"/>
                  <w:sz w:val="24"/>
                  <w:szCs w:val="24"/>
                </w:rPr>
                <w:t>Latio.lv</w:t>
              </w:r>
            </w:hyperlink>
          </w:p>
        </w:tc>
        <w:tc>
          <w:tcPr>
            <w:tcW w:w="1615" w:type="dxa"/>
            <w:tcMar>
              <w:top w:w="90" w:type="dxa"/>
              <w:left w:w="90" w:type="dxa"/>
              <w:bottom w:w="90" w:type="dxa"/>
              <w:right w:w="90" w:type="dxa"/>
            </w:tcMar>
            <w:vAlign w:val="center"/>
          </w:tcPr>
          <w:p w14:paraId="6F9FB216" w14:textId="77777777" w:rsidR="00976CD3" w:rsidRDefault="00976CD3" w:rsidP="00976CD3">
            <w:pPr>
              <w:spacing w:after="0" w:line="240" w:lineRule="auto"/>
              <w:rPr>
                <w:rFonts w:ascii="Times New Roman" w:hAnsi="Times New Roman"/>
                <w:sz w:val="24"/>
                <w:szCs w:val="24"/>
              </w:rPr>
            </w:pPr>
          </w:p>
        </w:tc>
      </w:tr>
      <w:tr w:rsidR="00976CD3" w14:paraId="2629E8BE" w14:textId="77777777">
        <w:tc>
          <w:tcPr>
            <w:tcW w:w="1548" w:type="dxa"/>
            <w:tcMar>
              <w:top w:w="90" w:type="dxa"/>
              <w:left w:w="90" w:type="dxa"/>
              <w:bottom w:w="90" w:type="dxa"/>
              <w:right w:w="90" w:type="dxa"/>
            </w:tcMar>
            <w:vAlign w:val="center"/>
          </w:tcPr>
          <w:p w14:paraId="7799E0C1" w14:textId="30D29625" w:rsidR="00976CD3" w:rsidRDefault="00976CD3" w:rsidP="00976CD3">
            <w:pPr>
              <w:spacing w:after="0" w:line="240" w:lineRule="auto"/>
              <w:jc w:val="center"/>
              <w:rPr>
                <w:rFonts w:ascii="Times New Roman" w:hAnsi="Times New Roman"/>
                <w:sz w:val="24"/>
                <w:szCs w:val="24"/>
              </w:rPr>
            </w:pPr>
            <w:r>
              <w:rPr>
                <w:rFonts w:ascii="Times New Roman" w:hAnsi="Times New Roman"/>
                <w:sz w:val="24"/>
                <w:szCs w:val="24"/>
              </w:rPr>
              <w:t>2026-09-14</w:t>
            </w:r>
          </w:p>
        </w:tc>
        <w:tc>
          <w:tcPr>
            <w:tcW w:w="9037" w:type="dxa"/>
            <w:tcMar>
              <w:top w:w="90" w:type="dxa"/>
              <w:left w:w="90" w:type="dxa"/>
              <w:bottom w:w="90" w:type="dxa"/>
              <w:right w:w="90" w:type="dxa"/>
            </w:tcMar>
            <w:vAlign w:val="center"/>
          </w:tcPr>
          <w:p w14:paraId="6550445F" w14:textId="39DCBF92" w:rsidR="00976CD3" w:rsidRDefault="00976CD3" w:rsidP="00976CD3">
            <w:pPr>
              <w:spacing w:after="0" w:line="240" w:lineRule="auto"/>
              <w:rPr>
                <w:rFonts w:ascii="Times New Roman" w:hAnsi="Times New Roman"/>
                <w:sz w:val="24"/>
                <w:szCs w:val="24"/>
              </w:rPr>
            </w:pPr>
            <w:r>
              <w:rPr>
                <w:rFonts w:ascii="Times New Roman" w:hAnsi="Times New Roman"/>
                <w:sz w:val="24"/>
                <w:szCs w:val="24"/>
              </w:rPr>
              <w:t>Latvijoje sparčiai brangsta būstas</w:t>
            </w:r>
            <w:r w:rsidR="00AB2BB1">
              <w:rPr>
                <w:rFonts w:ascii="Times New Roman" w:hAnsi="Times New Roman"/>
                <w:sz w:val="24"/>
                <w:szCs w:val="24"/>
              </w:rPr>
              <w:t>. K</w:t>
            </w:r>
            <w:r>
              <w:rPr>
                <w:rFonts w:ascii="Times New Roman" w:hAnsi="Times New Roman"/>
                <w:sz w:val="24"/>
                <w:szCs w:val="24"/>
              </w:rPr>
              <w:t xml:space="preserve">ainų augimą daugiausia lemia antrinė rinka. Latvijos centrinės statistikos valdybos preliminariais duomenimis, 2026 m. II ketvirtį būsto kainos buvo 11,4 proc. didesnės nei prieš metus. Naujos statybos būstas pabrango tik 1,7 proc., o naudotas </w:t>
            </w:r>
            <w:r w:rsidR="000C4FAB">
              <w:rPr>
                <w:rFonts w:ascii="Times New Roman" w:hAnsi="Times New Roman"/>
                <w:sz w:val="24"/>
                <w:szCs w:val="24"/>
              </w:rPr>
              <w:t>-</w:t>
            </w:r>
            <w:r>
              <w:rPr>
                <w:rFonts w:ascii="Times New Roman" w:hAnsi="Times New Roman"/>
                <w:sz w:val="24"/>
                <w:szCs w:val="24"/>
              </w:rPr>
              <w:t xml:space="preserve"> 13,3 proc. Palyginti su ankstesniu ketvirčiu, bendras kainų lygis padidėjo 3,9 proc. (atitinkamai 0,7 ir 4,6 proc.). </w:t>
            </w:r>
          </w:p>
        </w:tc>
        <w:tc>
          <w:tcPr>
            <w:tcW w:w="2370" w:type="dxa"/>
            <w:tcMar>
              <w:top w:w="90" w:type="dxa"/>
              <w:left w:w="90" w:type="dxa"/>
              <w:bottom w:w="90" w:type="dxa"/>
              <w:right w:w="90" w:type="dxa"/>
            </w:tcMar>
            <w:vAlign w:val="center"/>
          </w:tcPr>
          <w:p w14:paraId="535BEA6B" w14:textId="60143E48" w:rsidR="00976CD3" w:rsidRDefault="00976CD3" w:rsidP="00976CD3">
            <w:pPr>
              <w:spacing w:after="0" w:line="240" w:lineRule="auto"/>
            </w:pPr>
            <w:hyperlink r:id="rId41" w:history="1">
              <w:r>
                <w:rPr>
                  <w:rFonts w:ascii="Times New Roman" w:hAnsi="Times New Roman"/>
                  <w:color w:val="0563C1"/>
                  <w:sz w:val="24"/>
                  <w:szCs w:val="24"/>
                  <w:u w:val="single"/>
                </w:rPr>
                <w:t>1. Investoru Klubs</w:t>
              </w:r>
            </w:hyperlink>
          </w:p>
        </w:tc>
        <w:tc>
          <w:tcPr>
            <w:tcW w:w="1615" w:type="dxa"/>
            <w:tcMar>
              <w:top w:w="90" w:type="dxa"/>
              <w:left w:w="90" w:type="dxa"/>
              <w:bottom w:w="90" w:type="dxa"/>
              <w:right w:w="90" w:type="dxa"/>
            </w:tcMar>
            <w:vAlign w:val="center"/>
          </w:tcPr>
          <w:p w14:paraId="083CF905" w14:textId="77777777" w:rsidR="00976CD3" w:rsidRDefault="00976CD3" w:rsidP="00976CD3">
            <w:pPr>
              <w:spacing w:after="0" w:line="240" w:lineRule="auto"/>
              <w:rPr>
                <w:rFonts w:ascii="Times New Roman" w:hAnsi="Times New Roman"/>
                <w:sz w:val="24"/>
                <w:szCs w:val="24"/>
              </w:rPr>
            </w:pPr>
          </w:p>
        </w:tc>
      </w:tr>
      <w:tr w:rsidR="00976CD3" w14:paraId="5EF1276B" w14:textId="77777777" w:rsidTr="00094BBA">
        <w:tc>
          <w:tcPr>
            <w:tcW w:w="1548" w:type="dxa"/>
            <w:tcMar>
              <w:top w:w="90" w:type="dxa"/>
              <w:left w:w="90" w:type="dxa"/>
              <w:bottom w:w="90" w:type="dxa"/>
              <w:right w:w="90" w:type="dxa"/>
            </w:tcMar>
            <w:vAlign w:val="center"/>
          </w:tcPr>
          <w:p w14:paraId="68A683E8" w14:textId="77777777" w:rsidR="00976CD3" w:rsidRDefault="00976CD3" w:rsidP="00976CD3">
            <w:pPr>
              <w:spacing w:after="0" w:line="240" w:lineRule="auto"/>
              <w:jc w:val="center"/>
              <w:rPr>
                <w:rFonts w:ascii="Times New Roman" w:hAnsi="Times New Roman"/>
                <w:sz w:val="24"/>
                <w:szCs w:val="24"/>
              </w:rPr>
            </w:pPr>
            <w:r>
              <w:rPr>
                <w:rFonts w:ascii="Times New Roman" w:hAnsi="Times New Roman"/>
                <w:sz w:val="24"/>
                <w:szCs w:val="24"/>
              </w:rPr>
              <w:t>2026-09-02</w:t>
            </w:r>
          </w:p>
        </w:tc>
        <w:tc>
          <w:tcPr>
            <w:tcW w:w="9037" w:type="dxa"/>
            <w:tcMar>
              <w:top w:w="90" w:type="dxa"/>
              <w:left w:w="90" w:type="dxa"/>
              <w:bottom w:w="90" w:type="dxa"/>
              <w:right w:w="90" w:type="dxa"/>
            </w:tcMar>
            <w:vAlign w:val="center"/>
          </w:tcPr>
          <w:p w14:paraId="571F508B" w14:textId="06476B4B" w:rsidR="00976CD3" w:rsidRDefault="00976CD3" w:rsidP="000C4FAB">
            <w:pPr>
              <w:spacing w:after="0" w:line="240" w:lineRule="auto"/>
              <w:jc w:val="both"/>
              <w:rPr>
                <w:rFonts w:ascii="Times New Roman" w:hAnsi="Times New Roman"/>
                <w:sz w:val="24"/>
                <w:szCs w:val="24"/>
              </w:rPr>
            </w:pPr>
            <w:r>
              <w:rPr>
                <w:rFonts w:ascii="Times New Roman" w:hAnsi="Times New Roman"/>
                <w:sz w:val="24"/>
                <w:szCs w:val="24"/>
              </w:rPr>
              <w:t xml:space="preserve">„Latvenergo“ didžiąją dalį žaliųjų obligacijų lėšų skyrė vėjo energetikai. Iš 2025 m. lapkritį išleistomis 400 mln. EUR vertės Europos žaliosiomis obligacijomis pritrauktų lėšų 351,3 </w:t>
            </w:r>
            <w:r>
              <w:rPr>
                <w:rFonts w:ascii="Times New Roman" w:hAnsi="Times New Roman"/>
                <w:sz w:val="24"/>
                <w:szCs w:val="24"/>
              </w:rPr>
              <w:lastRenderedPageBreak/>
              <w:t xml:space="preserve">mln. EUR, arba 87,8 proc., skirta vėjo energetikos projektams Latvijoje ir Lietuvoje. Dar 21,8 mln. EUR skirta saulės energetikai, 19,7 mln. EUR </w:t>
            </w:r>
            <w:r w:rsidR="00A34E3C">
              <w:rPr>
                <w:rFonts w:ascii="Times New Roman" w:hAnsi="Times New Roman"/>
                <w:sz w:val="24"/>
                <w:szCs w:val="24"/>
              </w:rPr>
              <w:t>-</w:t>
            </w:r>
            <w:r>
              <w:rPr>
                <w:rFonts w:ascii="Times New Roman" w:hAnsi="Times New Roman"/>
                <w:sz w:val="24"/>
                <w:szCs w:val="24"/>
              </w:rPr>
              <w:t xml:space="preserve"> hidroenergetikai, o 5,7 mln. EUR </w:t>
            </w:r>
            <w:r w:rsidR="00A34E3C">
              <w:rPr>
                <w:rFonts w:ascii="Times New Roman" w:hAnsi="Times New Roman"/>
                <w:sz w:val="24"/>
                <w:szCs w:val="24"/>
              </w:rPr>
              <w:t>-</w:t>
            </w:r>
            <w:r>
              <w:rPr>
                <w:rFonts w:ascii="Times New Roman" w:hAnsi="Times New Roman"/>
                <w:sz w:val="24"/>
                <w:szCs w:val="24"/>
              </w:rPr>
              <w:t xml:space="preserve"> elektros kaupimo sprendimams. </w:t>
            </w:r>
          </w:p>
        </w:tc>
        <w:tc>
          <w:tcPr>
            <w:tcW w:w="2370" w:type="dxa"/>
            <w:tcMar>
              <w:top w:w="90" w:type="dxa"/>
              <w:left w:w="90" w:type="dxa"/>
              <w:bottom w:w="90" w:type="dxa"/>
              <w:right w:w="90" w:type="dxa"/>
            </w:tcMar>
            <w:vAlign w:val="center"/>
          </w:tcPr>
          <w:p w14:paraId="6761C899" w14:textId="77777777" w:rsidR="00976CD3" w:rsidRDefault="00976CD3" w:rsidP="00976CD3">
            <w:pPr>
              <w:spacing w:after="0" w:line="240" w:lineRule="auto"/>
              <w:rPr>
                <w:rFonts w:ascii="Times New Roman" w:hAnsi="Times New Roman"/>
                <w:sz w:val="24"/>
                <w:szCs w:val="24"/>
              </w:rPr>
            </w:pPr>
            <w:hyperlink r:id="rId42" w:history="1">
              <w:r>
                <w:rPr>
                  <w:rFonts w:ascii="Times New Roman" w:hAnsi="Times New Roman"/>
                  <w:color w:val="0563C1"/>
                  <w:sz w:val="24"/>
                  <w:szCs w:val="24"/>
                  <w:u w:val="single"/>
                </w:rPr>
                <w:t>1. Latvenergo</w:t>
              </w:r>
            </w:hyperlink>
          </w:p>
        </w:tc>
        <w:tc>
          <w:tcPr>
            <w:tcW w:w="1615" w:type="dxa"/>
            <w:tcMar>
              <w:top w:w="90" w:type="dxa"/>
              <w:left w:w="90" w:type="dxa"/>
              <w:bottom w:w="90" w:type="dxa"/>
              <w:right w:w="90" w:type="dxa"/>
            </w:tcMar>
            <w:vAlign w:val="center"/>
          </w:tcPr>
          <w:p w14:paraId="2D598933" w14:textId="77777777" w:rsidR="00976CD3" w:rsidRDefault="00976CD3" w:rsidP="00976CD3">
            <w:pPr>
              <w:spacing w:after="0" w:line="240" w:lineRule="auto"/>
              <w:rPr>
                <w:rFonts w:ascii="Times New Roman" w:hAnsi="Times New Roman"/>
                <w:sz w:val="24"/>
                <w:szCs w:val="24"/>
              </w:rPr>
            </w:pPr>
          </w:p>
        </w:tc>
      </w:tr>
    </w:tbl>
    <w:p w14:paraId="2746D072" w14:textId="77777777" w:rsidR="00A87864" w:rsidRPr="006A595A" w:rsidRDefault="00A87864" w:rsidP="00E470DA">
      <w:pPr>
        <w:spacing w:after="0" w:line="240" w:lineRule="auto"/>
        <w:jc w:val="both"/>
        <w:rPr>
          <w:rFonts w:ascii="Times New Roman" w:hAnsi="Times New Roman"/>
          <w:sz w:val="24"/>
          <w:szCs w:val="24"/>
        </w:rPr>
      </w:pPr>
    </w:p>
    <w:p w14:paraId="62B75D9C" w14:textId="744134D9" w:rsidR="00BE40DD" w:rsidRPr="006A595A" w:rsidRDefault="00BE40DD" w:rsidP="00BE40DD">
      <w:pPr>
        <w:spacing w:after="0" w:line="240" w:lineRule="auto"/>
        <w:jc w:val="both"/>
        <w:rPr>
          <w:rFonts w:ascii="Times New Roman" w:hAnsi="Times New Roman"/>
          <w:bCs/>
          <w:i/>
          <w:color w:val="0D0D0D"/>
          <w:sz w:val="24"/>
          <w:szCs w:val="24"/>
          <w:lang w:eastAsia="lt-LT"/>
        </w:rPr>
      </w:pPr>
      <w:r w:rsidRPr="006A595A">
        <w:rPr>
          <w:rFonts w:ascii="Times New Roman" w:hAnsi="Times New Roman"/>
          <w:bCs/>
          <w:i/>
          <w:color w:val="0D0D0D"/>
          <w:sz w:val="24"/>
          <w:szCs w:val="24"/>
          <w:lang w:eastAsia="lt-LT"/>
        </w:rPr>
        <w:t xml:space="preserve">Parengė: </w:t>
      </w:r>
      <w:r w:rsidR="00A77394">
        <w:rPr>
          <w:rFonts w:ascii="Times New Roman" w:hAnsi="Times New Roman"/>
          <w:bCs/>
          <w:i/>
          <w:color w:val="0D0D0D"/>
          <w:sz w:val="24"/>
          <w:szCs w:val="24"/>
          <w:lang w:eastAsia="lt-LT"/>
        </w:rPr>
        <w:t>į</w:t>
      </w:r>
      <w:r w:rsidR="00A77394" w:rsidRPr="006A595A">
        <w:rPr>
          <w:rFonts w:ascii="Times New Roman" w:hAnsi="Times New Roman"/>
          <w:bCs/>
          <w:i/>
          <w:color w:val="0D0D0D"/>
          <w:sz w:val="24"/>
          <w:szCs w:val="24"/>
          <w:lang w:eastAsia="lt-LT"/>
        </w:rPr>
        <w:t>galiotoji ministrė</w:t>
      </w:r>
      <w:r w:rsidR="00A77394">
        <w:rPr>
          <w:rFonts w:ascii="Times New Roman" w:hAnsi="Times New Roman"/>
          <w:bCs/>
          <w:i/>
          <w:color w:val="0D0D0D"/>
          <w:sz w:val="24"/>
          <w:szCs w:val="24"/>
          <w:lang w:eastAsia="lt-LT"/>
        </w:rPr>
        <w:t xml:space="preserve"> </w:t>
      </w:r>
      <w:r w:rsidR="00BB6F0E" w:rsidRPr="006A595A">
        <w:rPr>
          <w:rFonts w:ascii="Times New Roman" w:hAnsi="Times New Roman"/>
          <w:bCs/>
          <w:i/>
          <w:color w:val="0D0D0D"/>
          <w:sz w:val="24"/>
          <w:szCs w:val="24"/>
          <w:lang w:eastAsia="lt-LT"/>
        </w:rPr>
        <w:t>Gita Blinstrubaitė</w:t>
      </w:r>
      <w:r w:rsidR="00A77394">
        <w:rPr>
          <w:rFonts w:ascii="Times New Roman" w:hAnsi="Times New Roman"/>
          <w:bCs/>
          <w:i/>
          <w:color w:val="0D0D0D"/>
          <w:sz w:val="24"/>
          <w:szCs w:val="24"/>
          <w:lang w:eastAsia="lt-LT"/>
        </w:rPr>
        <w:t xml:space="preserve">, praktikantas Laurynas </w:t>
      </w:r>
      <w:r w:rsidR="004F0E85">
        <w:rPr>
          <w:rFonts w:ascii="Times New Roman" w:hAnsi="Times New Roman"/>
          <w:bCs/>
          <w:i/>
          <w:color w:val="0D0D0D"/>
          <w:sz w:val="24"/>
          <w:szCs w:val="24"/>
          <w:lang w:eastAsia="lt-LT"/>
        </w:rPr>
        <w:t>Greblikas</w:t>
      </w:r>
    </w:p>
    <w:p w14:paraId="1DD9BB01" w14:textId="77777777" w:rsidR="00BE40DD" w:rsidRPr="006A595A" w:rsidRDefault="00BE40DD" w:rsidP="00BE40DD">
      <w:pPr>
        <w:spacing w:after="0" w:line="240" w:lineRule="auto"/>
        <w:jc w:val="both"/>
        <w:rPr>
          <w:rFonts w:ascii="Times New Roman" w:hAnsi="Times New Roman"/>
          <w:bCs/>
          <w:i/>
          <w:color w:val="0D0D0D"/>
          <w:sz w:val="24"/>
          <w:szCs w:val="24"/>
          <w:lang w:eastAsia="lt-LT"/>
        </w:rPr>
      </w:pPr>
      <w:r w:rsidRPr="006A595A">
        <w:rPr>
          <w:rFonts w:ascii="Times New Roman" w:hAnsi="Times New Roman"/>
          <w:bCs/>
          <w:i/>
          <w:color w:val="0D0D0D"/>
          <w:sz w:val="24"/>
          <w:szCs w:val="24"/>
          <w:lang w:eastAsia="lt-LT"/>
        </w:rPr>
        <w:t>Tel.</w:t>
      </w:r>
      <w:r w:rsidR="00DA1A8A" w:rsidRPr="006A595A">
        <w:rPr>
          <w:rFonts w:ascii="Times New Roman" w:hAnsi="Times New Roman"/>
          <w:bCs/>
          <w:i/>
          <w:color w:val="0D0D0D"/>
          <w:sz w:val="24"/>
          <w:szCs w:val="24"/>
          <w:lang w:eastAsia="lt-LT"/>
        </w:rPr>
        <w:t>:</w:t>
      </w:r>
      <w:r w:rsidRPr="006A595A">
        <w:rPr>
          <w:rFonts w:ascii="Times New Roman" w:hAnsi="Times New Roman"/>
          <w:bCs/>
          <w:i/>
          <w:color w:val="0D0D0D"/>
          <w:sz w:val="24"/>
          <w:szCs w:val="24"/>
          <w:lang w:eastAsia="lt-LT"/>
        </w:rPr>
        <w:t xml:space="preserve">    +371 67350752</w:t>
      </w:r>
    </w:p>
    <w:p w14:paraId="44E7D4D4" w14:textId="77777777" w:rsidR="00BE40DD" w:rsidRPr="006A595A" w:rsidRDefault="00BE40DD" w:rsidP="00BE40DD">
      <w:pPr>
        <w:spacing w:after="0" w:line="240" w:lineRule="auto"/>
        <w:jc w:val="both"/>
        <w:rPr>
          <w:rFonts w:ascii="Times New Roman" w:hAnsi="Times New Roman"/>
          <w:bCs/>
          <w:i/>
          <w:color w:val="0D0D0D"/>
          <w:sz w:val="24"/>
          <w:szCs w:val="24"/>
          <w:lang w:eastAsia="lt-LT"/>
        </w:rPr>
      </w:pPr>
      <w:r w:rsidRPr="006A595A">
        <w:rPr>
          <w:rFonts w:ascii="Times New Roman" w:hAnsi="Times New Roman"/>
          <w:bCs/>
          <w:i/>
          <w:color w:val="0D0D0D"/>
          <w:sz w:val="24"/>
          <w:szCs w:val="24"/>
          <w:lang w:eastAsia="lt-LT"/>
        </w:rPr>
        <w:t>Mob.</w:t>
      </w:r>
      <w:r w:rsidR="00DA1A8A" w:rsidRPr="006A595A">
        <w:rPr>
          <w:rFonts w:ascii="Times New Roman" w:hAnsi="Times New Roman"/>
          <w:bCs/>
          <w:i/>
          <w:color w:val="0D0D0D"/>
          <w:sz w:val="24"/>
          <w:szCs w:val="24"/>
          <w:lang w:eastAsia="lt-LT"/>
        </w:rPr>
        <w:t xml:space="preserve">: </w:t>
      </w:r>
      <w:r w:rsidRPr="006A595A">
        <w:rPr>
          <w:rFonts w:ascii="Times New Roman" w:hAnsi="Times New Roman"/>
          <w:bCs/>
          <w:i/>
          <w:color w:val="0D0D0D"/>
          <w:sz w:val="24"/>
          <w:szCs w:val="24"/>
          <w:lang w:eastAsia="lt-LT"/>
        </w:rPr>
        <w:t>+371 26190198</w:t>
      </w:r>
    </w:p>
    <w:p w14:paraId="0CDC9D17" w14:textId="77777777" w:rsidR="00BE40DD" w:rsidRPr="00A77394" w:rsidRDefault="00BE40DD" w:rsidP="00BE40DD">
      <w:pPr>
        <w:spacing w:after="0" w:line="240" w:lineRule="auto"/>
        <w:jc w:val="both"/>
        <w:rPr>
          <w:rFonts w:ascii="Times New Roman" w:hAnsi="Times New Roman"/>
          <w:i/>
          <w:sz w:val="24"/>
          <w:szCs w:val="24"/>
          <w:lang w:val="da-DK"/>
        </w:rPr>
      </w:pPr>
      <w:r w:rsidRPr="006A595A">
        <w:rPr>
          <w:rFonts w:ascii="Times New Roman" w:hAnsi="Times New Roman"/>
          <w:i/>
          <w:sz w:val="24"/>
          <w:szCs w:val="24"/>
        </w:rPr>
        <w:t>E</w:t>
      </w:r>
      <w:r w:rsidR="00DA1A8A" w:rsidRPr="006A595A">
        <w:rPr>
          <w:rFonts w:ascii="Times New Roman" w:hAnsi="Times New Roman"/>
          <w:i/>
          <w:sz w:val="24"/>
          <w:szCs w:val="24"/>
        </w:rPr>
        <w:t>l. paštas</w:t>
      </w:r>
      <w:r w:rsidRPr="006A595A">
        <w:rPr>
          <w:rFonts w:ascii="Times New Roman" w:hAnsi="Times New Roman"/>
          <w:i/>
          <w:sz w:val="24"/>
          <w:szCs w:val="24"/>
        </w:rPr>
        <w:t xml:space="preserve">: </w:t>
      </w:r>
      <w:hyperlink r:id="rId43" w:history="1">
        <w:r w:rsidR="00BB6F0E" w:rsidRPr="006A595A">
          <w:rPr>
            <w:rStyle w:val="Hyperlink"/>
            <w:rFonts w:ascii="Times New Roman" w:hAnsi="Times New Roman"/>
            <w:i/>
            <w:sz w:val="24"/>
            <w:szCs w:val="24"/>
          </w:rPr>
          <w:t>gita.blinstrubaite</w:t>
        </w:r>
        <w:r w:rsidR="00BB6F0E" w:rsidRPr="00A77394">
          <w:rPr>
            <w:rStyle w:val="Hyperlink"/>
            <w:rFonts w:ascii="Times New Roman" w:hAnsi="Times New Roman"/>
            <w:i/>
            <w:sz w:val="24"/>
            <w:szCs w:val="24"/>
            <w:lang w:val="da-DK"/>
          </w:rPr>
          <w:t>@urm.lt</w:t>
        </w:r>
      </w:hyperlink>
    </w:p>
    <w:p w14:paraId="06832731" w14:textId="77777777" w:rsidR="00BB6F0E" w:rsidRPr="00A77394" w:rsidRDefault="00BB6F0E" w:rsidP="00BE40DD">
      <w:pPr>
        <w:spacing w:after="0" w:line="240" w:lineRule="auto"/>
        <w:jc w:val="both"/>
        <w:rPr>
          <w:rFonts w:ascii="Times New Roman" w:hAnsi="Times New Roman"/>
          <w:sz w:val="24"/>
          <w:szCs w:val="24"/>
          <w:lang w:val="da-DK"/>
        </w:rPr>
      </w:pPr>
    </w:p>
    <w:p w14:paraId="7083403D" w14:textId="77777777" w:rsidR="00A87864" w:rsidRPr="00D12F3E" w:rsidRDefault="00A87864" w:rsidP="00E470DA">
      <w:pPr>
        <w:spacing w:after="0" w:line="240" w:lineRule="auto"/>
        <w:jc w:val="both"/>
        <w:rPr>
          <w:rFonts w:ascii="Times New Roman" w:hAnsi="Times New Roman"/>
          <w:sz w:val="24"/>
          <w:szCs w:val="24"/>
        </w:rPr>
      </w:pPr>
    </w:p>
    <w:p w14:paraId="76446243" w14:textId="77777777" w:rsidR="00BB6F0E" w:rsidRPr="00D12F3E" w:rsidRDefault="00BB6F0E">
      <w:pPr>
        <w:spacing w:after="0" w:line="240" w:lineRule="auto"/>
        <w:jc w:val="both"/>
        <w:rPr>
          <w:rFonts w:ascii="Times New Roman" w:hAnsi="Times New Roman"/>
          <w:sz w:val="24"/>
          <w:szCs w:val="24"/>
        </w:rPr>
      </w:pPr>
    </w:p>
    <w:sectPr w:rsidR="00BB6F0E" w:rsidRPr="00D12F3E" w:rsidSect="005D2D25">
      <w:footerReference w:type="default" r:id="rId44"/>
      <w:headerReference w:type="first" r:id="rId45"/>
      <w:pgSz w:w="16838" w:h="11906" w:orient="landscape"/>
      <w:pgMar w:top="1701" w:right="1134" w:bottom="567" w:left="1134" w:header="567" w:footer="567" w:gutter="0"/>
      <w:pgNumType w:start="1"/>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F6E6B1" w14:textId="77777777" w:rsidR="000136A5" w:rsidRDefault="000136A5">
      <w:pPr>
        <w:spacing w:after="0" w:line="240" w:lineRule="auto"/>
      </w:pPr>
      <w:r>
        <w:separator/>
      </w:r>
    </w:p>
  </w:endnote>
  <w:endnote w:type="continuationSeparator" w:id="0">
    <w:p w14:paraId="7F0E814B" w14:textId="77777777" w:rsidR="000136A5" w:rsidRDefault="000136A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Garamond">
    <w:panose1 w:val="02020404030301010803"/>
    <w:charset w:val="BA"/>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82172547"/>
      <w:docPartObj>
        <w:docPartGallery w:val="Page Numbers (Bottom of Page)"/>
        <w:docPartUnique/>
      </w:docPartObj>
    </w:sdtPr>
    <w:sdtEndPr>
      <w:rPr>
        <w:noProof/>
      </w:rPr>
    </w:sdtEndPr>
    <w:sdtContent>
      <w:p w14:paraId="4EC7B215" w14:textId="77777777" w:rsidR="00F96BF4" w:rsidRDefault="00F96BF4">
        <w:pPr>
          <w:pStyle w:val="Footer"/>
          <w:jc w:val="right"/>
        </w:pPr>
        <w:r>
          <w:fldChar w:fldCharType="begin"/>
        </w:r>
        <w:r>
          <w:instrText xml:space="preserve"> PAGE   \* MERGEFORMAT </w:instrText>
        </w:r>
        <w:r>
          <w:fldChar w:fldCharType="separate"/>
        </w:r>
        <w:r w:rsidR="00205CAF">
          <w:rPr>
            <w:noProof/>
          </w:rPr>
          <w:t>3</w:t>
        </w:r>
        <w:r>
          <w:rPr>
            <w:noProof/>
          </w:rPr>
          <w:fldChar w:fldCharType="end"/>
        </w:r>
      </w:p>
    </w:sdtContent>
  </w:sdt>
  <w:p w14:paraId="5E07AC63" w14:textId="77777777" w:rsidR="00F96BF4" w:rsidRDefault="00F96BF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B855BD" w14:textId="77777777" w:rsidR="000136A5" w:rsidRDefault="000136A5">
      <w:pPr>
        <w:spacing w:after="0" w:line="240" w:lineRule="auto"/>
      </w:pPr>
      <w:r>
        <w:separator/>
      </w:r>
    </w:p>
  </w:footnote>
  <w:footnote w:type="continuationSeparator" w:id="0">
    <w:p w14:paraId="4233718F" w14:textId="77777777" w:rsidR="000136A5" w:rsidRDefault="000136A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3855D4" w14:textId="77777777" w:rsidR="00C449BD" w:rsidRDefault="00C449BD" w:rsidP="00C330CC">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782255"/>
    <w:multiLevelType w:val="hybridMultilevel"/>
    <w:tmpl w:val="A7B2D694"/>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 w15:restartNumberingAfterBreak="0">
    <w:nsid w:val="17CF0E73"/>
    <w:multiLevelType w:val="hybridMultilevel"/>
    <w:tmpl w:val="43906ACA"/>
    <w:lvl w:ilvl="0" w:tplc="CA84D19E">
      <w:start w:val="1"/>
      <w:numFmt w:val="upperRoman"/>
      <w:lvlText w:val="%1."/>
      <w:lvlJc w:val="left"/>
      <w:pPr>
        <w:ind w:left="1080" w:hanging="72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1DF32F2D"/>
    <w:multiLevelType w:val="hybridMultilevel"/>
    <w:tmpl w:val="61E4F26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258922AF"/>
    <w:multiLevelType w:val="hybridMultilevel"/>
    <w:tmpl w:val="D91EDAB2"/>
    <w:lvl w:ilvl="0" w:tplc="EDEE637A">
      <w:start w:val="3"/>
      <w:numFmt w:val="bullet"/>
      <w:lvlText w:val="-"/>
      <w:lvlJc w:val="left"/>
      <w:pPr>
        <w:ind w:left="720" w:hanging="360"/>
      </w:pPr>
      <w:rPr>
        <w:rFonts w:ascii="Calibri" w:eastAsia="Calibri" w:hAnsi="Calibri"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 w15:restartNumberingAfterBreak="0">
    <w:nsid w:val="25B12820"/>
    <w:multiLevelType w:val="hybridMultilevel"/>
    <w:tmpl w:val="1E7CCB04"/>
    <w:lvl w:ilvl="0" w:tplc="0DD878A0">
      <w:start w:val="3"/>
      <w:numFmt w:val="bullet"/>
      <w:lvlText w:val="-"/>
      <w:lvlJc w:val="left"/>
      <w:pPr>
        <w:ind w:left="720" w:hanging="360"/>
      </w:pPr>
      <w:rPr>
        <w:rFonts w:ascii="Calibri" w:eastAsia="Calibri" w:hAnsi="Calibri"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5" w15:restartNumberingAfterBreak="0">
    <w:nsid w:val="27604239"/>
    <w:multiLevelType w:val="hybridMultilevel"/>
    <w:tmpl w:val="A46689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7FA5A21"/>
    <w:multiLevelType w:val="hybridMultilevel"/>
    <w:tmpl w:val="603659D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28852C0B"/>
    <w:multiLevelType w:val="hybridMultilevel"/>
    <w:tmpl w:val="B0DA48E4"/>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8" w15:restartNumberingAfterBreak="0">
    <w:nsid w:val="2C11391B"/>
    <w:multiLevelType w:val="hybridMultilevel"/>
    <w:tmpl w:val="03DE948E"/>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9" w15:restartNumberingAfterBreak="0">
    <w:nsid w:val="2C6F53B3"/>
    <w:multiLevelType w:val="hybridMultilevel"/>
    <w:tmpl w:val="198A4C1E"/>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0" w15:restartNumberingAfterBreak="0">
    <w:nsid w:val="2E233D3B"/>
    <w:multiLevelType w:val="hybridMultilevel"/>
    <w:tmpl w:val="21901D8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E893C12"/>
    <w:multiLevelType w:val="hybridMultilevel"/>
    <w:tmpl w:val="9E84D69C"/>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2" w15:restartNumberingAfterBreak="0">
    <w:nsid w:val="5E5C3C9F"/>
    <w:multiLevelType w:val="hybridMultilevel"/>
    <w:tmpl w:val="1068DA34"/>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66C67AAA"/>
    <w:multiLevelType w:val="hybridMultilevel"/>
    <w:tmpl w:val="4ABEDD8C"/>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4" w15:restartNumberingAfterBreak="0">
    <w:nsid w:val="6E7D7DC6"/>
    <w:multiLevelType w:val="hybridMultilevel"/>
    <w:tmpl w:val="61E4F26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6F7C3CCC"/>
    <w:multiLevelType w:val="hybridMultilevel"/>
    <w:tmpl w:val="2FF060E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75482B6E"/>
    <w:multiLevelType w:val="multilevel"/>
    <w:tmpl w:val="B33E06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7A6E2C36"/>
    <w:multiLevelType w:val="hybridMultilevel"/>
    <w:tmpl w:val="4236790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557522207">
    <w:abstractNumId w:val="8"/>
  </w:num>
  <w:num w:numId="2" w16cid:durableId="184372583">
    <w:abstractNumId w:val="1"/>
  </w:num>
  <w:num w:numId="3" w16cid:durableId="726758141">
    <w:abstractNumId w:val="7"/>
  </w:num>
  <w:num w:numId="4" w16cid:durableId="180973538">
    <w:abstractNumId w:val="0"/>
  </w:num>
  <w:num w:numId="5" w16cid:durableId="1497840970">
    <w:abstractNumId w:val="9"/>
  </w:num>
  <w:num w:numId="6" w16cid:durableId="645745701">
    <w:abstractNumId w:val="11"/>
  </w:num>
  <w:num w:numId="7" w16cid:durableId="290942291">
    <w:abstractNumId w:val="13"/>
  </w:num>
  <w:num w:numId="8" w16cid:durableId="2007122132">
    <w:abstractNumId w:val="4"/>
  </w:num>
  <w:num w:numId="9" w16cid:durableId="1838812093">
    <w:abstractNumId w:val="3"/>
  </w:num>
  <w:num w:numId="10" w16cid:durableId="1013796834">
    <w:abstractNumId w:val="5"/>
  </w:num>
  <w:num w:numId="11" w16cid:durableId="1111585024">
    <w:abstractNumId w:val="16"/>
  </w:num>
  <w:num w:numId="12" w16cid:durableId="1087968072">
    <w:abstractNumId w:val="15"/>
  </w:num>
  <w:num w:numId="13" w16cid:durableId="1932660570">
    <w:abstractNumId w:val="10"/>
  </w:num>
  <w:num w:numId="14" w16cid:durableId="1235359231">
    <w:abstractNumId w:val="17"/>
  </w:num>
  <w:num w:numId="15" w16cid:durableId="1391732856">
    <w:abstractNumId w:val="12"/>
  </w:num>
  <w:num w:numId="16" w16cid:durableId="1670400125">
    <w:abstractNumId w:val="6"/>
  </w:num>
  <w:num w:numId="17" w16cid:durableId="420182746">
    <w:abstractNumId w:val="2"/>
  </w:num>
  <w:num w:numId="18" w16cid:durableId="1932736127">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activeWritingStyle w:appName="MSWord" w:lang="fi-FI" w:vendorID="64" w:dllVersion="6" w:nlCheck="1" w:checkStyle="0"/>
  <w:activeWritingStyle w:appName="MSWord" w:lang="en-US" w:vendorID="64" w:dllVersion="6" w:nlCheck="1" w:checkStyle="1"/>
  <w:activeWritingStyle w:appName="MSWord" w:lang="en-US" w:vendorID="64" w:dllVersion="0" w:nlCheck="1" w:checkStyle="0"/>
  <w:activeWritingStyle w:appName="MSWord" w:lang="en-US" w:vendorID="64" w:dllVersion="4096" w:nlCheck="1" w:checkStyle="0"/>
  <w:defaultTabStop w:val="1296"/>
  <w:hyphenationZone w:val="396"/>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87864"/>
    <w:rsid w:val="000056FB"/>
    <w:rsid w:val="00010AAD"/>
    <w:rsid w:val="000136A5"/>
    <w:rsid w:val="00013D52"/>
    <w:rsid w:val="00014AFB"/>
    <w:rsid w:val="000173D1"/>
    <w:rsid w:val="000231F6"/>
    <w:rsid w:val="00031344"/>
    <w:rsid w:val="00034B5C"/>
    <w:rsid w:val="0004033A"/>
    <w:rsid w:val="000520A3"/>
    <w:rsid w:val="00061E90"/>
    <w:rsid w:val="00065856"/>
    <w:rsid w:val="0007334D"/>
    <w:rsid w:val="00076798"/>
    <w:rsid w:val="000860D5"/>
    <w:rsid w:val="00091BD8"/>
    <w:rsid w:val="000A699C"/>
    <w:rsid w:val="000B5691"/>
    <w:rsid w:val="000C4FAB"/>
    <w:rsid w:val="000C618B"/>
    <w:rsid w:val="000D35E2"/>
    <w:rsid w:val="00102B3C"/>
    <w:rsid w:val="0010553C"/>
    <w:rsid w:val="001070E8"/>
    <w:rsid w:val="0011371D"/>
    <w:rsid w:val="001139B1"/>
    <w:rsid w:val="001262B7"/>
    <w:rsid w:val="00126488"/>
    <w:rsid w:val="00147B5A"/>
    <w:rsid w:val="00151A8D"/>
    <w:rsid w:val="00180193"/>
    <w:rsid w:val="00180A29"/>
    <w:rsid w:val="001957F3"/>
    <w:rsid w:val="00195E14"/>
    <w:rsid w:val="001A1216"/>
    <w:rsid w:val="001B1149"/>
    <w:rsid w:val="001B5098"/>
    <w:rsid w:val="001B6CAD"/>
    <w:rsid w:val="001C13DA"/>
    <w:rsid w:val="001C5117"/>
    <w:rsid w:val="001E30B0"/>
    <w:rsid w:val="001E5C3B"/>
    <w:rsid w:val="00201DC6"/>
    <w:rsid w:val="00205CAF"/>
    <w:rsid w:val="00226C1C"/>
    <w:rsid w:val="002270E6"/>
    <w:rsid w:val="002310CA"/>
    <w:rsid w:val="00237371"/>
    <w:rsid w:val="00266200"/>
    <w:rsid w:val="00284F4D"/>
    <w:rsid w:val="00293FDD"/>
    <w:rsid w:val="002B78B6"/>
    <w:rsid w:val="002C2C53"/>
    <w:rsid w:val="002C72D6"/>
    <w:rsid w:val="002E5354"/>
    <w:rsid w:val="002F4933"/>
    <w:rsid w:val="002F5C70"/>
    <w:rsid w:val="00303035"/>
    <w:rsid w:val="00311E71"/>
    <w:rsid w:val="00326FBF"/>
    <w:rsid w:val="003310BD"/>
    <w:rsid w:val="00331338"/>
    <w:rsid w:val="00332246"/>
    <w:rsid w:val="00333E37"/>
    <w:rsid w:val="003539C3"/>
    <w:rsid w:val="00361DDC"/>
    <w:rsid w:val="003861FB"/>
    <w:rsid w:val="003A3714"/>
    <w:rsid w:val="003A49BE"/>
    <w:rsid w:val="003A7835"/>
    <w:rsid w:val="003B71BE"/>
    <w:rsid w:val="003D2188"/>
    <w:rsid w:val="003F1129"/>
    <w:rsid w:val="004038AD"/>
    <w:rsid w:val="00411AB4"/>
    <w:rsid w:val="00425D37"/>
    <w:rsid w:val="00430EA7"/>
    <w:rsid w:val="00430F6A"/>
    <w:rsid w:val="004313A9"/>
    <w:rsid w:val="004317FE"/>
    <w:rsid w:val="0043453B"/>
    <w:rsid w:val="0043662A"/>
    <w:rsid w:val="004375D5"/>
    <w:rsid w:val="00441428"/>
    <w:rsid w:val="00444DD0"/>
    <w:rsid w:val="00452AA1"/>
    <w:rsid w:val="00457480"/>
    <w:rsid w:val="00467C2F"/>
    <w:rsid w:val="00480702"/>
    <w:rsid w:val="00482795"/>
    <w:rsid w:val="00486468"/>
    <w:rsid w:val="004B0BAA"/>
    <w:rsid w:val="004B275E"/>
    <w:rsid w:val="004B7235"/>
    <w:rsid w:val="004D0D27"/>
    <w:rsid w:val="004D24E4"/>
    <w:rsid w:val="004D6C56"/>
    <w:rsid w:val="004D7FE6"/>
    <w:rsid w:val="004E5D1B"/>
    <w:rsid w:val="004E66C0"/>
    <w:rsid w:val="004F0037"/>
    <w:rsid w:val="004F0E85"/>
    <w:rsid w:val="005009BE"/>
    <w:rsid w:val="00510910"/>
    <w:rsid w:val="005158E6"/>
    <w:rsid w:val="00526701"/>
    <w:rsid w:val="00534AE5"/>
    <w:rsid w:val="0055014E"/>
    <w:rsid w:val="00551A4F"/>
    <w:rsid w:val="005579B9"/>
    <w:rsid w:val="0056475B"/>
    <w:rsid w:val="00570929"/>
    <w:rsid w:val="00580887"/>
    <w:rsid w:val="00590B27"/>
    <w:rsid w:val="00592978"/>
    <w:rsid w:val="00596188"/>
    <w:rsid w:val="005A3046"/>
    <w:rsid w:val="005A44AB"/>
    <w:rsid w:val="005A79DA"/>
    <w:rsid w:val="005D2D25"/>
    <w:rsid w:val="005E1DEC"/>
    <w:rsid w:val="005E4431"/>
    <w:rsid w:val="005E5DA6"/>
    <w:rsid w:val="005E6A70"/>
    <w:rsid w:val="005F3788"/>
    <w:rsid w:val="00600A55"/>
    <w:rsid w:val="0060127B"/>
    <w:rsid w:val="00604A7E"/>
    <w:rsid w:val="00605E9A"/>
    <w:rsid w:val="006259DC"/>
    <w:rsid w:val="00631B32"/>
    <w:rsid w:val="00657FD3"/>
    <w:rsid w:val="00670CB1"/>
    <w:rsid w:val="0067279E"/>
    <w:rsid w:val="006932F9"/>
    <w:rsid w:val="0069608A"/>
    <w:rsid w:val="006A3D5F"/>
    <w:rsid w:val="006A4197"/>
    <w:rsid w:val="006A595A"/>
    <w:rsid w:val="006A6946"/>
    <w:rsid w:val="006A72E7"/>
    <w:rsid w:val="006B1BF9"/>
    <w:rsid w:val="006B68F5"/>
    <w:rsid w:val="006C3F9A"/>
    <w:rsid w:val="006C55BA"/>
    <w:rsid w:val="006C6DD7"/>
    <w:rsid w:val="006D493F"/>
    <w:rsid w:val="006D5646"/>
    <w:rsid w:val="006E1F1F"/>
    <w:rsid w:val="006F183C"/>
    <w:rsid w:val="006F6AC3"/>
    <w:rsid w:val="00706E27"/>
    <w:rsid w:val="00710EF7"/>
    <w:rsid w:val="007122A0"/>
    <w:rsid w:val="007146C2"/>
    <w:rsid w:val="007166A7"/>
    <w:rsid w:val="007377A7"/>
    <w:rsid w:val="0074162D"/>
    <w:rsid w:val="00745135"/>
    <w:rsid w:val="00757379"/>
    <w:rsid w:val="00761E23"/>
    <w:rsid w:val="00761FB9"/>
    <w:rsid w:val="007626B9"/>
    <w:rsid w:val="007766FD"/>
    <w:rsid w:val="007974AB"/>
    <w:rsid w:val="0079786F"/>
    <w:rsid w:val="007A143F"/>
    <w:rsid w:val="007C1CBC"/>
    <w:rsid w:val="007E19CA"/>
    <w:rsid w:val="007E4B88"/>
    <w:rsid w:val="007E6A95"/>
    <w:rsid w:val="00801B0C"/>
    <w:rsid w:val="00805396"/>
    <w:rsid w:val="008152E1"/>
    <w:rsid w:val="00817467"/>
    <w:rsid w:val="00817E12"/>
    <w:rsid w:val="00831EAC"/>
    <w:rsid w:val="0084722D"/>
    <w:rsid w:val="00861313"/>
    <w:rsid w:val="00864FBA"/>
    <w:rsid w:val="00865692"/>
    <w:rsid w:val="00867DCF"/>
    <w:rsid w:val="00877BE1"/>
    <w:rsid w:val="00883A27"/>
    <w:rsid w:val="00885842"/>
    <w:rsid w:val="00890C7B"/>
    <w:rsid w:val="008A0C19"/>
    <w:rsid w:val="008C485B"/>
    <w:rsid w:val="008D3156"/>
    <w:rsid w:val="008E0967"/>
    <w:rsid w:val="008E3E0A"/>
    <w:rsid w:val="008F2503"/>
    <w:rsid w:val="008F3E17"/>
    <w:rsid w:val="0090402E"/>
    <w:rsid w:val="00916B06"/>
    <w:rsid w:val="00926094"/>
    <w:rsid w:val="0093137B"/>
    <w:rsid w:val="00936FEA"/>
    <w:rsid w:val="00937808"/>
    <w:rsid w:val="00976CD3"/>
    <w:rsid w:val="00977C36"/>
    <w:rsid w:val="00986C02"/>
    <w:rsid w:val="009919DE"/>
    <w:rsid w:val="009943EA"/>
    <w:rsid w:val="009959F8"/>
    <w:rsid w:val="009B1B56"/>
    <w:rsid w:val="009B5398"/>
    <w:rsid w:val="009C2E15"/>
    <w:rsid w:val="009C49C5"/>
    <w:rsid w:val="009D50BF"/>
    <w:rsid w:val="009D6FED"/>
    <w:rsid w:val="009D7CE9"/>
    <w:rsid w:val="009E2E6A"/>
    <w:rsid w:val="009E5FF0"/>
    <w:rsid w:val="009F1ABF"/>
    <w:rsid w:val="00A03076"/>
    <w:rsid w:val="00A074EB"/>
    <w:rsid w:val="00A15253"/>
    <w:rsid w:val="00A23B96"/>
    <w:rsid w:val="00A255FB"/>
    <w:rsid w:val="00A3206B"/>
    <w:rsid w:val="00A34E3C"/>
    <w:rsid w:val="00A47CAE"/>
    <w:rsid w:val="00A50A97"/>
    <w:rsid w:val="00A77394"/>
    <w:rsid w:val="00A87864"/>
    <w:rsid w:val="00A914B8"/>
    <w:rsid w:val="00A93B23"/>
    <w:rsid w:val="00A942AE"/>
    <w:rsid w:val="00AB2BB1"/>
    <w:rsid w:val="00AB68B3"/>
    <w:rsid w:val="00AE3235"/>
    <w:rsid w:val="00AF1A46"/>
    <w:rsid w:val="00B22619"/>
    <w:rsid w:val="00B2480F"/>
    <w:rsid w:val="00B363ED"/>
    <w:rsid w:val="00B431E9"/>
    <w:rsid w:val="00B47078"/>
    <w:rsid w:val="00B650D5"/>
    <w:rsid w:val="00B726C6"/>
    <w:rsid w:val="00B732A9"/>
    <w:rsid w:val="00B87CC6"/>
    <w:rsid w:val="00B943A9"/>
    <w:rsid w:val="00BA70FF"/>
    <w:rsid w:val="00BB1354"/>
    <w:rsid w:val="00BB6F0E"/>
    <w:rsid w:val="00BE40DD"/>
    <w:rsid w:val="00BF5EF0"/>
    <w:rsid w:val="00C330CC"/>
    <w:rsid w:val="00C332B6"/>
    <w:rsid w:val="00C41DEA"/>
    <w:rsid w:val="00C449BD"/>
    <w:rsid w:val="00C47D66"/>
    <w:rsid w:val="00C62DB4"/>
    <w:rsid w:val="00C64E39"/>
    <w:rsid w:val="00C6573E"/>
    <w:rsid w:val="00C6766E"/>
    <w:rsid w:val="00C73FA6"/>
    <w:rsid w:val="00CB0549"/>
    <w:rsid w:val="00CB5687"/>
    <w:rsid w:val="00CD6101"/>
    <w:rsid w:val="00CE51BB"/>
    <w:rsid w:val="00CF66ED"/>
    <w:rsid w:val="00CF741C"/>
    <w:rsid w:val="00CF78C2"/>
    <w:rsid w:val="00D12F3E"/>
    <w:rsid w:val="00D23E0A"/>
    <w:rsid w:val="00D30242"/>
    <w:rsid w:val="00D315D0"/>
    <w:rsid w:val="00D47DEA"/>
    <w:rsid w:val="00D50312"/>
    <w:rsid w:val="00D50EED"/>
    <w:rsid w:val="00D653EF"/>
    <w:rsid w:val="00D80A9C"/>
    <w:rsid w:val="00D84C98"/>
    <w:rsid w:val="00DA1A8A"/>
    <w:rsid w:val="00DA760A"/>
    <w:rsid w:val="00DC1DBD"/>
    <w:rsid w:val="00DC3F78"/>
    <w:rsid w:val="00E00E03"/>
    <w:rsid w:val="00E01774"/>
    <w:rsid w:val="00E04BF4"/>
    <w:rsid w:val="00E060CA"/>
    <w:rsid w:val="00E13FBD"/>
    <w:rsid w:val="00E24F94"/>
    <w:rsid w:val="00E33EBF"/>
    <w:rsid w:val="00E470DA"/>
    <w:rsid w:val="00E80C9F"/>
    <w:rsid w:val="00E8185D"/>
    <w:rsid w:val="00E82E93"/>
    <w:rsid w:val="00E8553A"/>
    <w:rsid w:val="00EA4757"/>
    <w:rsid w:val="00EC2098"/>
    <w:rsid w:val="00EC4751"/>
    <w:rsid w:val="00ED3465"/>
    <w:rsid w:val="00ED77D3"/>
    <w:rsid w:val="00EF449D"/>
    <w:rsid w:val="00EF4D0E"/>
    <w:rsid w:val="00F05CC2"/>
    <w:rsid w:val="00F142D5"/>
    <w:rsid w:val="00F15DCA"/>
    <w:rsid w:val="00F17459"/>
    <w:rsid w:val="00F24162"/>
    <w:rsid w:val="00F31618"/>
    <w:rsid w:val="00F534A0"/>
    <w:rsid w:val="00F55B1B"/>
    <w:rsid w:val="00F634E7"/>
    <w:rsid w:val="00F8560B"/>
    <w:rsid w:val="00F96BF4"/>
    <w:rsid w:val="00FA00A6"/>
    <w:rsid w:val="00FA360B"/>
    <w:rsid w:val="00FB3206"/>
    <w:rsid w:val="00FB374D"/>
    <w:rsid w:val="00FC38AF"/>
    <w:rsid w:val="00FC3FD2"/>
    <w:rsid w:val="00FD45EA"/>
    <w:rsid w:val="00FD5EF8"/>
    <w:rsid w:val="00FE5123"/>
    <w:rsid w:val="00FE70ED"/>
    <w:rsid w:val="00FF4F01"/>
    <w:rsid w:val="00FF591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7513B7D"/>
  <w15:chartTrackingRefBased/>
  <w15:docId w15:val="{522B285C-F661-4EA3-9B33-B3F34D200D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MS Mincho"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87864"/>
    <w:pPr>
      <w:spacing w:after="200" w:line="276" w:lineRule="auto"/>
    </w:pPr>
    <w:rPr>
      <w:rFonts w:eastAsia="Calibri"/>
      <w:sz w:val="22"/>
      <w:szCs w:val="22"/>
      <w:lang w:val="lt-LT"/>
    </w:rPr>
  </w:style>
  <w:style w:type="paragraph" w:styleId="Heading1">
    <w:name w:val="heading 1"/>
    <w:basedOn w:val="Normal"/>
    <w:next w:val="Normal"/>
    <w:link w:val="Heading1Char"/>
    <w:qFormat/>
    <w:rsid w:val="00A87864"/>
    <w:pPr>
      <w:jc w:val="center"/>
      <w:outlineLvl w:val="0"/>
    </w:pPr>
    <w:rPr>
      <w:rFonts w:ascii="Garamond" w:eastAsia="Times New Roman" w:hAnsi="Garamond" w:cs="Arial"/>
      <w:caps/>
      <w:color w:val="4F6228"/>
      <w:sz w:val="16"/>
      <w:szCs w:val="32"/>
      <w:lang w:val="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A87864"/>
    <w:rPr>
      <w:rFonts w:ascii="Garamond" w:eastAsia="Times New Roman" w:hAnsi="Garamond" w:cs="Arial"/>
      <w:caps/>
      <w:color w:val="4F6228"/>
      <w:sz w:val="16"/>
      <w:szCs w:val="32"/>
      <w:lang w:val="en-US" w:eastAsia="en-US"/>
    </w:rPr>
  </w:style>
  <w:style w:type="paragraph" w:styleId="Header">
    <w:name w:val="header"/>
    <w:basedOn w:val="Normal"/>
    <w:link w:val="HeaderChar"/>
    <w:uiPriority w:val="99"/>
    <w:rsid w:val="00A87864"/>
    <w:pPr>
      <w:tabs>
        <w:tab w:val="center" w:pos="4153"/>
        <w:tab w:val="right" w:pos="8306"/>
      </w:tabs>
    </w:pPr>
    <w:rPr>
      <w:rFonts w:eastAsia="Times New Roman"/>
      <w:szCs w:val="20"/>
      <w:lang w:val="x-none"/>
    </w:rPr>
  </w:style>
  <w:style w:type="character" w:customStyle="1" w:styleId="HeaderChar">
    <w:name w:val="Header Char"/>
    <w:link w:val="Header"/>
    <w:uiPriority w:val="99"/>
    <w:rsid w:val="00A87864"/>
    <w:rPr>
      <w:rFonts w:ascii="Calibri" w:eastAsia="Times New Roman" w:hAnsi="Calibri" w:cs="Times New Roman"/>
      <w:szCs w:val="20"/>
      <w:lang w:val="x-none" w:eastAsia="en-US"/>
    </w:rPr>
  </w:style>
  <w:style w:type="paragraph" w:styleId="Footer">
    <w:name w:val="footer"/>
    <w:basedOn w:val="Normal"/>
    <w:link w:val="FooterChar"/>
    <w:uiPriority w:val="99"/>
    <w:rsid w:val="00A87864"/>
    <w:pPr>
      <w:tabs>
        <w:tab w:val="center" w:pos="4153"/>
        <w:tab w:val="right" w:pos="8306"/>
      </w:tabs>
    </w:pPr>
    <w:rPr>
      <w:rFonts w:eastAsia="Times New Roman"/>
      <w:szCs w:val="20"/>
    </w:rPr>
  </w:style>
  <w:style w:type="character" w:customStyle="1" w:styleId="FooterChar">
    <w:name w:val="Footer Char"/>
    <w:link w:val="Footer"/>
    <w:uiPriority w:val="99"/>
    <w:rsid w:val="00A87864"/>
    <w:rPr>
      <w:rFonts w:ascii="Calibri" w:eastAsia="Times New Roman" w:hAnsi="Calibri" w:cs="Times New Roman"/>
      <w:szCs w:val="20"/>
      <w:lang w:eastAsia="en-US"/>
    </w:rPr>
  </w:style>
  <w:style w:type="character" w:styleId="PageNumber">
    <w:name w:val="page number"/>
    <w:basedOn w:val="DefaultParagraphFont"/>
    <w:rsid w:val="00A87864"/>
  </w:style>
  <w:style w:type="character" w:customStyle="1" w:styleId="ms-rtefontsize-41">
    <w:name w:val="ms-rtefontsize-41"/>
    <w:rsid w:val="00A87864"/>
    <w:rPr>
      <w:sz w:val="36"/>
      <w:szCs w:val="36"/>
    </w:rPr>
  </w:style>
  <w:style w:type="paragraph" w:styleId="BalloonText">
    <w:name w:val="Balloon Text"/>
    <w:basedOn w:val="Normal"/>
    <w:link w:val="BalloonTextChar"/>
    <w:uiPriority w:val="99"/>
    <w:semiHidden/>
    <w:unhideWhenUsed/>
    <w:rsid w:val="00A87864"/>
    <w:pPr>
      <w:spacing w:after="0" w:line="240" w:lineRule="auto"/>
    </w:pPr>
    <w:rPr>
      <w:rFonts w:ascii="Segoe UI" w:hAnsi="Segoe UI" w:cs="Segoe UI"/>
      <w:sz w:val="18"/>
      <w:szCs w:val="18"/>
    </w:rPr>
  </w:style>
  <w:style w:type="character" w:customStyle="1" w:styleId="BalloonTextChar">
    <w:name w:val="Balloon Text Char"/>
    <w:link w:val="BalloonText"/>
    <w:uiPriority w:val="99"/>
    <w:semiHidden/>
    <w:rsid w:val="00A87864"/>
    <w:rPr>
      <w:rFonts w:ascii="Segoe UI" w:eastAsia="Calibri" w:hAnsi="Segoe UI" w:cs="Segoe UI"/>
      <w:sz w:val="18"/>
      <w:szCs w:val="18"/>
      <w:lang w:eastAsia="en-US"/>
    </w:rPr>
  </w:style>
  <w:style w:type="character" w:styleId="CommentReference">
    <w:name w:val="annotation reference"/>
    <w:uiPriority w:val="99"/>
    <w:semiHidden/>
    <w:unhideWhenUsed/>
    <w:rsid w:val="00A87864"/>
    <w:rPr>
      <w:sz w:val="16"/>
      <w:szCs w:val="16"/>
    </w:rPr>
  </w:style>
  <w:style w:type="paragraph" w:styleId="CommentText">
    <w:name w:val="annotation text"/>
    <w:basedOn w:val="Normal"/>
    <w:link w:val="CommentTextChar"/>
    <w:uiPriority w:val="99"/>
    <w:semiHidden/>
    <w:unhideWhenUsed/>
    <w:rsid w:val="00A87864"/>
    <w:pPr>
      <w:spacing w:line="240" w:lineRule="auto"/>
    </w:pPr>
    <w:rPr>
      <w:sz w:val="20"/>
      <w:szCs w:val="20"/>
    </w:rPr>
  </w:style>
  <w:style w:type="character" w:customStyle="1" w:styleId="CommentTextChar">
    <w:name w:val="Comment Text Char"/>
    <w:link w:val="CommentText"/>
    <w:uiPriority w:val="99"/>
    <w:semiHidden/>
    <w:rsid w:val="00A87864"/>
    <w:rPr>
      <w:rFonts w:ascii="Calibri" w:eastAsia="Calibri" w:hAnsi="Calibri" w:cs="Times New Roman"/>
      <w:sz w:val="20"/>
      <w:szCs w:val="20"/>
      <w:lang w:eastAsia="en-US"/>
    </w:rPr>
  </w:style>
  <w:style w:type="paragraph" w:styleId="CommentSubject">
    <w:name w:val="annotation subject"/>
    <w:basedOn w:val="CommentText"/>
    <w:next w:val="CommentText"/>
    <w:link w:val="CommentSubjectChar"/>
    <w:uiPriority w:val="99"/>
    <w:semiHidden/>
    <w:unhideWhenUsed/>
    <w:rsid w:val="00A87864"/>
    <w:rPr>
      <w:b/>
      <w:bCs/>
    </w:rPr>
  </w:style>
  <w:style w:type="character" w:customStyle="1" w:styleId="CommentSubjectChar">
    <w:name w:val="Comment Subject Char"/>
    <w:link w:val="CommentSubject"/>
    <w:uiPriority w:val="99"/>
    <w:semiHidden/>
    <w:rsid w:val="00A87864"/>
    <w:rPr>
      <w:rFonts w:ascii="Calibri" w:eastAsia="Calibri" w:hAnsi="Calibri" w:cs="Times New Roman"/>
      <w:b/>
      <w:bCs/>
      <w:sz w:val="20"/>
      <w:szCs w:val="20"/>
      <w:lang w:eastAsia="en-US"/>
    </w:rPr>
  </w:style>
  <w:style w:type="paragraph" w:styleId="HTMLPreformatted">
    <w:name w:val="HTML Preformatted"/>
    <w:basedOn w:val="Normal"/>
    <w:link w:val="HTMLPreformattedChar"/>
    <w:uiPriority w:val="99"/>
    <w:semiHidden/>
    <w:unhideWhenUsed/>
    <w:rsid w:val="00A878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lt-LT"/>
    </w:rPr>
  </w:style>
  <w:style w:type="character" w:customStyle="1" w:styleId="HTMLPreformattedChar">
    <w:name w:val="HTML Preformatted Char"/>
    <w:link w:val="HTMLPreformatted"/>
    <w:uiPriority w:val="99"/>
    <w:semiHidden/>
    <w:rsid w:val="00A87864"/>
    <w:rPr>
      <w:rFonts w:ascii="Courier New" w:eastAsia="Times New Roman" w:hAnsi="Courier New" w:cs="Courier New"/>
      <w:sz w:val="20"/>
      <w:szCs w:val="20"/>
      <w:lang w:eastAsia="lt-LT"/>
    </w:rPr>
  </w:style>
  <w:style w:type="table" w:styleId="TableGrid">
    <w:name w:val="Table Grid"/>
    <w:basedOn w:val="TableNormal"/>
    <w:uiPriority w:val="39"/>
    <w:rsid w:val="00A87864"/>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A87864"/>
    <w:pPr>
      <w:ind w:left="720"/>
      <w:contextualSpacing/>
    </w:pPr>
  </w:style>
  <w:style w:type="paragraph" w:styleId="FootnoteText">
    <w:name w:val="footnote text"/>
    <w:basedOn w:val="Normal"/>
    <w:link w:val="FootnoteTextChar"/>
    <w:uiPriority w:val="99"/>
    <w:semiHidden/>
    <w:unhideWhenUsed/>
    <w:rsid w:val="00E8553A"/>
    <w:pPr>
      <w:spacing w:after="0" w:line="240" w:lineRule="auto"/>
    </w:pPr>
    <w:rPr>
      <w:sz w:val="20"/>
      <w:szCs w:val="20"/>
    </w:rPr>
  </w:style>
  <w:style w:type="character" w:customStyle="1" w:styleId="FootnoteTextChar">
    <w:name w:val="Footnote Text Char"/>
    <w:link w:val="FootnoteText"/>
    <w:uiPriority w:val="99"/>
    <w:semiHidden/>
    <w:rsid w:val="00E8553A"/>
    <w:rPr>
      <w:rFonts w:ascii="Calibri" w:eastAsia="Calibri" w:hAnsi="Calibri" w:cs="Times New Roman"/>
      <w:sz w:val="20"/>
      <w:szCs w:val="20"/>
      <w:lang w:eastAsia="en-US"/>
    </w:rPr>
  </w:style>
  <w:style w:type="character" w:styleId="FootnoteReference">
    <w:name w:val="footnote reference"/>
    <w:uiPriority w:val="99"/>
    <w:semiHidden/>
    <w:unhideWhenUsed/>
    <w:rsid w:val="00E8553A"/>
    <w:rPr>
      <w:vertAlign w:val="superscript"/>
    </w:rPr>
  </w:style>
  <w:style w:type="character" w:styleId="Hyperlink">
    <w:name w:val="Hyperlink"/>
    <w:uiPriority w:val="99"/>
    <w:unhideWhenUsed/>
    <w:rsid w:val="001139B1"/>
    <w:rPr>
      <w:color w:val="0563C1"/>
      <w:u w:val="single"/>
    </w:rPr>
  </w:style>
  <w:style w:type="character" w:styleId="FollowedHyperlink">
    <w:name w:val="FollowedHyperlink"/>
    <w:basedOn w:val="DefaultParagraphFont"/>
    <w:uiPriority w:val="99"/>
    <w:semiHidden/>
    <w:unhideWhenUsed/>
    <w:rsid w:val="00BB1354"/>
    <w:rPr>
      <w:color w:val="954F72" w:themeColor="followedHyperlink"/>
      <w:u w:val="single"/>
    </w:rPr>
  </w:style>
  <w:style w:type="paragraph" w:styleId="NormalWeb">
    <w:name w:val="Normal (Web)"/>
    <w:basedOn w:val="Normal"/>
    <w:uiPriority w:val="99"/>
    <w:unhideWhenUsed/>
    <w:rsid w:val="00076798"/>
    <w:pPr>
      <w:spacing w:before="100" w:beforeAutospacing="1" w:after="100" w:afterAutospacing="1" w:line="240" w:lineRule="auto"/>
    </w:pPr>
    <w:rPr>
      <w:rFonts w:ascii="Times New Roman" w:eastAsia="Times New Roman" w:hAnsi="Times New Roman"/>
      <w:sz w:val="24"/>
      <w:szCs w:val="24"/>
      <w:lang w:eastAsia="lt-LT"/>
    </w:rPr>
  </w:style>
  <w:style w:type="character" w:styleId="UnresolvedMention">
    <w:name w:val="Unresolved Mention"/>
    <w:basedOn w:val="DefaultParagraphFont"/>
    <w:uiPriority w:val="99"/>
    <w:semiHidden/>
    <w:unhideWhenUsed/>
    <w:rsid w:val="0007679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1418037">
      <w:bodyDiv w:val="1"/>
      <w:marLeft w:val="0"/>
      <w:marRight w:val="0"/>
      <w:marTop w:val="0"/>
      <w:marBottom w:val="0"/>
      <w:divBdr>
        <w:top w:val="none" w:sz="0" w:space="0" w:color="auto"/>
        <w:left w:val="none" w:sz="0" w:space="0" w:color="auto"/>
        <w:bottom w:val="none" w:sz="0" w:space="0" w:color="auto"/>
        <w:right w:val="none" w:sz="0" w:space="0" w:color="auto"/>
      </w:divBdr>
    </w:div>
    <w:div w:id="478763730">
      <w:bodyDiv w:val="1"/>
      <w:marLeft w:val="0"/>
      <w:marRight w:val="0"/>
      <w:marTop w:val="0"/>
      <w:marBottom w:val="0"/>
      <w:divBdr>
        <w:top w:val="none" w:sz="0" w:space="0" w:color="auto"/>
        <w:left w:val="none" w:sz="0" w:space="0" w:color="auto"/>
        <w:bottom w:val="none" w:sz="0" w:space="0" w:color="auto"/>
        <w:right w:val="none" w:sz="0" w:space="0" w:color="auto"/>
      </w:divBdr>
    </w:div>
    <w:div w:id="487985743">
      <w:bodyDiv w:val="1"/>
      <w:marLeft w:val="0"/>
      <w:marRight w:val="0"/>
      <w:marTop w:val="0"/>
      <w:marBottom w:val="0"/>
      <w:divBdr>
        <w:top w:val="none" w:sz="0" w:space="0" w:color="auto"/>
        <w:left w:val="none" w:sz="0" w:space="0" w:color="auto"/>
        <w:bottom w:val="none" w:sz="0" w:space="0" w:color="auto"/>
        <w:right w:val="none" w:sz="0" w:space="0" w:color="auto"/>
      </w:divBdr>
      <w:divsChild>
        <w:div w:id="588003972">
          <w:marLeft w:val="0"/>
          <w:marRight w:val="0"/>
          <w:marTop w:val="0"/>
          <w:marBottom w:val="0"/>
          <w:divBdr>
            <w:top w:val="none" w:sz="0" w:space="0" w:color="auto"/>
            <w:left w:val="none" w:sz="0" w:space="0" w:color="auto"/>
            <w:bottom w:val="none" w:sz="0" w:space="0" w:color="auto"/>
            <w:right w:val="none" w:sz="0" w:space="0" w:color="auto"/>
          </w:divBdr>
        </w:div>
      </w:divsChild>
    </w:div>
    <w:div w:id="546574295">
      <w:bodyDiv w:val="1"/>
      <w:marLeft w:val="0"/>
      <w:marRight w:val="0"/>
      <w:marTop w:val="0"/>
      <w:marBottom w:val="0"/>
      <w:divBdr>
        <w:top w:val="none" w:sz="0" w:space="0" w:color="auto"/>
        <w:left w:val="none" w:sz="0" w:space="0" w:color="auto"/>
        <w:bottom w:val="none" w:sz="0" w:space="0" w:color="auto"/>
        <w:right w:val="none" w:sz="0" w:space="0" w:color="auto"/>
      </w:divBdr>
    </w:div>
    <w:div w:id="974722824">
      <w:bodyDiv w:val="1"/>
      <w:marLeft w:val="0"/>
      <w:marRight w:val="0"/>
      <w:marTop w:val="0"/>
      <w:marBottom w:val="0"/>
      <w:divBdr>
        <w:top w:val="none" w:sz="0" w:space="0" w:color="auto"/>
        <w:left w:val="none" w:sz="0" w:space="0" w:color="auto"/>
        <w:bottom w:val="none" w:sz="0" w:space="0" w:color="auto"/>
        <w:right w:val="none" w:sz="0" w:space="0" w:color="auto"/>
      </w:divBdr>
    </w:div>
    <w:div w:id="1412191405">
      <w:bodyDiv w:val="1"/>
      <w:marLeft w:val="0"/>
      <w:marRight w:val="0"/>
      <w:marTop w:val="0"/>
      <w:marBottom w:val="0"/>
      <w:divBdr>
        <w:top w:val="none" w:sz="0" w:space="0" w:color="auto"/>
        <w:left w:val="none" w:sz="0" w:space="0" w:color="auto"/>
        <w:bottom w:val="none" w:sz="0" w:space="0" w:color="auto"/>
        <w:right w:val="none" w:sz="0" w:space="0" w:color="auto"/>
      </w:divBdr>
    </w:div>
    <w:div w:id="1704013660">
      <w:bodyDiv w:val="1"/>
      <w:marLeft w:val="0"/>
      <w:marRight w:val="0"/>
      <w:marTop w:val="0"/>
      <w:marBottom w:val="0"/>
      <w:divBdr>
        <w:top w:val="none" w:sz="0" w:space="0" w:color="auto"/>
        <w:left w:val="none" w:sz="0" w:space="0" w:color="auto"/>
        <w:bottom w:val="none" w:sz="0" w:space="0" w:color="auto"/>
        <w:right w:val="none" w:sz="0" w:space="0" w:color="auto"/>
      </w:divBdr>
    </w:div>
    <w:div w:id="1915387825">
      <w:bodyDiv w:val="1"/>
      <w:marLeft w:val="0"/>
      <w:marRight w:val="0"/>
      <w:marTop w:val="0"/>
      <w:marBottom w:val="0"/>
      <w:divBdr>
        <w:top w:val="none" w:sz="0" w:space="0" w:color="auto"/>
        <w:left w:val="none" w:sz="0" w:space="0" w:color="auto"/>
        <w:bottom w:val="none" w:sz="0" w:space="0" w:color="auto"/>
        <w:right w:val="none" w:sz="0" w:space="0" w:color="auto"/>
      </w:divBdr>
    </w:div>
    <w:div w:id="1953053341">
      <w:bodyDiv w:val="1"/>
      <w:marLeft w:val="0"/>
      <w:marRight w:val="0"/>
      <w:marTop w:val="0"/>
      <w:marBottom w:val="0"/>
      <w:divBdr>
        <w:top w:val="none" w:sz="0" w:space="0" w:color="auto"/>
        <w:left w:val="none" w:sz="0" w:space="0" w:color="auto"/>
        <w:bottom w:val="none" w:sz="0" w:space="0" w:color="auto"/>
        <w:right w:val="none" w:sz="0" w:space="0" w:color="auto"/>
      </w:divBdr>
      <w:divsChild>
        <w:div w:id="1496411100">
          <w:marLeft w:val="0"/>
          <w:marRight w:val="0"/>
          <w:marTop w:val="0"/>
          <w:marBottom w:val="0"/>
          <w:divBdr>
            <w:top w:val="none" w:sz="0" w:space="0" w:color="auto"/>
            <w:left w:val="none" w:sz="0" w:space="0" w:color="auto"/>
            <w:bottom w:val="none" w:sz="0" w:space="0" w:color="auto"/>
            <w:right w:val="none" w:sz="0" w:space="0" w:color="auto"/>
          </w:divBdr>
        </w:div>
      </w:divsChild>
    </w:div>
    <w:div w:id="2021736233">
      <w:bodyDiv w:val="1"/>
      <w:marLeft w:val="0"/>
      <w:marRight w:val="0"/>
      <w:marTop w:val="0"/>
      <w:marBottom w:val="0"/>
      <w:divBdr>
        <w:top w:val="none" w:sz="0" w:space="0" w:color="auto"/>
        <w:left w:val="none" w:sz="0" w:space="0" w:color="auto"/>
        <w:bottom w:val="none" w:sz="0" w:space="0" w:color="auto"/>
        <w:right w:val="none" w:sz="0" w:space="0" w:color="auto"/>
      </w:divBdr>
    </w:div>
    <w:div w:id="20985504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fm.gov.lv/lv/jaunums/fm-kopbudzeta-nodoklu-ienemumi-astonos-menesos-sasniedza-teju-10-miljardus-eiro?utm_source=chatgpt.com" TargetMode="External"/><Relationship Id="rId18" Type="http://schemas.openxmlformats.org/officeDocument/2006/relationships/hyperlink" Target="https://stat.gov.lv/en/statistics-themes/labour-market/employment/press-releases/28665-employment-and-unemployment-2nd?themeCode=NBBA" TargetMode="External"/><Relationship Id="rId26" Type="http://schemas.openxmlformats.org/officeDocument/2006/relationships/hyperlink" Target="https://www.tvnet.lv/8541527/latvija-plano-noteikt-300-tarifu-krievijas-un-baltkrievijas-graudiem" TargetMode="External"/><Relationship Id="rId39" Type="http://schemas.openxmlformats.org/officeDocument/2006/relationships/hyperlink" Target="https://www.lsm.lv/raksts/zinas/ekonomika/28.08.2025-danijas-veja-parku-attistitajs-eurowind-energy-latvija-plano-investet-600-miljonus-eiro.a612111/" TargetMode="External"/><Relationship Id="rId21" Type="http://schemas.openxmlformats.org/officeDocument/2006/relationships/hyperlink" Target="https://stat.gov.lv/lv/statistikas-temas/darbs/darbvietas-darbalaiks/preses-relizes/28688-aiznemtas-un-brivas-darbvietas?themeCode=DV" TargetMode="External"/><Relationship Id="rId34" Type="http://schemas.openxmlformats.org/officeDocument/2006/relationships/hyperlink" Target="https://db.lv/zinas/infortar-klus-par-lielako-piena-razotaju-baltija" TargetMode="External"/><Relationship Id="rId42" Type="http://schemas.openxmlformats.org/officeDocument/2006/relationships/hyperlink" Target="https://latvenergo.lv/en/pazinojumi/zina/latvenergo-publishes-european-green-bond-allocation-report-and-sustainable-fitch-post-issuance-review" TargetMode="External"/><Relationship Id="rId47"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db.lv/zinas/swedbank-pieskir-65-miljonus-eiro-tirdzniecibas-centram-saga" TargetMode="External"/><Relationship Id="rId29" Type="http://schemas.openxmlformats.org/officeDocument/2006/relationships/hyperlink" Target="https://www.leta.lv/"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vportals.lv/dienaskartiba/393832-augusta-uznemeju-noskanojums-uzlabojies-buvnieciba-un-pakalpojumu-sektora-2026?utm_source=chatgpt.com" TargetMode="External"/><Relationship Id="rId24" Type="http://schemas.openxmlformats.org/officeDocument/2006/relationships/hyperlink" Target="https://www.reuters.com/business/aerospace-defense/latvia-talks-with-strategic-investor-ailing-airbaltic-pm-says-2026-07-17/" TargetMode="External"/><Relationship Id="rId32" Type="http://schemas.openxmlformats.org/officeDocument/2006/relationships/hyperlink" Target="https://www.saeima.lv/lv/aktualitates/saeimas-zinas?utm_source=chatgpt.com" TargetMode="External"/><Relationship Id="rId37" Type="http://schemas.openxmlformats.org/officeDocument/2006/relationships/hyperlink" Target="https://www.lsm.lv/raksts/zinas/ekonomika/25.08.2026-valdiba-neakcepte-k2-ventum-veja-parka-ieceri-pavilostas-puse.a660281/" TargetMode="External"/><Relationship Id="rId40" Type="http://schemas.openxmlformats.org/officeDocument/2006/relationships/hyperlink" Target="https://latio.lv/lv/Majoklu-tirgu-darijumu-mazak-cenas-aug" TargetMode="External"/><Relationship Id="rId45"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yperlink" Target="https://www.lsm.lv/raksts/zinas/ekonomika/02.09.2026-cleanr-industry-investes-33-miljonus-eiro-skirosanas-centra-modernizacija.a661404/" TargetMode="External"/><Relationship Id="rId23" Type="http://schemas.openxmlformats.org/officeDocument/2006/relationships/hyperlink" Target="https://www.reuters.com/business/finance/airbaltic-postpones-key-meeting-bondholders-2026-09-11/" TargetMode="External"/><Relationship Id="rId28" Type="http://schemas.openxmlformats.org/officeDocument/2006/relationships/hyperlink" Target="https://www.mk.gov.lv/lv/jaunums/ministru-prezidents-graudu-tranzitam-no-krievijas-planojam-piemerot-ipasu-rezimu-un-300-procentu-infrastrukturas-izmantosanas-maksas-palielinajumu?utm_source=chatgpt.com" TargetMode="External"/><Relationship Id="rId36" Type="http://schemas.openxmlformats.org/officeDocument/2006/relationships/hyperlink" Target="https://db.lv/zinas/sadales-tikls-latvija-izoleti-69-elektrotikla" TargetMode="External"/><Relationship Id="rId10" Type="http://schemas.openxmlformats.org/officeDocument/2006/relationships/hyperlink" Target="https://www.liepajniekiem.lv/zinas/sabiedriba/latvija/kulbergs-pikts-uz-valaini-par-vel-neistenoto-lmt-un-tet-izpirksanu-un-apvienosanu/?utm_source=chatgpt.com" TargetMode="External"/><Relationship Id="rId19" Type="http://schemas.openxmlformats.org/officeDocument/2006/relationships/hyperlink" Target="https://db.lv/zinas/algu-pieaugums-latvija-otrs-zemakais-kops-2017-gada" TargetMode="External"/><Relationship Id="rId31" Type="http://schemas.openxmlformats.org/officeDocument/2006/relationships/hyperlink" Target="https://www.sam.gov.lv/lv/statistika-2?utm_source=chatgpt.com" TargetMode="External"/><Relationship Id="rId44"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www.lsm.lv/raksts/zinas/ekonomika/31.08.2026-ekonomikas-ministrs-tet-un-lmt-dalu-izpirksanas-darijums-sis-valdibas-laika-netiks-realizets.a661010/" TargetMode="External"/><Relationship Id="rId14" Type="http://schemas.openxmlformats.org/officeDocument/2006/relationships/hyperlink" Target="https://view.news.eu.nasdaq.com/view?id=b2360eb0892d2c8d6bf35471ae2359902&amp;lang=en&amp;src=listed" TargetMode="External"/><Relationship Id="rId22" Type="http://schemas.openxmlformats.org/officeDocument/2006/relationships/hyperlink" Target="https://leta.lv/eng/home/important/8503A40C-1F5F-4345-A2D2-A8D7315EA97A/" TargetMode="External"/><Relationship Id="rId27" Type="http://schemas.openxmlformats.org/officeDocument/2006/relationships/hyperlink" Target="https://saeima.lv/lv/aktualitates/saeimas-zinas/36171-saeima-atbalsta-grozijumus-krievijas-labibas-tranzita-infrastrukturas-maksas-palielinasanai?utm_source=chatgpt.com" TargetMode="External"/><Relationship Id="rId30" Type="http://schemas.openxmlformats.org/officeDocument/2006/relationships/hyperlink" Target="https://www.ldz.lv/lv/Projekta_Dzelzcela_elektrificeta_tikla_moderniz%C4%81cija_un_attistiba_ietvaros_veikti_dzelzcela_infrastrukturas_modernizacijas_darbi" TargetMode="External"/><Relationship Id="rId35" Type="http://schemas.openxmlformats.org/officeDocument/2006/relationships/hyperlink" Target="https://www.lsm.lv/raksts/zinas/ekonomika/29.09.2026-valdiba-izsludina-arkartejo-situaciju-lauksaimnieciba-nokrisnu-del.a665274/" TargetMode="External"/><Relationship Id="rId43" Type="http://schemas.openxmlformats.org/officeDocument/2006/relationships/hyperlink" Target="mailto:gita.blinstrubaite@urm.lt" TargetMode="External"/><Relationship Id="rId8" Type="http://schemas.openxmlformats.org/officeDocument/2006/relationships/hyperlink" Target="https://stat.gov.lv/en/statistics-themes/economy/gross-domestic-product-quarterly-data/press-releases/28639-gross-domestic" TargetMode="External"/><Relationship Id="rId3" Type="http://schemas.openxmlformats.org/officeDocument/2006/relationships/styles" Target="styles.xml"/><Relationship Id="rId12" Type="http://schemas.openxmlformats.org/officeDocument/2006/relationships/hyperlink" Target="https://leta.lv/home/important/E57B1048-9FF7-43C4-AA93-523FF48898B7/" TargetMode="External"/><Relationship Id="rId17" Type="http://schemas.openxmlformats.org/officeDocument/2006/relationships/hyperlink" Target="https://stat.gov.lv/lv/statistikas-temas/darbs/darbvietas-darbalaiks/preses-relizes/28688-aiznemtas-un-brivas-darbvietas?themeCode=DV" TargetMode="External"/><Relationship Id="rId25" Type="http://schemas.openxmlformats.org/officeDocument/2006/relationships/hyperlink" Target="https://retv.lv/sabiedriba/latvija-eiropas-komisijai-atdos-258-miljonus-eiro-par-rail-baltica-tiltu/" TargetMode="External"/><Relationship Id="rId33" Type="http://schemas.openxmlformats.org/officeDocument/2006/relationships/hyperlink" Target="https://www.lsm.lv/raksts/zinas/ekonomika/24.09.2026-no-oktobra-lidz-gada-beigam-degvielai-samazinas-akcizi-ietekme-uz-cenu-varetu-but-8-centi-litra.a664561/" TargetMode="External"/><Relationship Id="rId38" Type="http://schemas.openxmlformats.org/officeDocument/2006/relationships/hyperlink" Target="https://www.lsm.lv/raksts/zinas/ekonomika/03.06.2025-veja-parka-iecere-vidzeme-no-93-turbinam-paliek-38-ka-projektu-maina-ietekmes-novertejums.a601487/" TargetMode="External"/><Relationship Id="rId46" Type="http://schemas.openxmlformats.org/officeDocument/2006/relationships/fontTable" Target="fontTable.xml"/><Relationship Id="rId20" Type="http://schemas.openxmlformats.org/officeDocument/2006/relationships/hyperlink" Target="https://stat.gov.lv/en/statistics-themes/labour-market/employment/press-releases/28665-employment-and-unemployment-2nd?themeCode=NBBA" TargetMode="External"/><Relationship Id="rId41" Type="http://schemas.openxmlformats.org/officeDocument/2006/relationships/hyperlink" Target="https://www.investoruklubs.lv/viedokli/2026/09/14/ceturksna-laika-majoklu-cenas-palielinajas-par-3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8D46843-FFB2-42EA-89C6-C126E50051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8</Pages>
  <Words>12773</Words>
  <Characters>7282</Characters>
  <Application>Microsoft Office Word</Application>
  <DocSecurity>0</DocSecurity>
  <Lines>60</Lines>
  <Paragraphs>40</Paragraphs>
  <ScaleCrop>false</ScaleCrop>
  <HeadingPairs>
    <vt:vector size="2" baseType="variant">
      <vt:variant>
        <vt:lpstr>Title</vt:lpstr>
      </vt:variant>
      <vt:variant>
        <vt:i4>1</vt:i4>
      </vt:variant>
    </vt:vector>
  </HeadingPairs>
  <TitlesOfParts>
    <vt:vector size="1" baseType="lpstr">
      <vt:lpstr/>
    </vt:vector>
  </TitlesOfParts>
  <Company>URM</Company>
  <LinksUpToDate>false</LinksUpToDate>
  <CharactersWithSpaces>20015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Asta SLAVINSKAITĖ</dc:creator>
  <cp:keywords/>
  <cp:lastModifiedBy>Gita BLINSTRUBAITĖ</cp:lastModifiedBy>
  <cp:revision>37</cp:revision>
  <cp:lastPrinted>2017-02-03T08:51:00Z</cp:lastPrinted>
  <dcterms:created xsi:type="dcterms:W3CDTF">2026-10-01T11:37:00Z</dcterms:created>
  <dcterms:modified xsi:type="dcterms:W3CDTF">2026-10-01T12:08:00Z</dcterms:modified>
</cp:coreProperties>
</file>