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4C777EF" w:rsidR="002A5780" w:rsidRDefault="01BB2CE6" w:rsidP="2AC19007">
      <w:pPr>
        <w:shd w:val="clear" w:color="auto" w:fill="DEEAF6"/>
        <w:spacing w:after="0" w:line="240" w:lineRule="auto"/>
        <w:jc w:val="center"/>
        <w:rPr>
          <w:rFonts w:ascii="Arial Narrow" w:eastAsia="Arial Narrow" w:hAnsi="Arial Narrow" w:cs="Arial Narrow"/>
          <w:b/>
          <w:bCs/>
          <w:sz w:val="24"/>
          <w:szCs w:val="24"/>
        </w:rPr>
      </w:pPr>
      <w:r w:rsidRPr="2AC19007">
        <w:rPr>
          <w:rFonts w:ascii="Arial Narrow" w:eastAsia="Arial Narrow" w:hAnsi="Arial Narrow" w:cs="Arial Narrow"/>
          <w:b/>
          <w:bCs/>
          <w:sz w:val="24"/>
          <w:szCs w:val="24"/>
        </w:rPr>
        <w:t>J</w:t>
      </w:r>
      <w:r w:rsidR="00D91955" w:rsidRPr="2AC19007">
        <w:rPr>
          <w:rFonts w:ascii="Arial Narrow" w:eastAsia="Arial Narrow" w:hAnsi="Arial Narrow" w:cs="Arial Narrow"/>
          <w:b/>
          <w:bCs/>
          <w:sz w:val="24"/>
          <w:szCs w:val="24"/>
        </w:rPr>
        <w:t>UNGTINĖ KARALYSTĖ</w:t>
      </w:r>
    </w:p>
    <w:p w14:paraId="00000002" w14:textId="77777777" w:rsidR="002A5780" w:rsidRDefault="002A5780">
      <w:pPr>
        <w:spacing w:after="0" w:line="240" w:lineRule="auto"/>
        <w:jc w:val="center"/>
        <w:rPr>
          <w:rFonts w:ascii="Arial Narrow" w:eastAsia="Arial Narrow" w:hAnsi="Arial Narrow" w:cs="Arial Narrow"/>
          <w:sz w:val="20"/>
          <w:szCs w:val="20"/>
        </w:rPr>
      </w:pPr>
    </w:p>
    <w:tbl>
      <w:tblPr>
        <w:tblW w:w="15246" w:type="dxa"/>
        <w:tblInd w:w="-169"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Look w:val="0000" w:firstRow="0" w:lastRow="0" w:firstColumn="0" w:lastColumn="0" w:noHBand="0" w:noVBand="0"/>
      </w:tblPr>
      <w:tblGrid>
        <w:gridCol w:w="776"/>
        <w:gridCol w:w="532"/>
        <w:gridCol w:w="11790"/>
        <w:gridCol w:w="2148"/>
      </w:tblGrid>
      <w:tr w:rsidR="002A5780" w14:paraId="515E1045" w14:textId="77777777" w:rsidTr="2AC19007">
        <w:trPr>
          <w:trHeight w:val="385"/>
        </w:trPr>
        <w:tc>
          <w:tcPr>
            <w:tcW w:w="776" w:type="dxa"/>
            <w:tcMar>
              <w:top w:w="29" w:type="dxa"/>
              <w:left w:w="115" w:type="dxa"/>
              <w:bottom w:w="29" w:type="dxa"/>
              <w:right w:w="115" w:type="dxa"/>
            </w:tcMar>
            <w:vAlign w:val="center"/>
          </w:tcPr>
          <w:p w14:paraId="00000003" w14:textId="77777777" w:rsidR="002A5780" w:rsidRDefault="00D91955">
            <w:pPr>
              <w:pStyle w:val="Heading1"/>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Data</w:t>
            </w:r>
          </w:p>
        </w:tc>
        <w:tc>
          <w:tcPr>
            <w:tcW w:w="12322" w:type="dxa"/>
            <w:gridSpan w:val="2"/>
            <w:tcMar>
              <w:top w:w="29" w:type="dxa"/>
              <w:left w:w="115" w:type="dxa"/>
              <w:bottom w:w="29" w:type="dxa"/>
              <w:right w:w="115" w:type="dxa"/>
            </w:tcMar>
            <w:vAlign w:val="center"/>
          </w:tcPr>
          <w:p w14:paraId="00000004" w14:textId="77777777" w:rsidR="002A5780" w:rsidRDefault="00D91955">
            <w:pPr>
              <w:pStyle w:val="Heading1"/>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Pateikiamos informacijos apibendrinimas</w:t>
            </w:r>
          </w:p>
        </w:tc>
        <w:tc>
          <w:tcPr>
            <w:tcW w:w="2148" w:type="dxa"/>
            <w:tcMar>
              <w:top w:w="29" w:type="dxa"/>
              <w:left w:w="115" w:type="dxa"/>
              <w:bottom w:w="29" w:type="dxa"/>
              <w:right w:w="115" w:type="dxa"/>
            </w:tcMar>
            <w:vAlign w:val="center"/>
          </w:tcPr>
          <w:p w14:paraId="00000006" w14:textId="77777777" w:rsidR="002A5780" w:rsidRDefault="00D91955">
            <w:pPr>
              <w:pStyle w:val="Heading1"/>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Informacijos šaltinis</w:t>
            </w:r>
          </w:p>
        </w:tc>
      </w:tr>
      <w:tr w:rsidR="002A5780" w14:paraId="5B2B923F" w14:textId="77777777" w:rsidTr="2AC19007">
        <w:trPr>
          <w:trHeight w:val="376"/>
        </w:trPr>
        <w:tc>
          <w:tcPr>
            <w:tcW w:w="15246" w:type="dxa"/>
            <w:gridSpan w:val="4"/>
            <w:shd w:val="clear" w:color="auto" w:fill="DEEAF6"/>
            <w:tcMar>
              <w:top w:w="29" w:type="dxa"/>
              <w:left w:w="115" w:type="dxa"/>
              <w:bottom w:w="29" w:type="dxa"/>
              <w:right w:w="115" w:type="dxa"/>
            </w:tcMar>
          </w:tcPr>
          <w:p w14:paraId="00000007" w14:textId="77777777" w:rsidR="002A5780" w:rsidRDefault="00D91955">
            <w:pPr>
              <w:spacing w:after="0" w:line="240" w:lineRule="auto"/>
              <w:rPr>
                <w:b/>
                <w:bCs/>
              </w:rPr>
            </w:pPr>
            <w:r>
              <w:rPr>
                <w:b/>
                <w:bCs/>
              </w:rPr>
              <w:t>Eksportuotojams aktuali informacija</w:t>
            </w:r>
          </w:p>
        </w:tc>
      </w:tr>
      <w:tr w:rsidR="002A5780" w14:paraId="0D9651FC" w14:textId="77777777" w:rsidTr="2AC19007">
        <w:trPr>
          <w:trHeight w:val="616"/>
        </w:trPr>
        <w:tc>
          <w:tcPr>
            <w:tcW w:w="776" w:type="dxa"/>
            <w:tcMar>
              <w:top w:w="29" w:type="dxa"/>
              <w:left w:w="115" w:type="dxa"/>
              <w:bottom w:w="29" w:type="dxa"/>
              <w:right w:w="115" w:type="dxa"/>
            </w:tcMar>
          </w:tcPr>
          <w:p w14:paraId="0000000B"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0C" w14:textId="77777777" w:rsidR="002A5780" w:rsidRDefault="00D91955">
            <w:pPr>
              <w:spacing w:after="0"/>
              <w:jc w:val="both"/>
              <w:rPr>
                <w:sz w:val="20"/>
                <w:szCs w:val="20"/>
              </w:rPr>
            </w:pPr>
            <w:r>
              <w:rPr>
                <w:sz w:val="20"/>
                <w:szCs w:val="20"/>
              </w:rPr>
              <w:t>Detali</w:t>
            </w:r>
            <w:r>
              <w:rPr>
                <w:b/>
                <w:bCs/>
                <w:sz w:val="20"/>
                <w:szCs w:val="20"/>
              </w:rPr>
              <w:t xml:space="preserve"> importo, eksporto ir muitinės informacija </w:t>
            </w:r>
            <w:r>
              <w:rPr>
                <w:sz w:val="20"/>
                <w:szCs w:val="20"/>
              </w:rPr>
              <w:t xml:space="preserve">Jungtinės Karalystės (toliau – JK) įvežamoms Europos Sąjungos (toliau – ES) prekėms, </w:t>
            </w:r>
            <w:r>
              <w:rPr>
                <w:i/>
                <w:iCs/>
                <w:sz w:val="20"/>
                <w:szCs w:val="20"/>
              </w:rPr>
              <w:t>Border Operation Model</w:t>
            </w:r>
            <w:r>
              <w:rPr>
                <w:sz w:val="20"/>
                <w:szCs w:val="20"/>
              </w:rPr>
              <w:t xml:space="preserve"> - importo taisyklės į JK pagal skirtingas prekių kategorijas, pagrindiniai tarifai, deklaracijos, specifiniai reikalavimai ir kt.</w:t>
            </w:r>
          </w:p>
          <w:p w14:paraId="0000000D" w14:textId="77777777" w:rsidR="002A5780" w:rsidRDefault="002A5780">
            <w:pPr>
              <w:spacing w:after="0"/>
              <w:jc w:val="both"/>
              <w:rPr>
                <w:sz w:val="20"/>
                <w:szCs w:val="20"/>
              </w:rPr>
            </w:pPr>
          </w:p>
        </w:tc>
        <w:tc>
          <w:tcPr>
            <w:tcW w:w="2148" w:type="dxa"/>
            <w:tcMar>
              <w:top w:w="29" w:type="dxa"/>
              <w:left w:w="115" w:type="dxa"/>
              <w:bottom w:w="29" w:type="dxa"/>
              <w:right w:w="115" w:type="dxa"/>
            </w:tcMar>
          </w:tcPr>
          <w:p w14:paraId="0000000F" w14:textId="77777777" w:rsidR="002A5780" w:rsidRDefault="00D91955">
            <w:pPr>
              <w:spacing w:after="0"/>
              <w:jc w:val="both"/>
              <w:rPr>
                <w:color w:val="0563C1"/>
                <w:sz w:val="20"/>
                <w:szCs w:val="20"/>
                <w:u w:val="single"/>
              </w:rPr>
            </w:pPr>
            <w:hyperlink r:id="rId7">
              <w:r>
                <w:rPr>
                  <w:color w:val="0563C1"/>
                  <w:sz w:val="20"/>
                  <w:szCs w:val="20"/>
                  <w:u w:val="single"/>
                </w:rPr>
                <w:t>Business tax: Import, export and customs for businesses - detailed information - GOV.UK (www.gov.uk)</w:t>
              </w:r>
            </w:hyperlink>
          </w:p>
          <w:p w14:paraId="00000010" w14:textId="77777777" w:rsidR="002A5780" w:rsidRDefault="002A5780">
            <w:pPr>
              <w:spacing w:after="0"/>
              <w:jc w:val="both"/>
              <w:rPr>
                <w:color w:val="0563C1"/>
                <w:sz w:val="20"/>
                <w:szCs w:val="20"/>
                <w:u w:val="single"/>
              </w:rPr>
            </w:pPr>
          </w:p>
          <w:p w14:paraId="00000011" w14:textId="77777777" w:rsidR="002A5780" w:rsidRDefault="00D91955">
            <w:pPr>
              <w:spacing w:after="0"/>
              <w:jc w:val="both"/>
              <w:rPr>
                <w:color w:val="0563C1"/>
                <w:sz w:val="20"/>
                <w:szCs w:val="20"/>
                <w:u w:val="single"/>
              </w:rPr>
            </w:pPr>
            <w:hyperlink r:id="rId8">
              <w:r>
                <w:rPr>
                  <w:color w:val="0563C1"/>
                  <w:sz w:val="20"/>
                  <w:szCs w:val="20"/>
                  <w:u w:val="single"/>
                </w:rPr>
                <w:t>Check your readiness to export to the UK and other international markets - GOV.UK (www.gov.uk)</w:t>
              </w:r>
            </w:hyperlink>
          </w:p>
          <w:p w14:paraId="00000012" w14:textId="77777777" w:rsidR="002A5780" w:rsidRDefault="002A5780">
            <w:pPr>
              <w:spacing w:after="0"/>
              <w:jc w:val="both"/>
              <w:rPr>
                <w:color w:val="0563C1"/>
                <w:sz w:val="20"/>
                <w:szCs w:val="20"/>
                <w:u w:val="single"/>
              </w:rPr>
            </w:pPr>
          </w:p>
          <w:p w14:paraId="00000013" w14:textId="77777777" w:rsidR="002A5780" w:rsidRDefault="00D91955">
            <w:pPr>
              <w:spacing w:after="0"/>
              <w:jc w:val="both"/>
              <w:rPr>
                <w:color w:val="0563C1"/>
                <w:sz w:val="20"/>
                <w:szCs w:val="20"/>
                <w:u w:val="single"/>
              </w:rPr>
            </w:pPr>
            <w:hyperlink r:id="rId9">
              <w:r>
                <w:rPr>
                  <w:color w:val="0563C1"/>
                  <w:sz w:val="20"/>
                  <w:szCs w:val="20"/>
                  <w:u w:val="single"/>
                </w:rPr>
                <w:t>United Kingdom - European Commission (europa.eu)</w:t>
              </w:r>
            </w:hyperlink>
          </w:p>
          <w:p w14:paraId="00000014" w14:textId="77777777" w:rsidR="002A5780" w:rsidRDefault="002A5780">
            <w:pPr>
              <w:spacing w:after="0"/>
              <w:jc w:val="both"/>
              <w:rPr>
                <w:color w:val="0563C1"/>
                <w:sz w:val="20"/>
                <w:szCs w:val="20"/>
                <w:u w:val="single"/>
              </w:rPr>
            </w:pPr>
          </w:p>
          <w:p w14:paraId="00000015" w14:textId="77777777" w:rsidR="002A5780" w:rsidRDefault="00D91955">
            <w:pPr>
              <w:spacing w:after="0"/>
              <w:jc w:val="both"/>
              <w:rPr>
                <w:color w:val="0563C1"/>
                <w:sz w:val="20"/>
                <w:szCs w:val="20"/>
                <w:u w:val="single"/>
              </w:rPr>
            </w:pPr>
            <w:hyperlink r:id="rId10">
              <w:r>
                <w:rPr>
                  <w:color w:val="0563C1"/>
                  <w:sz w:val="20"/>
                  <w:szCs w:val="20"/>
                  <w:u w:val="single"/>
                </w:rPr>
                <w:t>The Border Target Operating Model: August 2023 - GOV.UK (www.gov.uk)</w:t>
              </w:r>
            </w:hyperlink>
          </w:p>
          <w:p w14:paraId="00000016" w14:textId="77777777" w:rsidR="002A5780" w:rsidRDefault="002A5780">
            <w:pPr>
              <w:spacing w:after="0"/>
              <w:jc w:val="both"/>
              <w:rPr>
                <w:color w:val="0563C1"/>
                <w:sz w:val="20"/>
                <w:szCs w:val="20"/>
                <w:u w:val="single"/>
              </w:rPr>
            </w:pPr>
          </w:p>
          <w:p w14:paraId="00000017" w14:textId="77777777" w:rsidR="002A5780" w:rsidRDefault="00D91955">
            <w:pPr>
              <w:spacing w:after="0"/>
              <w:jc w:val="both"/>
              <w:rPr>
                <w:color w:val="0563C1"/>
                <w:sz w:val="20"/>
                <w:szCs w:val="20"/>
                <w:u w:val="single"/>
              </w:rPr>
            </w:pPr>
            <w:hyperlink r:id="rId11">
              <w:r>
                <w:rPr>
                  <w:color w:val="0563C1"/>
                  <w:sz w:val="20"/>
                  <w:szCs w:val="20"/>
                  <w:u w:val="single"/>
                </w:rPr>
                <w:t>Access2Markets Welcome home page (europa.eu)</w:t>
              </w:r>
            </w:hyperlink>
          </w:p>
        </w:tc>
      </w:tr>
      <w:tr w:rsidR="002A5780" w14:paraId="5561A288" w14:textId="77777777" w:rsidTr="2AC19007">
        <w:trPr>
          <w:trHeight w:val="344"/>
        </w:trPr>
        <w:tc>
          <w:tcPr>
            <w:tcW w:w="776" w:type="dxa"/>
            <w:tcMar>
              <w:top w:w="29" w:type="dxa"/>
              <w:left w:w="115" w:type="dxa"/>
              <w:bottom w:w="29" w:type="dxa"/>
              <w:right w:w="115" w:type="dxa"/>
            </w:tcMar>
          </w:tcPr>
          <w:p w14:paraId="00000018"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19" w14:textId="77777777" w:rsidR="002A5780" w:rsidRDefault="00D91955">
            <w:pPr>
              <w:spacing w:after="0"/>
              <w:jc w:val="both"/>
              <w:rPr>
                <w:sz w:val="20"/>
                <w:szCs w:val="20"/>
              </w:rPr>
            </w:pPr>
            <w:r>
              <w:rPr>
                <w:sz w:val="20"/>
                <w:szCs w:val="20"/>
              </w:rPr>
              <w:t>Konsultacijos ir naudingi kontaktai eksportuojančioms įmonėms apie prekybos sąlygų tarp ES ir JK pokyčius.</w:t>
            </w:r>
          </w:p>
        </w:tc>
        <w:tc>
          <w:tcPr>
            <w:tcW w:w="2148" w:type="dxa"/>
            <w:tcMar>
              <w:top w:w="29" w:type="dxa"/>
              <w:left w:w="115" w:type="dxa"/>
              <w:bottom w:w="29" w:type="dxa"/>
              <w:right w:w="115" w:type="dxa"/>
            </w:tcMar>
          </w:tcPr>
          <w:p w14:paraId="0000001B" w14:textId="77777777" w:rsidR="002A5780" w:rsidRDefault="00D91955">
            <w:pPr>
              <w:spacing w:after="0"/>
              <w:jc w:val="both"/>
              <w:rPr>
                <w:color w:val="0563C1"/>
                <w:sz w:val="20"/>
                <w:szCs w:val="20"/>
                <w:u w:val="single"/>
              </w:rPr>
            </w:pPr>
            <w:hyperlink r:id="rId12">
              <w:r>
                <w:rPr>
                  <w:color w:val="0563C1"/>
                  <w:sz w:val="20"/>
                  <w:szCs w:val="20"/>
                  <w:u w:val="single"/>
                </w:rPr>
                <w:t>Eksportogidas</w:t>
              </w:r>
            </w:hyperlink>
          </w:p>
        </w:tc>
      </w:tr>
      <w:tr w:rsidR="002A5780" w14:paraId="5F48B3E0" w14:textId="77777777" w:rsidTr="2AC19007">
        <w:trPr>
          <w:trHeight w:val="344"/>
        </w:trPr>
        <w:tc>
          <w:tcPr>
            <w:tcW w:w="776" w:type="dxa"/>
            <w:tcMar>
              <w:top w:w="29" w:type="dxa"/>
              <w:left w:w="115" w:type="dxa"/>
              <w:bottom w:w="29" w:type="dxa"/>
              <w:right w:w="115" w:type="dxa"/>
            </w:tcMar>
          </w:tcPr>
          <w:p w14:paraId="0000001C"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1D" w14:textId="77777777" w:rsidR="002A5780" w:rsidRDefault="00D91955">
            <w:pPr>
              <w:spacing w:after="0"/>
              <w:jc w:val="both"/>
              <w:rPr>
                <w:sz w:val="20"/>
                <w:szCs w:val="20"/>
              </w:rPr>
            </w:pPr>
            <w:r>
              <w:rPr>
                <w:color w:val="000000"/>
                <w:sz w:val="20"/>
                <w:szCs w:val="20"/>
              </w:rPr>
              <w:t xml:space="preserve">JK keičiami sveikatos eksporto sertifikatus (EHCS) gyvūnams ir gyvūniniams produktams nuo 2025 m. liepos 31 d. Sertifikatų atnaujinimą atlieka VMVT. </w:t>
            </w:r>
          </w:p>
        </w:tc>
        <w:tc>
          <w:tcPr>
            <w:tcW w:w="2148" w:type="dxa"/>
            <w:tcMar>
              <w:top w:w="29" w:type="dxa"/>
              <w:left w:w="115" w:type="dxa"/>
              <w:bottom w:w="29" w:type="dxa"/>
              <w:right w:w="115" w:type="dxa"/>
            </w:tcMar>
          </w:tcPr>
          <w:p w14:paraId="0000001F" w14:textId="77777777" w:rsidR="002A5780" w:rsidRDefault="00D91955">
            <w:pPr>
              <w:spacing w:after="120"/>
              <w:jc w:val="both"/>
              <w:rPr>
                <w:color w:val="0563C1"/>
                <w:sz w:val="20"/>
                <w:szCs w:val="20"/>
                <w:u w:val="single"/>
              </w:rPr>
            </w:pPr>
            <w:hyperlink r:id="rId13">
              <w:r>
                <w:rPr>
                  <w:color w:val="0563C1"/>
                  <w:sz w:val="20"/>
                  <w:szCs w:val="20"/>
                  <w:u w:val="single"/>
                </w:rPr>
                <w:t>Imports of animal products</w:t>
              </w:r>
            </w:hyperlink>
          </w:p>
          <w:p w14:paraId="00000020" w14:textId="77777777" w:rsidR="002A5780" w:rsidRDefault="00D91955">
            <w:pPr>
              <w:spacing w:after="0"/>
              <w:jc w:val="both"/>
              <w:rPr>
                <w:color w:val="0563C1"/>
                <w:sz w:val="20"/>
                <w:szCs w:val="20"/>
                <w:u w:val="single"/>
              </w:rPr>
            </w:pPr>
            <w:hyperlink r:id="rId14">
              <w:r>
                <w:rPr>
                  <w:color w:val="0563C1"/>
                  <w:sz w:val="20"/>
                  <w:szCs w:val="20"/>
                  <w:u w:val="single"/>
                </w:rPr>
                <w:t>Imports of live animals</w:t>
              </w:r>
            </w:hyperlink>
          </w:p>
        </w:tc>
      </w:tr>
      <w:tr w:rsidR="002A5780" w14:paraId="116BE52E" w14:textId="77777777" w:rsidTr="2AC19007">
        <w:trPr>
          <w:trHeight w:val="344"/>
        </w:trPr>
        <w:tc>
          <w:tcPr>
            <w:tcW w:w="776" w:type="dxa"/>
            <w:tcMar>
              <w:top w:w="29" w:type="dxa"/>
              <w:left w:w="115" w:type="dxa"/>
              <w:bottom w:w="29" w:type="dxa"/>
              <w:right w:w="115" w:type="dxa"/>
            </w:tcMar>
          </w:tcPr>
          <w:p w14:paraId="00000021"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22" w14:textId="77777777" w:rsidR="002A5780" w:rsidRDefault="00D91955">
            <w:pPr>
              <w:spacing w:after="0"/>
              <w:jc w:val="both"/>
              <w:rPr>
                <w:sz w:val="20"/>
                <w:szCs w:val="20"/>
              </w:rPr>
            </w:pPr>
            <w:r>
              <w:rPr>
                <w:color w:val="000000"/>
                <w:sz w:val="20"/>
                <w:szCs w:val="20"/>
              </w:rPr>
              <w:t xml:space="preserve">JK nuo 2025 m. vasario 24 d. įveda papildomą kontrolę (1% dažnumas) neapdirbtai vilnai ir gyvūnų plaukams iš ES dėl snukio ir nagų ligos protrūkio Vokietijoje. </w:t>
            </w:r>
          </w:p>
        </w:tc>
        <w:tc>
          <w:tcPr>
            <w:tcW w:w="2148" w:type="dxa"/>
            <w:tcMar>
              <w:top w:w="29" w:type="dxa"/>
              <w:left w:w="115" w:type="dxa"/>
              <w:bottom w:w="29" w:type="dxa"/>
              <w:right w:w="115" w:type="dxa"/>
            </w:tcMar>
          </w:tcPr>
          <w:p w14:paraId="00000024" w14:textId="77777777" w:rsidR="002A5780" w:rsidRDefault="00D91955">
            <w:pPr>
              <w:spacing w:after="0"/>
              <w:jc w:val="both"/>
              <w:rPr>
                <w:color w:val="0563C1"/>
                <w:sz w:val="20"/>
                <w:szCs w:val="20"/>
                <w:u w:val="single"/>
              </w:rPr>
            </w:pPr>
            <w:hyperlink r:id="rId15">
              <w:r>
                <w:rPr>
                  <w:color w:val="0563C1"/>
                  <w:sz w:val="20"/>
                  <w:szCs w:val="20"/>
                  <w:u w:val="single"/>
                </w:rPr>
                <w:t>Animal by-products (not for human consumption): risk categories for imports from the EU to GB</w:t>
              </w:r>
            </w:hyperlink>
          </w:p>
        </w:tc>
      </w:tr>
      <w:tr w:rsidR="002A5780" w14:paraId="0FB52565" w14:textId="77777777" w:rsidTr="2AC19007">
        <w:trPr>
          <w:trHeight w:val="344"/>
        </w:trPr>
        <w:tc>
          <w:tcPr>
            <w:tcW w:w="776" w:type="dxa"/>
            <w:tcMar>
              <w:top w:w="29" w:type="dxa"/>
              <w:left w:w="115" w:type="dxa"/>
              <w:bottom w:w="29" w:type="dxa"/>
              <w:right w:w="115" w:type="dxa"/>
            </w:tcMar>
          </w:tcPr>
          <w:p w14:paraId="00000025"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26" w14:textId="77777777" w:rsidR="002A5780" w:rsidRDefault="00D91955">
            <w:pPr>
              <w:spacing w:after="0" w:line="240" w:lineRule="auto"/>
              <w:jc w:val="both"/>
              <w:rPr>
                <w:color w:val="000000"/>
                <w:sz w:val="20"/>
                <w:szCs w:val="20"/>
              </w:rPr>
            </w:pPr>
            <w:r>
              <w:rPr>
                <w:color w:val="000000"/>
                <w:sz w:val="20"/>
                <w:szCs w:val="20"/>
              </w:rPr>
              <w:t>Birželio 2 d. paskelbta apie pratęstus palengvinimus importo procedūroms vaisiams ir daržovėms. Ik 2027 m. sausio 31 d. neįvedami fitosanitariniai sertifikatai žemos rizikos produktams.</w:t>
            </w:r>
          </w:p>
        </w:tc>
        <w:tc>
          <w:tcPr>
            <w:tcW w:w="2148" w:type="dxa"/>
            <w:tcMar>
              <w:top w:w="29" w:type="dxa"/>
              <w:left w:w="115" w:type="dxa"/>
              <w:bottom w:w="29" w:type="dxa"/>
              <w:right w:w="115" w:type="dxa"/>
            </w:tcMar>
          </w:tcPr>
          <w:p w14:paraId="00000028" w14:textId="77777777" w:rsidR="002A5780" w:rsidRDefault="00D91955">
            <w:pPr>
              <w:spacing w:after="0"/>
              <w:jc w:val="both"/>
              <w:rPr>
                <w:color w:val="0563C1"/>
                <w:sz w:val="20"/>
                <w:szCs w:val="20"/>
                <w:u w:val="single"/>
              </w:rPr>
            </w:pPr>
            <w:hyperlink r:id="rId16">
              <w:r>
                <w:rPr>
                  <w:color w:val="0563C1"/>
                  <w:sz w:val="20"/>
                  <w:szCs w:val="20"/>
                  <w:u w:val="single"/>
                </w:rPr>
                <w:t>Fruit and veg import checks scrapped ahead of UK-EU deal – GOV.UK</w:t>
              </w:r>
            </w:hyperlink>
          </w:p>
        </w:tc>
      </w:tr>
      <w:tr w:rsidR="002A5780" w14:paraId="69BBD6A8" w14:textId="77777777" w:rsidTr="2AC19007">
        <w:trPr>
          <w:trHeight w:val="344"/>
        </w:trPr>
        <w:tc>
          <w:tcPr>
            <w:tcW w:w="776" w:type="dxa"/>
            <w:tcMar>
              <w:top w:w="29" w:type="dxa"/>
              <w:left w:w="115" w:type="dxa"/>
              <w:bottom w:w="29" w:type="dxa"/>
              <w:right w:w="115" w:type="dxa"/>
            </w:tcMar>
          </w:tcPr>
          <w:p w14:paraId="00000029"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2A" w14:textId="77777777" w:rsidR="002A5780" w:rsidRDefault="00D91955">
            <w:pPr>
              <w:spacing w:after="0"/>
              <w:jc w:val="both"/>
              <w:rPr>
                <w:sz w:val="20"/>
                <w:szCs w:val="20"/>
              </w:rPr>
            </w:pPr>
            <w:r>
              <w:rPr>
                <w:sz w:val="20"/>
                <w:szCs w:val="20"/>
              </w:rPr>
              <w:t xml:space="preserve">JK maisto, pašarų pakuočių perdirbimo reikalavimai JK diegia naujus teisinius ir ekonominius mechanizmus. Nuo 2025 m. spalio mėn. gamintojai, importuotojai, distributoriai bus papildomai apmokestinami ir bus atsakingi už pakuočių surinkimą ir perdirbimą. Neperdirbamos arba sunkiai perdirbamos pakuotės bus apmokestinamos didesniais mokesčiais. Daugelis prekybininkų jau nuo 2025 m. pradėjo savanorišką plastiko mažinimo programą ir reikalauja, kad tiekėjai pakeistų savo pakuotes ir atsisakytų sunkiai perdirbamų pakuočių naudojimo. </w:t>
            </w:r>
          </w:p>
        </w:tc>
        <w:tc>
          <w:tcPr>
            <w:tcW w:w="2148" w:type="dxa"/>
            <w:tcMar>
              <w:top w:w="29" w:type="dxa"/>
              <w:left w:w="115" w:type="dxa"/>
              <w:bottom w:w="29" w:type="dxa"/>
              <w:right w:w="115" w:type="dxa"/>
            </w:tcMar>
          </w:tcPr>
          <w:p w14:paraId="0000002C" w14:textId="77777777" w:rsidR="002A5780" w:rsidRDefault="00D91955">
            <w:pPr>
              <w:spacing w:after="0"/>
              <w:jc w:val="both"/>
              <w:rPr>
                <w:color w:val="0563C1"/>
                <w:sz w:val="20"/>
                <w:szCs w:val="20"/>
                <w:u w:val="single"/>
              </w:rPr>
            </w:pPr>
            <w:hyperlink r:id="rId17">
              <w:r>
                <w:rPr>
                  <w:color w:val="0563C1"/>
                  <w:sz w:val="20"/>
                  <w:szCs w:val="20"/>
                  <w:u w:val="single"/>
                </w:rPr>
                <w:t>Simpler Recycling in England: policy update - GOV.UK</w:t>
              </w:r>
            </w:hyperlink>
          </w:p>
          <w:p w14:paraId="0000002D" w14:textId="77777777" w:rsidR="002A5780" w:rsidRDefault="00D91955">
            <w:pPr>
              <w:spacing w:after="0"/>
              <w:jc w:val="both"/>
              <w:rPr>
                <w:sz w:val="20"/>
                <w:szCs w:val="20"/>
              </w:rPr>
            </w:pPr>
            <w:hyperlink r:id="rId18">
              <w:r>
                <w:rPr>
                  <w:color w:val="0563C1"/>
                  <w:sz w:val="20"/>
                  <w:szCs w:val="20"/>
                  <w:u w:val="single"/>
                </w:rPr>
                <w:t>Extended producer responsibility for packaging: who is affected and what to do - GOV.UK</w:t>
              </w:r>
            </w:hyperlink>
          </w:p>
        </w:tc>
      </w:tr>
      <w:tr w:rsidR="002A5780" w14:paraId="18F2FE7E" w14:textId="77777777" w:rsidTr="2AC19007">
        <w:trPr>
          <w:trHeight w:val="344"/>
        </w:trPr>
        <w:tc>
          <w:tcPr>
            <w:tcW w:w="776" w:type="dxa"/>
            <w:tcMar>
              <w:top w:w="29" w:type="dxa"/>
              <w:left w:w="115" w:type="dxa"/>
              <w:bottom w:w="29" w:type="dxa"/>
              <w:right w:w="115" w:type="dxa"/>
            </w:tcMar>
          </w:tcPr>
          <w:p w14:paraId="0000002E"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2F" w14:textId="77777777" w:rsidR="002A5780" w:rsidRDefault="00D91955">
            <w:pPr>
              <w:spacing w:after="0"/>
              <w:jc w:val="both"/>
              <w:rPr>
                <w:sz w:val="20"/>
                <w:szCs w:val="20"/>
              </w:rPr>
            </w:pPr>
            <w:r>
              <w:rPr>
                <w:sz w:val="20"/>
                <w:szCs w:val="20"/>
              </w:rPr>
              <w:t>Kaip teisingai pateikti UKCA arba CE ženklu pažymėtus gaminius Didžiosios Britanijos rinkai.</w:t>
            </w:r>
          </w:p>
        </w:tc>
        <w:tc>
          <w:tcPr>
            <w:tcW w:w="2148" w:type="dxa"/>
            <w:tcMar>
              <w:top w:w="29" w:type="dxa"/>
              <w:left w:w="115" w:type="dxa"/>
              <w:bottom w:w="29" w:type="dxa"/>
              <w:right w:w="115" w:type="dxa"/>
            </w:tcMar>
          </w:tcPr>
          <w:p w14:paraId="00000031" w14:textId="77777777" w:rsidR="002A5780" w:rsidRDefault="00D91955">
            <w:pPr>
              <w:spacing w:after="0"/>
              <w:jc w:val="both"/>
              <w:rPr>
                <w:sz w:val="20"/>
                <w:szCs w:val="20"/>
              </w:rPr>
            </w:pPr>
            <w:hyperlink r:id="rId19">
              <w:r>
                <w:rPr>
                  <w:color w:val="0563C1"/>
                  <w:sz w:val="20"/>
                  <w:szCs w:val="20"/>
                  <w:u w:val="single"/>
                </w:rPr>
                <w:t>Placing UKCA or CE marked products on the market in Great Britain (GOV.UK)</w:t>
              </w:r>
            </w:hyperlink>
            <w:r>
              <w:rPr>
                <w:sz w:val="20"/>
                <w:szCs w:val="20"/>
              </w:rPr>
              <w:t xml:space="preserve"> </w:t>
            </w:r>
          </w:p>
        </w:tc>
      </w:tr>
      <w:tr w:rsidR="002A5780" w14:paraId="0472B64C" w14:textId="77777777" w:rsidTr="2AC19007">
        <w:trPr>
          <w:trHeight w:val="344"/>
        </w:trPr>
        <w:tc>
          <w:tcPr>
            <w:tcW w:w="15246" w:type="dxa"/>
            <w:gridSpan w:val="4"/>
            <w:tcMar>
              <w:top w:w="29" w:type="dxa"/>
              <w:left w:w="115" w:type="dxa"/>
              <w:bottom w:w="29" w:type="dxa"/>
              <w:right w:w="115" w:type="dxa"/>
            </w:tcMar>
          </w:tcPr>
          <w:p w14:paraId="00000032" w14:textId="77777777" w:rsidR="002A5780" w:rsidRDefault="00D91955">
            <w:pPr>
              <w:spacing w:after="0"/>
              <w:jc w:val="both"/>
              <w:rPr>
                <w:i/>
                <w:iCs/>
                <w:sz w:val="20"/>
                <w:szCs w:val="20"/>
                <w:highlight w:val="yellow"/>
              </w:rPr>
            </w:pPr>
            <w:r>
              <w:rPr>
                <w:i/>
                <w:iCs/>
                <w:sz w:val="20"/>
                <w:szCs w:val="20"/>
              </w:rPr>
              <w:t>Parengta kartu su žemės ūkio atašė Deividu Kliučinsku</w:t>
            </w:r>
          </w:p>
        </w:tc>
      </w:tr>
      <w:tr w:rsidR="002A5780" w14:paraId="22B0D16C" w14:textId="77777777" w:rsidTr="2AC19007">
        <w:trPr>
          <w:trHeight w:val="402"/>
        </w:trPr>
        <w:tc>
          <w:tcPr>
            <w:tcW w:w="15246" w:type="dxa"/>
            <w:gridSpan w:val="4"/>
            <w:shd w:val="clear" w:color="auto" w:fill="DEEAF6"/>
            <w:tcMar>
              <w:top w:w="29" w:type="dxa"/>
              <w:left w:w="115" w:type="dxa"/>
              <w:bottom w:w="29" w:type="dxa"/>
              <w:right w:w="115" w:type="dxa"/>
            </w:tcMar>
          </w:tcPr>
          <w:p w14:paraId="00000036" w14:textId="77777777" w:rsidR="002A5780" w:rsidRDefault="00D91955">
            <w:pPr>
              <w:spacing w:after="0"/>
              <w:jc w:val="both"/>
              <w:rPr>
                <w:b/>
                <w:bCs/>
              </w:rPr>
            </w:pPr>
            <w:r>
              <w:rPr>
                <w:b/>
                <w:bCs/>
              </w:rPr>
              <w:t>Lietuvos verslo plėtrai užsienyje aktuali informacija</w:t>
            </w:r>
          </w:p>
        </w:tc>
      </w:tr>
      <w:tr w:rsidR="002A5780" w14:paraId="546F6CED" w14:textId="77777777" w:rsidTr="2AC19007">
        <w:trPr>
          <w:trHeight w:val="472"/>
        </w:trPr>
        <w:tc>
          <w:tcPr>
            <w:tcW w:w="776" w:type="dxa"/>
            <w:tcMar>
              <w:top w:w="29" w:type="dxa"/>
              <w:left w:w="115" w:type="dxa"/>
              <w:bottom w:w="29" w:type="dxa"/>
              <w:right w:w="115" w:type="dxa"/>
            </w:tcMar>
          </w:tcPr>
          <w:p w14:paraId="0000003A"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3B" w14:textId="77777777" w:rsidR="002A5780" w:rsidRDefault="00D91955">
            <w:pPr>
              <w:spacing w:after="0"/>
              <w:jc w:val="both"/>
              <w:rPr>
                <w:color w:val="AEAAAA"/>
                <w:sz w:val="20"/>
                <w:szCs w:val="20"/>
              </w:rPr>
            </w:pPr>
            <w:r>
              <w:rPr>
                <w:color w:val="000000"/>
                <w:sz w:val="20"/>
                <w:szCs w:val="20"/>
              </w:rPr>
              <w:t>JK siūlo patrauklias sąlygas verslo veiklai ir investicijoms.</w:t>
            </w:r>
          </w:p>
        </w:tc>
        <w:tc>
          <w:tcPr>
            <w:tcW w:w="2148" w:type="dxa"/>
            <w:tcMar>
              <w:top w:w="29" w:type="dxa"/>
              <w:left w:w="115" w:type="dxa"/>
              <w:bottom w:w="29" w:type="dxa"/>
              <w:right w:w="115" w:type="dxa"/>
            </w:tcMar>
          </w:tcPr>
          <w:p w14:paraId="0000003D" w14:textId="77777777" w:rsidR="002A5780" w:rsidRDefault="00D91955">
            <w:pPr>
              <w:spacing w:after="0"/>
              <w:jc w:val="both"/>
              <w:rPr>
                <w:color w:val="0563C1"/>
                <w:sz w:val="20"/>
                <w:szCs w:val="20"/>
                <w:u w:val="single"/>
              </w:rPr>
            </w:pPr>
            <w:hyperlink r:id="rId20">
              <w:r>
                <w:rPr>
                  <w:color w:val="0563C1"/>
                  <w:sz w:val="20"/>
                  <w:szCs w:val="20"/>
                  <w:u w:val="single"/>
                </w:rPr>
                <w:t>Benchmarking 2026 - Our-Global-Offer-to-Business-2026.pdf</w:t>
              </w:r>
            </w:hyperlink>
          </w:p>
        </w:tc>
      </w:tr>
      <w:tr w:rsidR="002A5780" w14:paraId="0E14D520" w14:textId="77777777" w:rsidTr="2AC19007">
        <w:trPr>
          <w:trHeight w:val="472"/>
        </w:trPr>
        <w:tc>
          <w:tcPr>
            <w:tcW w:w="776" w:type="dxa"/>
            <w:tcMar>
              <w:top w:w="29" w:type="dxa"/>
              <w:left w:w="115" w:type="dxa"/>
              <w:bottom w:w="29" w:type="dxa"/>
              <w:right w:w="115" w:type="dxa"/>
            </w:tcMar>
          </w:tcPr>
          <w:p w14:paraId="0000003E"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3F" w14:textId="77777777" w:rsidR="002A5780" w:rsidRDefault="00D91955">
            <w:pPr>
              <w:spacing w:after="0"/>
              <w:jc w:val="both"/>
              <w:rPr>
                <w:color w:val="000000"/>
                <w:sz w:val="20"/>
                <w:szCs w:val="20"/>
              </w:rPr>
            </w:pPr>
            <w:r>
              <w:rPr>
                <w:sz w:val="20"/>
                <w:szCs w:val="20"/>
              </w:rPr>
              <w:t>„</w:t>
            </w:r>
            <w:r>
              <w:rPr>
                <w:i/>
                <w:iCs/>
                <w:color w:val="000000"/>
                <w:sz w:val="20"/>
                <w:szCs w:val="20"/>
              </w:rPr>
              <w:t>Global Entrepreneur Programme</w:t>
            </w:r>
            <w:r>
              <w:rPr>
                <w:sz w:val="20"/>
                <w:szCs w:val="20"/>
              </w:rPr>
              <w:t>“</w:t>
            </w:r>
            <w:r>
              <w:rPr>
                <w:color w:val="000000"/>
                <w:sz w:val="20"/>
                <w:szCs w:val="20"/>
              </w:rPr>
              <w:t xml:space="preserve"> (GEP) – JK vyriausybės programa, skirta padėti užsienio technologijų verslų įkūrėjams kurti ir plėsti verslą JK, suteikiant mentorystę, tinklų prieigą ir praktinę paramą.</w:t>
            </w:r>
          </w:p>
          <w:p w14:paraId="00000040" w14:textId="77777777" w:rsidR="002A5780" w:rsidRDefault="002A5780">
            <w:pPr>
              <w:spacing w:after="0"/>
              <w:jc w:val="both"/>
              <w:rPr>
                <w:color w:val="000000"/>
                <w:sz w:val="20"/>
                <w:szCs w:val="20"/>
              </w:rPr>
            </w:pPr>
          </w:p>
        </w:tc>
        <w:tc>
          <w:tcPr>
            <w:tcW w:w="2148" w:type="dxa"/>
            <w:tcMar>
              <w:top w:w="29" w:type="dxa"/>
              <w:left w:w="115" w:type="dxa"/>
              <w:bottom w:w="29" w:type="dxa"/>
              <w:right w:w="115" w:type="dxa"/>
            </w:tcMar>
          </w:tcPr>
          <w:p w14:paraId="00000042" w14:textId="77777777" w:rsidR="002A5780" w:rsidRDefault="00D91955">
            <w:pPr>
              <w:spacing w:after="0"/>
              <w:jc w:val="both"/>
              <w:rPr>
                <w:color w:val="0563C1"/>
                <w:sz w:val="20"/>
                <w:szCs w:val="20"/>
                <w:u w:val="single"/>
              </w:rPr>
            </w:pPr>
            <w:hyperlink r:id="rId21">
              <w:r>
                <w:rPr>
                  <w:color w:val="0563C1"/>
                  <w:sz w:val="20"/>
                  <w:szCs w:val="20"/>
                  <w:u w:val="single"/>
                </w:rPr>
                <w:t>Global Entrepreneur Programme</w:t>
              </w:r>
            </w:hyperlink>
            <w:r>
              <w:rPr>
                <w:color w:val="0563C1"/>
                <w:sz w:val="20"/>
                <w:szCs w:val="20"/>
                <w:u w:val="single"/>
              </w:rPr>
              <w:t xml:space="preserve"> </w:t>
            </w:r>
          </w:p>
        </w:tc>
      </w:tr>
      <w:tr w:rsidR="002A5780" w14:paraId="6DEEF4F7" w14:textId="77777777" w:rsidTr="2AC19007">
        <w:trPr>
          <w:trHeight w:val="472"/>
        </w:trPr>
        <w:tc>
          <w:tcPr>
            <w:tcW w:w="776" w:type="dxa"/>
            <w:tcMar>
              <w:top w:w="29" w:type="dxa"/>
              <w:left w:w="115" w:type="dxa"/>
              <w:bottom w:w="29" w:type="dxa"/>
              <w:right w:w="115" w:type="dxa"/>
            </w:tcMar>
          </w:tcPr>
          <w:p w14:paraId="00000043"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44" w14:textId="77777777" w:rsidR="002A5780" w:rsidRDefault="00D91955">
            <w:pPr>
              <w:spacing w:after="0"/>
              <w:jc w:val="both"/>
              <w:rPr>
                <w:color w:val="000000"/>
                <w:sz w:val="20"/>
                <w:szCs w:val="20"/>
              </w:rPr>
            </w:pPr>
            <w:r>
              <w:rPr>
                <w:sz w:val="20"/>
                <w:szCs w:val="20"/>
              </w:rPr>
              <w:t>„</w:t>
            </w:r>
            <w:r>
              <w:rPr>
                <w:i/>
                <w:iCs/>
                <w:color w:val="000000"/>
                <w:sz w:val="20"/>
                <w:szCs w:val="20"/>
              </w:rPr>
              <w:t>London Tech Week 2026</w:t>
            </w:r>
            <w:r>
              <w:rPr>
                <w:sz w:val="20"/>
                <w:szCs w:val="20"/>
              </w:rPr>
              <w:t>“</w:t>
            </w:r>
            <w:r>
              <w:rPr>
                <w:color w:val="000000"/>
                <w:sz w:val="20"/>
                <w:szCs w:val="20"/>
              </w:rPr>
              <w:t xml:space="preserve"> </w:t>
            </w:r>
          </w:p>
        </w:tc>
        <w:tc>
          <w:tcPr>
            <w:tcW w:w="2148" w:type="dxa"/>
            <w:tcMar>
              <w:top w:w="29" w:type="dxa"/>
              <w:left w:w="115" w:type="dxa"/>
              <w:bottom w:w="29" w:type="dxa"/>
              <w:right w:w="115" w:type="dxa"/>
            </w:tcMar>
          </w:tcPr>
          <w:p w14:paraId="00000046" w14:textId="77777777" w:rsidR="002A5780" w:rsidRDefault="00D91955">
            <w:pPr>
              <w:spacing w:after="0"/>
              <w:jc w:val="both"/>
              <w:rPr>
                <w:color w:val="0563C1"/>
                <w:sz w:val="20"/>
                <w:szCs w:val="20"/>
                <w:u w:val="single"/>
              </w:rPr>
            </w:pPr>
            <w:hyperlink r:id="rId22">
              <w:r>
                <w:rPr>
                  <w:color w:val="0563C1"/>
                  <w:sz w:val="20"/>
                  <w:szCs w:val="20"/>
                  <w:u w:val="single"/>
                </w:rPr>
                <w:t>London Tech Week</w:t>
              </w:r>
            </w:hyperlink>
            <w:r>
              <w:rPr>
                <w:color w:val="0563C1"/>
                <w:sz w:val="20"/>
                <w:szCs w:val="20"/>
                <w:u w:val="single"/>
              </w:rPr>
              <w:t xml:space="preserve"> </w:t>
            </w:r>
          </w:p>
        </w:tc>
      </w:tr>
      <w:tr w:rsidR="002A5780" w14:paraId="14123C1D" w14:textId="77777777" w:rsidTr="2AC19007">
        <w:trPr>
          <w:trHeight w:val="472"/>
        </w:trPr>
        <w:tc>
          <w:tcPr>
            <w:tcW w:w="776" w:type="dxa"/>
            <w:tcMar>
              <w:top w:w="29" w:type="dxa"/>
              <w:left w:w="115" w:type="dxa"/>
              <w:bottom w:w="29" w:type="dxa"/>
              <w:right w:w="115" w:type="dxa"/>
            </w:tcMar>
          </w:tcPr>
          <w:p w14:paraId="00000047"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48" w14:textId="77777777" w:rsidR="002A5780" w:rsidRDefault="00D91955">
            <w:pPr>
              <w:spacing w:after="0"/>
              <w:jc w:val="both"/>
              <w:rPr>
                <w:sz w:val="20"/>
                <w:szCs w:val="20"/>
              </w:rPr>
            </w:pPr>
            <w:r>
              <w:rPr>
                <w:color w:val="000000"/>
                <w:sz w:val="20"/>
                <w:szCs w:val="20"/>
              </w:rPr>
              <w:t>Verslo parodos JK</w:t>
            </w:r>
          </w:p>
        </w:tc>
        <w:tc>
          <w:tcPr>
            <w:tcW w:w="2148" w:type="dxa"/>
            <w:tcMar>
              <w:top w:w="29" w:type="dxa"/>
              <w:left w:w="115" w:type="dxa"/>
              <w:bottom w:w="29" w:type="dxa"/>
              <w:right w:w="115" w:type="dxa"/>
            </w:tcMar>
          </w:tcPr>
          <w:p w14:paraId="0000004A" w14:textId="77777777" w:rsidR="002A5780" w:rsidRDefault="00D91955">
            <w:pPr>
              <w:spacing w:after="0"/>
              <w:jc w:val="both"/>
              <w:rPr>
                <w:color w:val="0563C1"/>
                <w:sz w:val="20"/>
                <w:szCs w:val="20"/>
                <w:u w:val="single"/>
              </w:rPr>
            </w:pPr>
            <w:hyperlink r:id="rId23">
              <w:r>
                <w:rPr>
                  <w:color w:val="0563C1"/>
                  <w:sz w:val="20"/>
                  <w:szCs w:val="20"/>
                  <w:u w:val="single"/>
                </w:rPr>
                <w:t>UK Trade Show Calendar (expocart)</w:t>
              </w:r>
            </w:hyperlink>
          </w:p>
          <w:p w14:paraId="0000004B" w14:textId="77777777" w:rsidR="002A5780" w:rsidRDefault="00D91955">
            <w:pPr>
              <w:spacing w:after="0"/>
              <w:jc w:val="both"/>
              <w:rPr>
                <w:sz w:val="20"/>
                <w:szCs w:val="20"/>
              </w:rPr>
            </w:pPr>
            <w:hyperlink r:id="rId24">
              <w:r>
                <w:rPr>
                  <w:color w:val="0563C1"/>
                  <w:sz w:val="20"/>
                  <w:szCs w:val="20"/>
                  <w:u w:val="single"/>
                </w:rPr>
                <w:t>UK Trade Show Calendar (DisplayWizard)</w:t>
              </w:r>
            </w:hyperlink>
          </w:p>
          <w:p w14:paraId="0000004C" w14:textId="77777777" w:rsidR="002A5780" w:rsidRDefault="00D91955">
            <w:pPr>
              <w:spacing w:after="0"/>
              <w:jc w:val="both"/>
              <w:rPr>
                <w:sz w:val="20"/>
                <w:szCs w:val="20"/>
              </w:rPr>
            </w:pPr>
            <w:hyperlink r:id="rId25">
              <w:r>
                <w:rPr>
                  <w:color w:val="0563C1"/>
                  <w:sz w:val="20"/>
                  <w:szCs w:val="20"/>
                  <w:u w:val="single"/>
                </w:rPr>
                <w:t>Exhibition Events Calendar (xldisplays)</w:t>
              </w:r>
            </w:hyperlink>
            <w:r>
              <w:rPr>
                <w:sz w:val="20"/>
                <w:szCs w:val="20"/>
              </w:rPr>
              <w:t> (parodos visoje šalyje)</w:t>
            </w:r>
          </w:p>
          <w:p w14:paraId="0000004D" w14:textId="77777777" w:rsidR="002A5780" w:rsidRDefault="00D91955">
            <w:pPr>
              <w:spacing w:after="0"/>
              <w:jc w:val="both"/>
              <w:rPr>
                <w:sz w:val="20"/>
                <w:szCs w:val="20"/>
              </w:rPr>
            </w:pPr>
            <w:hyperlink r:id="rId26">
              <w:r>
                <w:rPr>
                  <w:color w:val="0563C1"/>
                  <w:sz w:val="20"/>
                  <w:szCs w:val="20"/>
                  <w:u w:val="single"/>
                </w:rPr>
                <w:t>Exhibition Event Calendar (exhibitionvision)</w:t>
              </w:r>
            </w:hyperlink>
            <w:r>
              <w:rPr>
                <w:sz w:val="20"/>
                <w:szCs w:val="20"/>
              </w:rPr>
              <w:t xml:space="preserve"> (NEC, ExCel)</w:t>
            </w:r>
          </w:p>
          <w:p w14:paraId="0000004E" w14:textId="77777777" w:rsidR="002A5780" w:rsidRDefault="00D91955">
            <w:pPr>
              <w:spacing w:after="0"/>
              <w:jc w:val="both"/>
              <w:rPr>
                <w:sz w:val="20"/>
                <w:szCs w:val="20"/>
              </w:rPr>
            </w:pPr>
            <w:hyperlink r:id="rId27" w:anchor="0ee8604c-4a05-48c4-b59d-dfb249bd93a7">
              <w:r>
                <w:rPr>
                  <w:color w:val="0563C1"/>
                  <w:sz w:val="20"/>
                  <w:szCs w:val="20"/>
                  <w:u w:val="single"/>
                </w:rPr>
                <w:t>Businessshowmedia</w:t>
              </w:r>
            </w:hyperlink>
            <w:r>
              <w:rPr>
                <w:sz w:val="20"/>
                <w:szCs w:val="20"/>
              </w:rPr>
              <w:t xml:space="preserve"> (B2B)</w:t>
            </w:r>
          </w:p>
          <w:p w14:paraId="0000004F" w14:textId="77777777" w:rsidR="002A5780" w:rsidRDefault="00D91955">
            <w:pPr>
              <w:spacing w:after="0"/>
              <w:jc w:val="both"/>
              <w:rPr>
                <w:sz w:val="20"/>
                <w:szCs w:val="20"/>
              </w:rPr>
            </w:pPr>
            <w:hyperlink r:id="rId28">
              <w:r>
                <w:rPr>
                  <w:color w:val="0563C1"/>
                  <w:sz w:val="20"/>
                  <w:szCs w:val="20"/>
                  <w:u w:val="single"/>
                </w:rPr>
                <w:t>Upcoming Events (b2bexpos)</w:t>
              </w:r>
            </w:hyperlink>
            <w:r>
              <w:rPr>
                <w:sz w:val="20"/>
                <w:szCs w:val="20"/>
              </w:rPr>
              <w:t xml:space="preserve"> (regioninės parodos, skirtos MVĮ, startuoliams)</w:t>
            </w:r>
          </w:p>
          <w:p w14:paraId="00000050" w14:textId="77777777" w:rsidR="002A5780" w:rsidRDefault="00D91955">
            <w:pPr>
              <w:spacing w:after="0"/>
              <w:jc w:val="both"/>
              <w:rPr>
                <w:sz w:val="20"/>
                <w:szCs w:val="20"/>
              </w:rPr>
            </w:pPr>
            <w:hyperlink r:id="rId29">
              <w:r>
                <w:rPr>
                  <w:color w:val="0563C1"/>
                  <w:sz w:val="20"/>
                  <w:szCs w:val="20"/>
                  <w:u w:val="single"/>
                </w:rPr>
                <w:t>Great British Expos</w:t>
              </w:r>
            </w:hyperlink>
            <w:r>
              <w:rPr>
                <w:sz w:val="20"/>
                <w:szCs w:val="20"/>
              </w:rPr>
              <w:t xml:space="preserve"> (regioninės parodos)</w:t>
            </w:r>
          </w:p>
          <w:p w14:paraId="00000051" w14:textId="77777777" w:rsidR="002A5780" w:rsidRDefault="00D91955">
            <w:pPr>
              <w:spacing w:after="0"/>
              <w:jc w:val="both"/>
              <w:rPr>
                <w:sz w:val="20"/>
                <w:szCs w:val="20"/>
              </w:rPr>
            </w:pPr>
            <w:hyperlink r:id="rId30">
              <w:r>
                <w:rPr>
                  <w:color w:val="0563C1"/>
                  <w:sz w:val="20"/>
                  <w:szCs w:val="20"/>
                  <w:u w:val="single"/>
                </w:rPr>
                <w:t>Trade Show (thewholesaler)</w:t>
              </w:r>
            </w:hyperlink>
            <w:r>
              <w:rPr>
                <w:sz w:val="20"/>
                <w:szCs w:val="20"/>
              </w:rPr>
              <w:t xml:space="preserve"> (mažmeninės bei didmeninės prekybos)</w:t>
            </w:r>
          </w:p>
        </w:tc>
      </w:tr>
      <w:tr w:rsidR="002A5780" w14:paraId="27586B2F" w14:textId="77777777" w:rsidTr="2AC19007">
        <w:trPr>
          <w:trHeight w:val="472"/>
        </w:trPr>
        <w:tc>
          <w:tcPr>
            <w:tcW w:w="776" w:type="dxa"/>
            <w:tcMar>
              <w:top w:w="29" w:type="dxa"/>
              <w:left w:w="115" w:type="dxa"/>
              <w:bottom w:w="29" w:type="dxa"/>
              <w:right w:w="115" w:type="dxa"/>
            </w:tcMar>
          </w:tcPr>
          <w:p w14:paraId="00000052"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53" w14:textId="77777777" w:rsidR="002A5780" w:rsidRDefault="00D91955">
            <w:pPr>
              <w:spacing w:after="0"/>
              <w:jc w:val="both"/>
              <w:rPr>
                <w:color w:val="000000"/>
                <w:sz w:val="20"/>
                <w:szCs w:val="20"/>
              </w:rPr>
            </w:pPr>
            <w:r>
              <w:rPr>
                <w:sz w:val="20"/>
                <w:szCs w:val="20"/>
              </w:rPr>
              <w:t>Naudinga MVĮ įmonėms, norinčioms augti JK.</w:t>
            </w:r>
          </w:p>
        </w:tc>
        <w:tc>
          <w:tcPr>
            <w:tcW w:w="2148" w:type="dxa"/>
            <w:tcMar>
              <w:top w:w="29" w:type="dxa"/>
              <w:left w:w="115" w:type="dxa"/>
              <w:bottom w:w="29" w:type="dxa"/>
              <w:right w:w="115" w:type="dxa"/>
            </w:tcMar>
          </w:tcPr>
          <w:p w14:paraId="00000055" w14:textId="77777777" w:rsidR="002A5780" w:rsidRDefault="00D91955">
            <w:pPr>
              <w:spacing w:after="0"/>
              <w:jc w:val="both"/>
              <w:rPr>
                <w:sz w:val="20"/>
                <w:szCs w:val="20"/>
              </w:rPr>
            </w:pPr>
            <w:hyperlink r:id="rId31">
              <w:r>
                <w:rPr>
                  <w:color w:val="0563C1"/>
                  <w:sz w:val="20"/>
                  <w:szCs w:val="20"/>
                  <w:u w:val="single"/>
                </w:rPr>
                <w:t>Small Business</w:t>
              </w:r>
            </w:hyperlink>
          </w:p>
        </w:tc>
      </w:tr>
      <w:tr w:rsidR="2AC19007" w14:paraId="582126DA" w14:textId="77777777" w:rsidTr="2AC19007">
        <w:trPr>
          <w:trHeight w:val="300"/>
        </w:trPr>
        <w:tc>
          <w:tcPr>
            <w:tcW w:w="776" w:type="dxa"/>
            <w:tcMar>
              <w:top w:w="29" w:type="dxa"/>
              <w:left w:w="115" w:type="dxa"/>
              <w:bottom w:w="29" w:type="dxa"/>
              <w:right w:w="115" w:type="dxa"/>
            </w:tcMar>
          </w:tcPr>
          <w:p w14:paraId="3EA95D55" w14:textId="32D33B01" w:rsidR="2AC19007" w:rsidRDefault="2AC19007" w:rsidP="2AC19007">
            <w:pPr>
              <w:jc w:val="both"/>
              <w:rPr>
                <w:sz w:val="20"/>
                <w:szCs w:val="20"/>
              </w:rPr>
            </w:pPr>
          </w:p>
        </w:tc>
        <w:tc>
          <w:tcPr>
            <w:tcW w:w="12322" w:type="dxa"/>
            <w:gridSpan w:val="2"/>
            <w:tcMar>
              <w:top w:w="29" w:type="dxa"/>
              <w:left w:w="115" w:type="dxa"/>
              <w:bottom w:w="29" w:type="dxa"/>
              <w:right w:w="115" w:type="dxa"/>
            </w:tcMar>
          </w:tcPr>
          <w:p w14:paraId="35A31FB1" w14:textId="7E8F95DD" w:rsidR="142E4BA4" w:rsidRDefault="142E4BA4" w:rsidP="2AC19007">
            <w:pPr>
              <w:jc w:val="both"/>
              <w:rPr>
                <w:sz w:val="20"/>
                <w:szCs w:val="20"/>
              </w:rPr>
            </w:pPr>
            <w:r w:rsidRPr="2AC19007">
              <w:rPr>
                <w:sz w:val="20"/>
                <w:szCs w:val="20"/>
              </w:rPr>
              <w:t>Prastas JK javų derlius ir itin mažos atsargos – didėja importo poreikio tikimybė</w:t>
            </w:r>
          </w:p>
          <w:p w14:paraId="39ACC48C" w14:textId="325524C6" w:rsidR="142E4BA4" w:rsidRDefault="142E4BA4" w:rsidP="2AC19007">
            <w:pPr>
              <w:jc w:val="both"/>
              <w:rPr>
                <w:sz w:val="20"/>
                <w:szCs w:val="20"/>
              </w:rPr>
            </w:pPr>
            <w:r w:rsidRPr="2AC19007">
              <w:rPr>
                <w:sz w:val="20"/>
                <w:szCs w:val="20"/>
              </w:rPr>
              <w:t>Naujausi 2026 m. derliaus ir grūdų atsargų duomenys kartu rodo vis labiau įtemptą JK grūdų pasiūlos situaciją.</w:t>
            </w:r>
          </w:p>
          <w:p w14:paraId="0487BD2B" w14:textId="4D714110" w:rsidR="142E4BA4" w:rsidRDefault="142E4BA4" w:rsidP="2AC19007">
            <w:pPr>
              <w:jc w:val="both"/>
              <w:rPr>
                <w:sz w:val="20"/>
                <w:szCs w:val="20"/>
              </w:rPr>
            </w:pPr>
            <w:r w:rsidRPr="2AC19007">
              <w:rPr>
                <w:sz w:val="20"/>
                <w:szCs w:val="20"/>
              </w:rPr>
              <w:t>AHDB vertinimu, šių metų kviečių derlingumas yra apie 13 % mažesnis už penkerių metų vidurkį, vasarinių miežių – net 26 %, o avižų – apie 21 % mažesnis. Vasarinių miežių derlingumas gali būti prasčiausias nuo palyginamų duomenų pradžios 1999 m., o avižų – vienas prasčiausių per kelis dešimtmečius. Gerokai geresnė situacija tik rapsų sektoriuje – jų derlingumas yra apie 18 % didesnis už penkerių metų vidurkį.</w:t>
            </w:r>
          </w:p>
          <w:p w14:paraId="2B2FCAD0" w14:textId="082B0D1E" w:rsidR="142E4BA4" w:rsidRDefault="142E4BA4" w:rsidP="2AC19007">
            <w:pPr>
              <w:jc w:val="both"/>
              <w:rPr>
                <w:sz w:val="20"/>
                <w:szCs w:val="20"/>
              </w:rPr>
            </w:pPr>
            <w:r w:rsidRPr="2AC19007">
              <w:rPr>
                <w:sz w:val="20"/>
                <w:szCs w:val="20"/>
              </w:rPr>
              <w:t>Silpną 2026 m. derlių papildo ir neįprastai mažos pereinamosios grūdų atsargos. Birželio pabaigoje Anglijos ir Velso ūkiuose buvo laikoma tik apie 351 tūkst. tonų kviečių – 46 % mažiau nei prieš metus ir mažiausiai tokiu metų laiku nuo 2000 m. Miežių atsargos siekė apie 111 tūkst. tonų ir buvo 18 % mažesnės nei prieš metus.</w:t>
            </w:r>
          </w:p>
          <w:p w14:paraId="0ED6E9FA" w14:textId="1019AE0D" w:rsidR="142E4BA4" w:rsidRDefault="142E4BA4" w:rsidP="2AC19007">
            <w:pPr>
              <w:jc w:val="both"/>
              <w:rPr>
                <w:sz w:val="20"/>
                <w:szCs w:val="20"/>
              </w:rPr>
            </w:pPr>
            <w:r w:rsidRPr="2AC19007">
              <w:rPr>
                <w:sz w:val="20"/>
                <w:szCs w:val="20"/>
              </w:rPr>
              <w:lastRenderedPageBreak/>
              <w:t>JK pašarinių kviečių lapkričio ateities sandorių kaina taip pat pakilo iki maždaug £205/t, o JK kviečių kainos tapo šiek tiek aukštesnės už atitinkamas Paryžiaus kainas. Tai gali didinti importuojamų ES grūdų konkurencingumą JK rinkoje.</w:t>
            </w:r>
          </w:p>
        </w:tc>
        <w:tc>
          <w:tcPr>
            <w:tcW w:w="2148" w:type="dxa"/>
            <w:tcMar>
              <w:top w:w="29" w:type="dxa"/>
              <w:left w:w="115" w:type="dxa"/>
              <w:bottom w:w="29" w:type="dxa"/>
              <w:right w:w="115" w:type="dxa"/>
            </w:tcMar>
          </w:tcPr>
          <w:p w14:paraId="40AFFC77" w14:textId="4FFAA0AA" w:rsidR="142E4BA4" w:rsidRDefault="142E4BA4" w:rsidP="2AC19007">
            <w:pPr>
              <w:spacing w:before="195" w:after="195"/>
              <w:jc w:val="both"/>
              <w:rPr>
                <w:color w:val="0070C0"/>
              </w:rPr>
            </w:pPr>
            <w:hyperlink r:id="rId32">
              <w:r w:rsidRPr="2AC19007">
                <w:rPr>
                  <w:rStyle w:val="Hyperlink"/>
                  <w:color w:val="0070C0"/>
                </w:rPr>
                <w:t>Home | AHDB</w:t>
              </w:r>
            </w:hyperlink>
          </w:p>
          <w:p w14:paraId="40888811" w14:textId="1738BDA8" w:rsidR="2AC19007" w:rsidRDefault="2AC19007" w:rsidP="2AC19007">
            <w:pPr>
              <w:jc w:val="both"/>
              <w:rPr>
                <w:sz w:val="20"/>
                <w:szCs w:val="20"/>
                <w:u w:val="single"/>
              </w:rPr>
            </w:pPr>
          </w:p>
        </w:tc>
      </w:tr>
      <w:tr w:rsidR="2AC19007" w14:paraId="33627917" w14:textId="77777777" w:rsidTr="2AC19007">
        <w:trPr>
          <w:trHeight w:val="300"/>
        </w:trPr>
        <w:tc>
          <w:tcPr>
            <w:tcW w:w="776" w:type="dxa"/>
            <w:tcMar>
              <w:top w:w="29" w:type="dxa"/>
              <w:left w:w="115" w:type="dxa"/>
              <w:bottom w:w="29" w:type="dxa"/>
              <w:right w:w="115" w:type="dxa"/>
            </w:tcMar>
          </w:tcPr>
          <w:p w14:paraId="43A75119" w14:textId="73FA398C" w:rsidR="2AC19007" w:rsidRDefault="2AC19007" w:rsidP="2AC19007">
            <w:pPr>
              <w:jc w:val="both"/>
              <w:rPr>
                <w:sz w:val="20"/>
                <w:szCs w:val="20"/>
              </w:rPr>
            </w:pPr>
          </w:p>
        </w:tc>
        <w:tc>
          <w:tcPr>
            <w:tcW w:w="12322" w:type="dxa"/>
            <w:gridSpan w:val="2"/>
            <w:tcMar>
              <w:top w:w="29" w:type="dxa"/>
              <w:left w:w="115" w:type="dxa"/>
              <w:bottom w:w="29" w:type="dxa"/>
              <w:right w:w="115" w:type="dxa"/>
            </w:tcMar>
          </w:tcPr>
          <w:p w14:paraId="57092CF8" w14:textId="3E571B7B" w:rsidR="142E4BA4" w:rsidRDefault="142E4BA4" w:rsidP="2AC19007">
            <w:pPr>
              <w:jc w:val="both"/>
              <w:rPr>
                <w:sz w:val="20"/>
                <w:szCs w:val="20"/>
              </w:rPr>
            </w:pPr>
            <w:r w:rsidRPr="2AC19007">
              <w:rPr>
                <w:sz w:val="20"/>
                <w:szCs w:val="20"/>
              </w:rPr>
              <w:t>JK pieninių galvijų banda – mažiausia istorijoje</w:t>
            </w:r>
          </w:p>
          <w:p w14:paraId="53229D4E" w14:textId="28F2436E" w:rsidR="142E4BA4" w:rsidRDefault="142E4BA4" w:rsidP="2AC19007">
            <w:pPr>
              <w:jc w:val="both"/>
              <w:rPr>
                <w:sz w:val="20"/>
                <w:szCs w:val="20"/>
              </w:rPr>
            </w:pPr>
            <w:r w:rsidRPr="2AC19007">
              <w:rPr>
                <w:sz w:val="20"/>
                <w:szCs w:val="20"/>
              </w:rPr>
              <w:t>AHDB paskelbė, kad liepos 1 d. Didžiosios Britanijos pieninių karvių banda siekė 1,57 mln. gyvulių – 2,2 % mažiau nei prieš metus ir mažiausiai nuo šių duomenų rinkimo pradžios. Per metus banda sumažėjo maždaug 34,5 tūkst. karvių. Nepaisant to, pieno supirkimas padidėjo apie 3 %, o tai rodo didesnį produktyvumą.</w:t>
            </w:r>
          </w:p>
          <w:p w14:paraId="4D68D142" w14:textId="02B28B81" w:rsidR="142E4BA4" w:rsidRDefault="142E4BA4" w:rsidP="2AC19007">
            <w:pPr>
              <w:jc w:val="both"/>
              <w:rPr>
                <w:sz w:val="20"/>
                <w:szCs w:val="20"/>
              </w:rPr>
            </w:pPr>
            <w:r w:rsidRPr="2AC19007">
              <w:rPr>
                <w:sz w:val="20"/>
                <w:szCs w:val="20"/>
              </w:rPr>
              <w:t>Tačiau vasaros karščiai jau mažina pieno gamybą. AHDB duomenimis, per pastarąjį mėnesį didmeninė sviesto kaina padidėjo £130/t iki £3 450/t, lieso pieno miltelių – £110/t iki £2 470/t, o Cheddar – £10/t iki £3 060/t.</w:t>
            </w:r>
          </w:p>
          <w:p w14:paraId="5F682C62" w14:textId="52AE8A8B" w:rsidR="142E4BA4" w:rsidRDefault="142E4BA4" w:rsidP="2AC19007">
            <w:pPr>
              <w:jc w:val="both"/>
              <w:rPr>
                <w:sz w:val="20"/>
                <w:szCs w:val="20"/>
              </w:rPr>
            </w:pPr>
            <w:r w:rsidRPr="2AC19007">
              <w:rPr>
                <w:sz w:val="20"/>
                <w:szCs w:val="20"/>
              </w:rPr>
              <w:t>Ypač įdomi JK vartojimo tendencija – per paskutines 12 savaičių cottage cheese pardavimo apimtys išaugo net 43 %, o jogurto kategorija – 7,1 %. Tuo metu Cheddar paklausa mažėjo.</w:t>
            </w:r>
          </w:p>
          <w:p w14:paraId="2E98CF3F" w14:textId="63DF6375" w:rsidR="142E4BA4" w:rsidRDefault="142E4BA4" w:rsidP="2AC19007">
            <w:pPr>
              <w:jc w:val="both"/>
              <w:rPr>
                <w:sz w:val="20"/>
                <w:szCs w:val="20"/>
              </w:rPr>
            </w:pPr>
            <w:r w:rsidRPr="2AC19007">
              <w:rPr>
                <w:sz w:val="20"/>
                <w:szCs w:val="20"/>
              </w:rPr>
              <w:t>Tai dar vienas aiškus signalas apie augančią daug baltymų turinčių ir sveikesnių pieno produktų paklausą JK.</w:t>
            </w:r>
          </w:p>
        </w:tc>
        <w:tc>
          <w:tcPr>
            <w:tcW w:w="2148" w:type="dxa"/>
            <w:tcMar>
              <w:top w:w="29" w:type="dxa"/>
              <w:left w:w="115" w:type="dxa"/>
              <w:bottom w:w="29" w:type="dxa"/>
              <w:right w:w="115" w:type="dxa"/>
            </w:tcMar>
          </w:tcPr>
          <w:p w14:paraId="335F442B" w14:textId="32C82A14" w:rsidR="142E4BA4" w:rsidRDefault="142E4BA4" w:rsidP="2AC19007">
            <w:pPr>
              <w:spacing w:before="195" w:after="195"/>
              <w:jc w:val="both"/>
              <w:rPr>
                <w:color w:val="0070C0"/>
              </w:rPr>
            </w:pPr>
            <w:hyperlink r:id="rId33">
              <w:r w:rsidRPr="2AC19007">
                <w:rPr>
                  <w:rStyle w:val="Hyperlink"/>
                  <w:color w:val="0070C0"/>
                </w:rPr>
                <w:t>Home | AHDB</w:t>
              </w:r>
            </w:hyperlink>
          </w:p>
          <w:p w14:paraId="021DDBD4" w14:textId="58853ED9" w:rsidR="2AC19007" w:rsidRDefault="2AC19007" w:rsidP="2AC19007">
            <w:pPr>
              <w:jc w:val="both"/>
              <w:rPr>
                <w:sz w:val="20"/>
                <w:szCs w:val="20"/>
                <w:u w:val="single"/>
              </w:rPr>
            </w:pPr>
          </w:p>
        </w:tc>
      </w:tr>
      <w:tr w:rsidR="2AC19007" w14:paraId="4352FB3B" w14:textId="77777777" w:rsidTr="2AC19007">
        <w:trPr>
          <w:trHeight w:val="300"/>
        </w:trPr>
        <w:tc>
          <w:tcPr>
            <w:tcW w:w="776" w:type="dxa"/>
            <w:tcMar>
              <w:top w:w="29" w:type="dxa"/>
              <w:left w:w="115" w:type="dxa"/>
              <w:bottom w:w="29" w:type="dxa"/>
              <w:right w:w="115" w:type="dxa"/>
            </w:tcMar>
          </w:tcPr>
          <w:p w14:paraId="0278F99C" w14:textId="42A08117" w:rsidR="5DA7CD91" w:rsidRDefault="5DA7CD91" w:rsidP="2AC19007">
            <w:pPr>
              <w:jc w:val="both"/>
            </w:pPr>
            <w:r w:rsidRPr="2AC19007">
              <w:rPr>
                <w:sz w:val="20"/>
                <w:szCs w:val="20"/>
              </w:rPr>
              <w:t>18/08</w:t>
            </w:r>
          </w:p>
        </w:tc>
        <w:tc>
          <w:tcPr>
            <w:tcW w:w="12322" w:type="dxa"/>
            <w:gridSpan w:val="2"/>
            <w:tcMar>
              <w:top w:w="29" w:type="dxa"/>
              <w:left w:w="115" w:type="dxa"/>
              <w:bottom w:w="29" w:type="dxa"/>
              <w:right w:w="115" w:type="dxa"/>
            </w:tcMar>
          </w:tcPr>
          <w:p w14:paraId="28E492FC" w14:textId="22253EE9" w:rsidR="29D433AA" w:rsidRDefault="29D433AA" w:rsidP="2AC19007">
            <w:pPr>
              <w:jc w:val="both"/>
              <w:rPr>
                <w:sz w:val="20"/>
                <w:szCs w:val="20"/>
              </w:rPr>
            </w:pPr>
            <w:r w:rsidRPr="2AC19007">
              <w:rPr>
                <w:sz w:val="20"/>
                <w:szCs w:val="20"/>
              </w:rPr>
              <w:t>Diageo mažina beveik 2 000 darbuotojų</w:t>
            </w:r>
          </w:p>
          <w:p w14:paraId="68A65FFD" w14:textId="74C6430D" w:rsidR="29D433AA" w:rsidRDefault="29D433AA" w:rsidP="2AC19007">
            <w:pPr>
              <w:jc w:val="both"/>
              <w:rPr>
                <w:sz w:val="20"/>
                <w:szCs w:val="20"/>
              </w:rPr>
            </w:pPr>
            <w:r w:rsidRPr="2AC19007">
              <w:rPr>
                <w:sz w:val="20"/>
                <w:szCs w:val="20"/>
              </w:rPr>
              <w:t>Vienos didžiausių pasaulio alkoholinių gėrimų bendrovių Diageo darbuotojų skaičius per metus sumažėjo daugiau kaip 6 % – beveik 2 000 žmonių. Pokyčiai yra platesnės restruktūrizavimo programos dalis, kuria per trejus metus siekiama sutaupyti apie 1 mlrd. Eur.</w:t>
            </w:r>
          </w:p>
          <w:p w14:paraId="4121DBF0" w14:textId="7D6563F2" w:rsidR="29D433AA" w:rsidRDefault="29D433AA" w:rsidP="2AC19007">
            <w:pPr>
              <w:jc w:val="both"/>
              <w:rPr>
                <w:sz w:val="20"/>
                <w:szCs w:val="20"/>
              </w:rPr>
            </w:pPr>
            <w:r w:rsidRPr="2AC19007">
              <w:rPr>
                <w:sz w:val="20"/>
                <w:szCs w:val="20"/>
              </w:rPr>
              <w:t>Tai atspindi sudėtingesnę tradicinių alkoholinių gėrimų rinką ir besikeičiančius vartotojų įpročius. Tuo pat metu sparčiai auga nealkoholinio alaus, mažesnio alkoholio kiekio ir ready-to-drink gėrimų segmentai.</w:t>
            </w:r>
          </w:p>
          <w:p w14:paraId="04E20DB2" w14:textId="3730DC35" w:rsidR="29D433AA" w:rsidRDefault="29D433AA" w:rsidP="2AC19007">
            <w:pPr>
              <w:jc w:val="both"/>
              <w:rPr>
                <w:sz w:val="20"/>
                <w:szCs w:val="20"/>
              </w:rPr>
            </w:pPr>
            <w:r w:rsidRPr="2AC19007">
              <w:rPr>
                <w:sz w:val="20"/>
                <w:szCs w:val="20"/>
              </w:rPr>
              <w:t>Lietuvos gėrimų gamintojams tai verta stebėti kaip ilgalaikę JK rinkos kryptį.</w:t>
            </w:r>
          </w:p>
        </w:tc>
        <w:tc>
          <w:tcPr>
            <w:tcW w:w="2148" w:type="dxa"/>
            <w:tcMar>
              <w:top w:w="29" w:type="dxa"/>
              <w:left w:w="115" w:type="dxa"/>
              <w:bottom w:w="29" w:type="dxa"/>
              <w:right w:w="115" w:type="dxa"/>
            </w:tcMar>
          </w:tcPr>
          <w:p w14:paraId="1B77DD01" w14:textId="553A882B" w:rsidR="29D433AA" w:rsidRDefault="29D433AA" w:rsidP="2AC19007">
            <w:pPr>
              <w:spacing w:before="195" w:after="195"/>
              <w:jc w:val="both"/>
              <w:rPr>
                <w:color w:val="0070C0"/>
              </w:rPr>
            </w:pPr>
            <w:hyperlink r:id="rId34">
              <w:r w:rsidRPr="2AC19007">
                <w:rPr>
                  <w:rStyle w:val="Hyperlink"/>
                  <w:color w:val="0070C0"/>
                </w:rPr>
                <w:t>Diageo sheds nearly2,000 jobs as 'DrasticDave' leads overhaul | Reuters</w:t>
              </w:r>
            </w:hyperlink>
          </w:p>
          <w:p w14:paraId="48DE331C" w14:textId="5D29C3ED" w:rsidR="2AC19007" w:rsidRDefault="2AC19007" w:rsidP="2AC19007">
            <w:pPr>
              <w:jc w:val="both"/>
            </w:pPr>
          </w:p>
        </w:tc>
      </w:tr>
      <w:tr w:rsidR="2AC19007" w14:paraId="173981FE" w14:textId="77777777" w:rsidTr="2AC19007">
        <w:trPr>
          <w:trHeight w:val="300"/>
        </w:trPr>
        <w:tc>
          <w:tcPr>
            <w:tcW w:w="776" w:type="dxa"/>
            <w:tcMar>
              <w:top w:w="29" w:type="dxa"/>
              <w:left w:w="115" w:type="dxa"/>
              <w:bottom w:w="29" w:type="dxa"/>
              <w:right w:w="115" w:type="dxa"/>
            </w:tcMar>
          </w:tcPr>
          <w:p w14:paraId="52E86B86" w14:textId="2D3498AA" w:rsidR="5D4844FE" w:rsidRDefault="5D4844FE" w:rsidP="2AC19007">
            <w:pPr>
              <w:jc w:val="both"/>
            </w:pPr>
            <w:r w:rsidRPr="2AC19007">
              <w:rPr>
                <w:sz w:val="20"/>
                <w:szCs w:val="20"/>
              </w:rPr>
              <w:t>17/08</w:t>
            </w:r>
          </w:p>
        </w:tc>
        <w:tc>
          <w:tcPr>
            <w:tcW w:w="12322" w:type="dxa"/>
            <w:gridSpan w:val="2"/>
            <w:tcMar>
              <w:top w:w="29" w:type="dxa"/>
              <w:left w:w="115" w:type="dxa"/>
              <w:bottom w:w="29" w:type="dxa"/>
              <w:right w:w="115" w:type="dxa"/>
            </w:tcMar>
          </w:tcPr>
          <w:p w14:paraId="68C5C296" w14:textId="7B98B780" w:rsidR="29D433AA" w:rsidRDefault="29D433AA" w:rsidP="2AC19007">
            <w:pPr>
              <w:jc w:val="both"/>
              <w:rPr>
                <w:sz w:val="20"/>
                <w:szCs w:val="20"/>
              </w:rPr>
            </w:pPr>
            <w:r w:rsidRPr="2AC19007">
              <w:rPr>
                <w:sz w:val="20"/>
                <w:szCs w:val="20"/>
              </w:rPr>
              <w:t>Valiutų svyravimai spaudžia JK maisto gamintojų pelningumą</w:t>
            </w:r>
          </w:p>
          <w:p w14:paraId="5132E2B2" w14:textId="3CE48A9C" w:rsidR="29D433AA" w:rsidRDefault="29D433AA" w:rsidP="2AC19007">
            <w:pPr>
              <w:jc w:val="both"/>
              <w:rPr>
                <w:sz w:val="20"/>
                <w:szCs w:val="20"/>
              </w:rPr>
            </w:pPr>
            <w:r w:rsidRPr="2AC19007">
              <w:rPr>
                <w:sz w:val="20"/>
                <w:szCs w:val="20"/>
              </w:rPr>
              <w:t>Nauja JK maisto ir gėrimų sektoriaus finansų vadovų apklausa rodo, kad valiutų svyravimai per pastaruosius metus vidutiniškai sumažino įmonių pelno maržas apie 3,3 procentinio punkto. Esant vidutinei maždaug 11,7 % grynojo pelno maržai, tai yra labai reikšmingas poveikis.</w:t>
            </w:r>
          </w:p>
          <w:p w14:paraId="1F5AAA11" w14:textId="71EBFC27" w:rsidR="29D433AA" w:rsidRDefault="29D433AA" w:rsidP="2AC19007">
            <w:pPr>
              <w:jc w:val="both"/>
              <w:rPr>
                <w:sz w:val="20"/>
                <w:szCs w:val="20"/>
              </w:rPr>
            </w:pPr>
            <w:r w:rsidRPr="2AC19007">
              <w:rPr>
                <w:sz w:val="20"/>
                <w:szCs w:val="20"/>
              </w:rPr>
              <w:t>Ši tema tiesiogiai aktuali Lietuvos eksportuotojams. GBP/EUR kursas daro įtaką JK importuotojų pirkimo kainoms ir jų galimybėms priimti ES tiekėjų kainų didinimą, todėl valiutų tendencijas verta vertinti kartu su maisto kainomis ir JK mažmeninės prekybos situacija.</w:t>
            </w:r>
          </w:p>
        </w:tc>
        <w:tc>
          <w:tcPr>
            <w:tcW w:w="2148" w:type="dxa"/>
            <w:tcMar>
              <w:top w:w="29" w:type="dxa"/>
              <w:left w:w="115" w:type="dxa"/>
              <w:bottom w:w="29" w:type="dxa"/>
              <w:right w:w="115" w:type="dxa"/>
            </w:tcMar>
          </w:tcPr>
          <w:p w14:paraId="03DE6637" w14:textId="2B4337C3" w:rsidR="0F0805C6" w:rsidRDefault="0F0805C6" w:rsidP="2AC19007">
            <w:pPr>
              <w:jc w:val="both"/>
              <w:rPr>
                <w:color w:val="0070C0"/>
              </w:rPr>
            </w:pPr>
            <w:hyperlink r:id="rId35">
              <w:r w:rsidRPr="2AC19007">
                <w:rPr>
                  <w:rStyle w:val="Hyperlink"/>
                  <w:color w:val="0070C0"/>
                </w:rPr>
                <w:t>UK manufacturing profit margins slashed by a third due to FX risks</w:t>
              </w:r>
            </w:hyperlink>
            <w:r w:rsidRPr="2AC19007">
              <w:rPr>
                <w:color w:val="0070C0"/>
              </w:rPr>
              <w:t xml:space="preserve"> </w:t>
            </w:r>
          </w:p>
        </w:tc>
      </w:tr>
      <w:tr w:rsidR="085EE119" w14:paraId="2B0AB099" w14:textId="77777777" w:rsidTr="2AC19007">
        <w:tc>
          <w:tcPr>
            <w:tcW w:w="776" w:type="dxa"/>
            <w:tcMar>
              <w:top w:w="29" w:type="dxa"/>
              <w:left w:w="115" w:type="dxa"/>
              <w:bottom w:w="29" w:type="dxa"/>
              <w:right w:w="115" w:type="dxa"/>
            </w:tcMar>
          </w:tcPr>
          <w:p w14:paraId="30D21D20" w14:textId="59DB5ED6" w:rsidR="085EE119" w:rsidRDefault="2C6E3B64" w:rsidP="085EE119">
            <w:pPr>
              <w:spacing w:after="0"/>
              <w:jc w:val="both"/>
            </w:pPr>
            <w:r w:rsidRPr="2AC19007">
              <w:rPr>
                <w:sz w:val="20"/>
                <w:szCs w:val="20"/>
              </w:rPr>
              <w:t>31/08</w:t>
            </w:r>
          </w:p>
        </w:tc>
        <w:tc>
          <w:tcPr>
            <w:tcW w:w="12322" w:type="dxa"/>
            <w:gridSpan w:val="2"/>
            <w:tcMar>
              <w:top w:w="29" w:type="dxa"/>
              <w:left w:w="115" w:type="dxa"/>
              <w:bottom w:w="29" w:type="dxa"/>
              <w:right w:w="115" w:type="dxa"/>
            </w:tcMar>
          </w:tcPr>
          <w:p w14:paraId="49E2A52B" w14:textId="5B9091B9" w:rsidR="338CE3C2" w:rsidRDefault="338CE3C2" w:rsidP="2AC19007">
            <w:pPr>
              <w:spacing w:after="0"/>
              <w:jc w:val="both"/>
              <w:rPr>
                <w:sz w:val="20"/>
                <w:szCs w:val="20"/>
              </w:rPr>
            </w:pPr>
            <w:r w:rsidRPr="2AC19007">
              <w:rPr>
                <w:sz w:val="20"/>
                <w:szCs w:val="20"/>
              </w:rPr>
              <w:t>Mėlynojo liežuvio ligos MLL (Bluetongue) – spartus BTV-3 plitimas JK</w:t>
            </w:r>
          </w:p>
          <w:p w14:paraId="716E0483" w14:textId="51B91778" w:rsidR="338CE3C2" w:rsidRDefault="338CE3C2" w:rsidP="2AC19007">
            <w:pPr>
              <w:spacing w:after="0"/>
              <w:jc w:val="both"/>
              <w:rPr>
                <w:sz w:val="20"/>
                <w:szCs w:val="20"/>
              </w:rPr>
            </w:pPr>
            <w:r w:rsidRPr="2AC19007">
              <w:rPr>
                <w:sz w:val="20"/>
                <w:szCs w:val="20"/>
              </w:rPr>
              <w:t xml:space="preserve"> </w:t>
            </w:r>
          </w:p>
          <w:p w14:paraId="28CD21E3" w14:textId="1851228C" w:rsidR="338CE3C2" w:rsidRDefault="338CE3C2" w:rsidP="2AC19007">
            <w:pPr>
              <w:spacing w:after="0"/>
              <w:jc w:val="both"/>
              <w:rPr>
                <w:sz w:val="20"/>
                <w:szCs w:val="20"/>
              </w:rPr>
            </w:pPr>
            <w:r w:rsidRPr="2AC19007">
              <w:rPr>
                <w:sz w:val="20"/>
                <w:szCs w:val="20"/>
              </w:rPr>
              <w:t>Bluetongue (BTV-3) situacija JK per pastarąsias dvi savaites smarkiai pablogėjo. Iki rugpjūčio 25 d. 2026/27 sezono metu jau buvo patvirtinta 650 atvejų ūkiuose – 599 Anglijoje, 40 Velse ir 11 Škotijoje. Dar apie 2 460 įtariamų atvejų buvo tiriama.</w:t>
            </w:r>
          </w:p>
          <w:p w14:paraId="6B5F60C3" w14:textId="5854884E" w:rsidR="338CE3C2" w:rsidRDefault="338CE3C2" w:rsidP="2AC19007">
            <w:pPr>
              <w:spacing w:after="0"/>
              <w:jc w:val="both"/>
              <w:rPr>
                <w:sz w:val="20"/>
                <w:szCs w:val="20"/>
              </w:rPr>
            </w:pPr>
            <w:r w:rsidRPr="2AC19007">
              <w:rPr>
                <w:sz w:val="20"/>
                <w:szCs w:val="20"/>
              </w:rPr>
              <w:lastRenderedPageBreak/>
              <w:t>Didžiausias protrūkio mastas fiksuojamas pietvakarių Anglijoje – ypač Devone, Kornvalyje ir Somersete – tačiau liga jau išplito į gerokai platesnę teritoriją, įskaitant Velsą ir pietvakarių Škotiją. Visa Anglija ir Velsas yra bluetongue ribojimo zonose, o pietvakarių Škotijoje rugpjūčio 20 d. nustatyta laikina kontrolės zona.</w:t>
            </w:r>
          </w:p>
          <w:p w14:paraId="10F1351B" w14:textId="6BD2FB4A" w:rsidR="338CE3C2" w:rsidRDefault="338CE3C2" w:rsidP="2AC19007">
            <w:pPr>
              <w:spacing w:after="0"/>
              <w:jc w:val="both"/>
              <w:rPr>
                <w:sz w:val="20"/>
                <w:szCs w:val="20"/>
              </w:rPr>
            </w:pPr>
            <w:r w:rsidRPr="2AC19007">
              <w:rPr>
                <w:sz w:val="20"/>
                <w:szCs w:val="20"/>
              </w:rPr>
              <w:t>Dėl precedento neturinčio tyrimų masto APHA papildomai pradėjo vykdyti diagnostinius tyrimus Weybridgelaboratorijoje, greta Pirbright Institute.</w:t>
            </w:r>
          </w:p>
          <w:p w14:paraId="4D375129" w14:textId="7E22A7AC" w:rsidR="338CE3C2" w:rsidRDefault="338CE3C2" w:rsidP="2AC19007">
            <w:pPr>
              <w:spacing w:after="0"/>
              <w:jc w:val="both"/>
              <w:rPr>
                <w:sz w:val="20"/>
                <w:szCs w:val="20"/>
              </w:rPr>
            </w:pPr>
            <w:r w:rsidRPr="2AC19007">
              <w:rPr>
                <w:sz w:val="20"/>
                <w:szCs w:val="20"/>
              </w:rPr>
              <w:t>Bluetongue nėra pavojinga žmonėms ir nėra maisto saugos problema, tačiau protrūkis svarbus gyvų galvijų ir avių, veislinių gyvūnų, spermos ir embrionų judėjimui, prekybai bei veterinariniam sertifikavimui. Lietuvos maisto produktų eksportui tiesioginė rizika nedidelė, tačiau situaciją verta toliau atidžiai stebėti dėl galimų prekybos ir sertifikavimo sąlygų pokyčių.</w:t>
            </w:r>
          </w:p>
        </w:tc>
        <w:tc>
          <w:tcPr>
            <w:tcW w:w="2148" w:type="dxa"/>
            <w:tcMar>
              <w:top w:w="29" w:type="dxa"/>
              <w:left w:w="115" w:type="dxa"/>
              <w:bottom w:w="29" w:type="dxa"/>
              <w:right w:w="115" w:type="dxa"/>
            </w:tcMar>
          </w:tcPr>
          <w:p w14:paraId="4676CCFC" w14:textId="3710DD92" w:rsidR="338CE3C2" w:rsidRDefault="338CE3C2" w:rsidP="2AC19007">
            <w:pPr>
              <w:spacing w:before="195" w:after="195"/>
              <w:jc w:val="both"/>
              <w:rPr>
                <w:color w:val="0070C0"/>
              </w:rPr>
            </w:pPr>
            <w:hyperlink r:id="rId36">
              <w:r w:rsidRPr="2AC19007">
                <w:rPr>
                  <w:rStyle w:val="Hyperlink"/>
                  <w:color w:val="0070C0"/>
                </w:rPr>
                <w:t>Bluetongue: latestsituation - GOV.UK</w:t>
              </w:r>
            </w:hyperlink>
          </w:p>
          <w:p w14:paraId="3A678298" w14:textId="0F644F73" w:rsidR="085EE119" w:rsidRDefault="085EE119" w:rsidP="2AC19007">
            <w:pPr>
              <w:spacing w:after="0"/>
              <w:jc w:val="both"/>
              <w:rPr>
                <w:sz w:val="20"/>
                <w:szCs w:val="20"/>
              </w:rPr>
            </w:pPr>
          </w:p>
        </w:tc>
      </w:tr>
      <w:tr w:rsidR="085EE119" w14:paraId="05332CB7" w14:textId="77777777" w:rsidTr="2AC19007">
        <w:trPr>
          <w:trHeight w:val="300"/>
        </w:trPr>
        <w:tc>
          <w:tcPr>
            <w:tcW w:w="776" w:type="dxa"/>
            <w:tcMar>
              <w:top w:w="29" w:type="dxa"/>
              <w:left w:w="115" w:type="dxa"/>
              <w:bottom w:w="29" w:type="dxa"/>
              <w:right w:w="115" w:type="dxa"/>
            </w:tcMar>
          </w:tcPr>
          <w:p w14:paraId="6ABF0BA7" w14:textId="01788E5A" w:rsidR="085EE119" w:rsidRDefault="085EE119" w:rsidP="085EE119">
            <w:pPr>
              <w:jc w:val="both"/>
              <w:rPr>
                <w:sz w:val="20"/>
                <w:szCs w:val="20"/>
              </w:rPr>
            </w:pPr>
          </w:p>
        </w:tc>
        <w:tc>
          <w:tcPr>
            <w:tcW w:w="12322" w:type="dxa"/>
            <w:gridSpan w:val="2"/>
            <w:tcMar>
              <w:top w:w="29" w:type="dxa"/>
              <w:left w:w="115" w:type="dxa"/>
              <w:bottom w:w="29" w:type="dxa"/>
              <w:right w:w="115" w:type="dxa"/>
            </w:tcMar>
          </w:tcPr>
          <w:p w14:paraId="31E2BA9E" w14:textId="5D261FCE" w:rsidR="29D433AA" w:rsidRDefault="29D433AA" w:rsidP="2AC19007">
            <w:pPr>
              <w:jc w:val="both"/>
              <w:rPr>
                <w:sz w:val="20"/>
                <w:szCs w:val="20"/>
              </w:rPr>
            </w:pPr>
            <w:r w:rsidRPr="2AC19007">
              <w:rPr>
                <w:sz w:val="20"/>
                <w:szCs w:val="20"/>
              </w:rPr>
              <w:t>Danone gavo leidimą įsigyti Huel</w:t>
            </w:r>
          </w:p>
          <w:p w14:paraId="2A39289C" w14:textId="22356B07" w:rsidR="29D433AA" w:rsidRDefault="29D433AA" w:rsidP="2AC19007">
            <w:pPr>
              <w:jc w:val="both"/>
              <w:rPr>
                <w:sz w:val="20"/>
                <w:szCs w:val="20"/>
              </w:rPr>
            </w:pPr>
            <w:r w:rsidRPr="2AC19007">
              <w:rPr>
                <w:sz w:val="20"/>
                <w:szCs w:val="20"/>
              </w:rPr>
              <w:t>JK konkurencijos institucija CMA šią savaitę suteikė leidimą Danone įsigyti britų Huel už maždaug £860–870 mln. Huel yra vienas sėkmingiausių JK pastarojo dešimtmečio maisto prekės ženklų, orientuotas į visavertės mitybos produktus, baltyminius gėrimus ir patogų vartojimą.</w:t>
            </w:r>
          </w:p>
          <w:p w14:paraId="34C40350" w14:textId="30A6FD91" w:rsidR="29D433AA" w:rsidRDefault="29D433AA" w:rsidP="2AC19007">
            <w:pPr>
              <w:jc w:val="both"/>
              <w:rPr>
                <w:sz w:val="20"/>
                <w:szCs w:val="20"/>
              </w:rPr>
            </w:pPr>
            <w:r w:rsidRPr="2AC19007">
              <w:rPr>
                <w:sz w:val="20"/>
                <w:szCs w:val="20"/>
              </w:rPr>
              <w:t>Sandoris yra įdomus platesniu rinkos požiūriu – didieji tarptautiniai maisto koncernai vis aktyviau investuoja į funkcinės mitybos, daug baltymų turinčių ir sveikesnių patogių vartoti produktų segmentus.</w:t>
            </w:r>
          </w:p>
          <w:p w14:paraId="1548657B" w14:textId="09B53C0B" w:rsidR="29D433AA" w:rsidRDefault="29D433AA" w:rsidP="2AC19007">
            <w:pPr>
              <w:jc w:val="both"/>
              <w:rPr>
                <w:sz w:val="20"/>
                <w:szCs w:val="20"/>
              </w:rPr>
            </w:pPr>
            <w:r w:rsidRPr="2AC19007">
              <w:rPr>
                <w:sz w:val="20"/>
                <w:szCs w:val="20"/>
              </w:rPr>
              <w:t>Lietuvos gamintojams tai aktuali kryptis vystant baltyminius pieno produktus, gėrimus, užkandžius ir kitus aukštesnės pridėtinės vertės produktus.</w:t>
            </w:r>
          </w:p>
        </w:tc>
        <w:tc>
          <w:tcPr>
            <w:tcW w:w="2148" w:type="dxa"/>
            <w:tcMar>
              <w:top w:w="29" w:type="dxa"/>
              <w:left w:w="115" w:type="dxa"/>
              <w:bottom w:w="29" w:type="dxa"/>
              <w:right w:w="115" w:type="dxa"/>
            </w:tcMar>
          </w:tcPr>
          <w:p w14:paraId="55F7360B" w14:textId="49FA0994" w:rsidR="29D433AA" w:rsidRDefault="29D433AA" w:rsidP="2AC19007">
            <w:pPr>
              <w:spacing w:before="195" w:after="195"/>
              <w:jc w:val="both"/>
              <w:rPr>
                <w:color w:val="0070C0"/>
              </w:rPr>
            </w:pPr>
            <w:hyperlink r:id="rId37">
              <w:r w:rsidRPr="2AC19007">
                <w:rPr>
                  <w:rStyle w:val="Hyperlink"/>
                  <w:color w:val="0070C0"/>
                </w:rPr>
                <w:t>Competition andMarkets Authority - GOV.UK</w:t>
              </w:r>
            </w:hyperlink>
          </w:p>
          <w:p w14:paraId="29FFA318" w14:textId="2438A2D4" w:rsidR="085EE119" w:rsidRDefault="085EE119" w:rsidP="2AC19007">
            <w:pPr>
              <w:jc w:val="both"/>
              <w:rPr>
                <w:u w:val="single"/>
              </w:rPr>
            </w:pPr>
          </w:p>
        </w:tc>
      </w:tr>
      <w:tr w:rsidR="549A126F" w14:paraId="6D2491EB" w14:textId="77777777" w:rsidTr="2AC19007">
        <w:tc>
          <w:tcPr>
            <w:tcW w:w="776" w:type="dxa"/>
            <w:tcMar>
              <w:top w:w="29" w:type="dxa"/>
              <w:left w:w="115" w:type="dxa"/>
              <w:bottom w:w="29" w:type="dxa"/>
              <w:right w:w="115" w:type="dxa"/>
            </w:tcMar>
          </w:tcPr>
          <w:p w14:paraId="18BF7F0F" w14:textId="1485DFE2" w:rsidR="143A8FDD" w:rsidRDefault="290005A5" w:rsidP="549A126F">
            <w:pPr>
              <w:spacing w:after="0"/>
              <w:jc w:val="both"/>
            </w:pPr>
            <w:r w:rsidRPr="2AC19007">
              <w:rPr>
                <w:sz w:val="20"/>
                <w:szCs w:val="20"/>
              </w:rPr>
              <w:t>1</w:t>
            </w:r>
            <w:r w:rsidR="30FAE393" w:rsidRPr="2AC19007">
              <w:rPr>
                <w:sz w:val="20"/>
                <w:szCs w:val="20"/>
              </w:rPr>
              <w:t>8</w:t>
            </w:r>
            <w:r w:rsidRPr="2AC19007">
              <w:rPr>
                <w:sz w:val="20"/>
                <w:szCs w:val="20"/>
              </w:rPr>
              <w:t>/08</w:t>
            </w:r>
          </w:p>
        </w:tc>
        <w:tc>
          <w:tcPr>
            <w:tcW w:w="12322" w:type="dxa"/>
            <w:gridSpan w:val="2"/>
            <w:tcMar>
              <w:top w:w="29" w:type="dxa"/>
              <w:left w:w="115" w:type="dxa"/>
              <w:bottom w:w="29" w:type="dxa"/>
              <w:right w:w="115" w:type="dxa"/>
            </w:tcMar>
          </w:tcPr>
          <w:p w14:paraId="37CAA69E" w14:textId="2AC422AC" w:rsidR="143A8FDD" w:rsidRDefault="1D94F40D" w:rsidP="549A126F">
            <w:pPr>
              <w:spacing w:after="0"/>
              <w:jc w:val="both"/>
            </w:pPr>
            <w:r w:rsidRPr="085EE119">
              <w:rPr>
                <w:sz w:val="20"/>
                <w:szCs w:val="20"/>
              </w:rPr>
              <w:t>J</w:t>
            </w:r>
            <w:r w:rsidR="290005A5" w:rsidRPr="085EE119">
              <w:rPr>
                <w:sz w:val="20"/>
                <w:szCs w:val="20"/>
              </w:rPr>
              <w:t>K ir E</w:t>
            </w:r>
            <w:r w:rsidR="6F4E047A" w:rsidRPr="085EE119">
              <w:rPr>
                <w:sz w:val="20"/>
                <w:szCs w:val="20"/>
              </w:rPr>
              <w:t>S</w:t>
            </w:r>
            <w:r w:rsidR="290005A5" w:rsidRPr="085EE119">
              <w:rPr>
                <w:sz w:val="20"/>
                <w:szCs w:val="20"/>
              </w:rPr>
              <w:t xml:space="preserve"> ekonominiai santykiai. Prieš rudenį numatomą UK ir EU aukščiausiojo lygio susitikimą išlieka nesutarimų dėl siūlomos jaunimo mobilumo programos EU valstybės narės siekia didesnės nei 100 tūkst. metinės dalyvių ribos, palyginti su anksčiau UK siūlyta maždaug 50 tūkst. riba, taip pat mažesnių studijų mokesčių EU studentams. Tuo pat metu derybose artėjama prie susitarimų dėl prekybos žemės ūkio ir maisto produktais kliūčių mažinimo ir UK bei EU apyvartinių taršos leidimų prekybos sistemų susiejimo.</w:t>
            </w:r>
          </w:p>
        </w:tc>
        <w:tc>
          <w:tcPr>
            <w:tcW w:w="2148" w:type="dxa"/>
            <w:tcMar>
              <w:top w:w="29" w:type="dxa"/>
              <w:left w:w="115" w:type="dxa"/>
              <w:bottom w:w="29" w:type="dxa"/>
              <w:right w:w="115" w:type="dxa"/>
            </w:tcMar>
          </w:tcPr>
          <w:p w14:paraId="7F798029" w14:textId="0BE9DD25" w:rsidR="143A8FDD" w:rsidRDefault="705EE99C" w:rsidP="4954557E">
            <w:pPr>
              <w:spacing w:after="0"/>
              <w:jc w:val="both"/>
            </w:pPr>
            <w:hyperlink r:id="rId38">
              <w:r w:rsidRPr="2AC19007">
                <w:rPr>
                  <w:rStyle w:val="Hyperlink"/>
                  <w:lang w:val="en-US"/>
                </w:rPr>
                <w:t>Andy Burnham faces EU clash over youth scheme as summit looms</w:t>
              </w:r>
            </w:hyperlink>
          </w:p>
        </w:tc>
      </w:tr>
      <w:tr w:rsidR="002A5780" w14:paraId="24DE0A54" w14:textId="77777777" w:rsidTr="2AC19007">
        <w:trPr>
          <w:trHeight w:val="472"/>
        </w:trPr>
        <w:tc>
          <w:tcPr>
            <w:tcW w:w="15246" w:type="dxa"/>
            <w:gridSpan w:val="4"/>
            <w:shd w:val="clear" w:color="auto" w:fill="DEEAF6"/>
            <w:tcMar>
              <w:top w:w="29" w:type="dxa"/>
              <w:left w:w="115" w:type="dxa"/>
              <w:bottom w:w="29" w:type="dxa"/>
              <w:right w:w="115" w:type="dxa"/>
            </w:tcMar>
          </w:tcPr>
          <w:p w14:paraId="00000066" w14:textId="77777777" w:rsidR="002A5780" w:rsidRDefault="00D91955">
            <w:pPr>
              <w:spacing w:after="0"/>
              <w:rPr>
                <w:color w:val="0563C1"/>
                <w:u w:val="single"/>
              </w:rPr>
            </w:pPr>
            <w:r>
              <w:rPr>
                <w:b/>
                <w:bCs/>
              </w:rPr>
              <w:t>Lietuvos turizmo sektoriui aktuali informacija</w:t>
            </w:r>
          </w:p>
        </w:tc>
      </w:tr>
      <w:tr w:rsidR="002A5780" w14:paraId="02EB378F" w14:textId="77777777" w:rsidTr="2AC19007">
        <w:tc>
          <w:tcPr>
            <w:tcW w:w="776" w:type="dxa"/>
            <w:tcMar>
              <w:top w:w="29" w:type="dxa"/>
              <w:left w:w="115" w:type="dxa"/>
              <w:bottom w:w="29" w:type="dxa"/>
              <w:right w:w="115" w:type="dxa"/>
            </w:tcMar>
          </w:tcPr>
          <w:p w14:paraId="0000006A"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6B" w14:textId="77777777" w:rsidR="002A5780" w:rsidRDefault="002A5780">
            <w:pPr>
              <w:spacing w:after="0"/>
              <w:jc w:val="both"/>
              <w:rPr>
                <w:sz w:val="20"/>
                <w:szCs w:val="20"/>
              </w:rPr>
            </w:pPr>
          </w:p>
        </w:tc>
        <w:tc>
          <w:tcPr>
            <w:tcW w:w="2148" w:type="dxa"/>
            <w:tcMar>
              <w:top w:w="29" w:type="dxa"/>
              <w:left w:w="115" w:type="dxa"/>
              <w:bottom w:w="29" w:type="dxa"/>
              <w:right w:w="115" w:type="dxa"/>
            </w:tcMar>
          </w:tcPr>
          <w:p w14:paraId="0000006D" w14:textId="77777777" w:rsidR="002A5780" w:rsidRDefault="002A5780">
            <w:pPr>
              <w:spacing w:after="0"/>
              <w:jc w:val="both"/>
              <w:rPr>
                <w:sz w:val="20"/>
                <w:szCs w:val="20"/>
              </w:rPr>
            </w:pPr>
          </w:p>
        </w:tc>
      </w:tr>
      <w:tr w:rsidR="002A5780" w14:paraId="6A05A809" w14:textId="77777777" w:rsidTr="2AC19007">
        <w:tc>
          <w:tcPr>
            <w:tcW w:w="776" w:type="dxa"/>
            <w:tcMar>
              <w:top w:w="29" w:type="dxa"/>
              <w:left w:w="115" w:type="dxa"/>
              <w:bottom w:w="29" w:type="dxa"/>
              <w:right w:w="115" w:type="dxa"/>
            </w:tcMar>
          </w:tcPr>
          <w:p w14:paraId="0000006E"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6F" w14:textId="77777777" w:rsidR="002A5780" w:rsidRDefault="002A5780">
            <w:pPr>
              <w:spacing w:after="0"/>
              <w:jc w:val="both"/>
              <w:rPr>
                <w:sz w:val="20"/>
                <w:szCs w:val="20"/>
              </w:rPr>
            </w:pPr>
          </w:p>
        </w:tc>
        <w:tc>
          <w:tcPr>
            <w:tcW w:w="2148" w:type="dxa"/>
            <w:tcMar>
              <w:top w:w="29" w:type="dxa"/>
              <w:left w:w="115" w:type="dxa"/>
              <w:bottom w:w="29" w:type="dxa"/>
              <w:right w:w="115" w:type="dxa"/>
            </w:tcMar>
          </w:tcPr>
          <w:p w14:paraId="00000071" w14:textId="77777777" w:rsidR="002A5780" w:rsidRDefault="002A5780">
            <w:pPr>
              <w:spacing w:after="0"/>
              <w:jc w:val="both"/>
            </w:pPr>
          </w:p>
        </w:tc>
      </w:tr>
      <w:tr w:rsidR="002A5780" w14:paraId="5A39BBE3" w14:textId="77777777" w:rsidTr="2AC19007">
        <w:tc>
          <w:tcPr>
            <w:tcW w:w="776" w:type="dxa"/>
            <w:tcMar>
              <w:top w:w="29" w:type="dxa"/>
              <w:left w:w="115" w:type="dxa"/>
              <w:bottom w:w="29" w:type="dxa"/>
              <w:right w:w="115" w:type="dxa"/>
            </w:tcMar>
          </w:tcPr>
          <w:p w14:paraId="00000072"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73" w14:textId="77777777" w:rsidR="002A5780" w:rsidRDefault="002A5780">
            <w:pPr>
              <w:spacing w:after="0"/>
              <w:jc w:val="both"/>
              <w:rPr>
                <w:sz w:val="20"/>
                <w:szCs w:val="20"/>
              </w:rPr>
            </w:pPr>
          </w:p>
        </w:tc>
        <w:tc>
          <w:tcPr>
            <w:tcW w:w="2148" w:type="dxa"/>
            <w:tcMar>
              <w:top w:w="29" w:type="dxa"/>
              <w:left w:w="115" w:type="dxa"/>
              <w:bottom w:w="29" w:type="dxa"/>
              <w:right w:w="115" w:type="dxa"/>
            </w:tcMar>
          </w:tcPr>
          <w:p w14:paraId="00000075" w14:textId="77777777" w:rsidR="002A5780" w:rsidRDefault="002A5780">
            <w:pPr>
              <w:spacing w:after="0"/>
              <w:jc w:val="both"/>
              <w:rPr>
                <w:sz w:val="20"/>
                <w:szCs w:val="20"/>
              </w:rPr>
            </w:pPr>
          </w:p>
        </w:tc>
      </w:tr>
      <w:tr w:rsidR="002A5780" w14:paraId="2EC1718C" w14:textId="77777777" w:rsidTr="2AC19007">
        <w:trPr>
          <w:trHeight w:val="472"/>
        </w:trPr>
        <w:tc>
          <w:tcPr>
            <w:tcW w:w="15246" w:type="dxa"/>
            <w:gridSpan w:val="4"/>
            <w:shd w:val="clear" w:color="auto" w:fill="DEEAF6"/>
            <w:tcMar>
              <w:top w:w="29" w:type="dxa"/>
              <w:left w:w="115" w:type="dxa"/>
              <w:bottom w:w="29" w:type="dxa"/>
              <w:right w:w="115" w:type="dxa"/>
            </w:tcMar>
          </w:tcPr>
          <w:p w14:paraId="00000076" w14:textId="77777777" w:rsidR="002A5780" w:rsidRDefault="00D91955">
            <w:pPr>
              <w:spacing w:after="0" w:line="240" w:lineRule="auto"/>
              <w:jc w:val="both"/>
            </w:pPr>
            <w:r>
              <w:rPr>
                <w:b/>
                <w:bCs/>
              </w:rPr>
              <w:t>Tiesioginėms užsienio investicijoms pritraukti į Lietuvą aktuali informacija</w:t>
            </w:r>
          </w:p>
        </w:tc>
      </w:tr>
      <w:tr w:rsidR="002A5780" w14:paraId="1BDCDA55" w14:textId="77777777" w:rsidTr="2AC19007">
        <w:trPr>
          <w:trHeight w:val="472"/>
        </w:trPr>
        <w:tc>
          <w:tcPr>
            <w:tcW w:w="15246" w:type="dxa"/>
            <w:gridSpan w:val="4"/>
            <w:shd w:val="clear" w:color="auto" w:fill="DEEAF6"/>
            <w:tcMar>
              <w:top w:w="29" w:type="dxa"/>
              <w:left w:w="115" w:type="dxa"/>
              <w:bottom w:w="29" w:type="dxa"/>
              <w:right w:w="115" w:type="dxa"/>
            </w:tcMar>
          </w:tcPr>
          <w:p w14:paraId="0000007A" w14:textId="77777777" w:rsidR="002A5780" w:rsidRDefault="00D91955">
            <w:pPr>
              <w:spacing w:after="0" w:line="240" w:lineRule="auto"/>
              <w:jc w:val="both"/>
              <w:rPr>
                <w:b/>
                <w:bCs/>
              </w:rPr>
            </w:pPr>
            <w:r>
              <w:rPr>
                <w:b/>
                <w:bCs/>
              </w:rPr>
              <w:t>Lietuvos ekonominiam saugumui aktuali informacija</w:t>
            </w:r>
          </w:p>
        </w:tc>
      </w:tr>
      <w:tr w:rsidR="002A5780" w14:paraId="72A3D3EC" w14:textId="77777777" w:rsidTr="2AC19007">
        <w:tc>
          <w:tcPr>
            <w:tcW w:w="776" w:type="dxa"/>
            <w:tcMar>
              <w:top w:w="29" w:type="dxa"/>
              <w:left w:w="115" w:type="dxa"/>
              <w:bottom w:w="29" w:type="dxa"/>
              <w:right w:w="115" w:type="dxa"/>
            </w:tcMar>
          </w:tcPr>
          <w:p w14:paraId="00000082"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83" w14:textId="77777777" w:rsidR="002A5780" w:rsidRDefault="002A5780">
            <w:pPr>
              <w:spacing w:after="0"/>
              <w:jc w:val="both"/>
              <w:rPr>
                <w:sz w:val="20"/>
                <w:szCs w:val="20"/>
              </w:rPr>
            </w:pPr>
          </w:p>
        </w:tc>
        <w:tc>
          <w:tcPr>
            <w:tcW w:w="2148" w:type="dxa"/>
            <w:tcMar>
              <w:top w:w="29" w:type="dxa"/>
              <w:left w:w="115" w:type="dxa"/>
              <w:bottom w:w="29" w:type="dxa"/>
              <w:right w:w="115" w:type="dxa"/>
            </w:tcMar>
          </w:tcPr>
          <w:p w14:paraId="00000085" w14:textId="77777777" w:rsidR="002A5780" w:rsidRDefault="002A5780">
            <w:pPr>
              <w:spacing w:after="0"/>
              <w:jc w:val="both"/>
              <w:rPr>
                <w:sz w:val="20"/>
                <w:szCs w:val="20"/>
              </w:rPr>
            </w:pPr>
          </w:p>
        </w:tc>
      </w:tr>
      <w:tr w:rsidR="002A5780" w14:paraId="77A399C8" w14:textId="77777777" w:rsidTr="2AC19007">
        <w:trPr>
          <w:trHeight w:val="41"/>
        </w:trPr>
        <w:tc>
          <w:tcPr>
            <w:tcW w:w="15246" w:type="dxa"/>
            <w:gridSpan w:val="4"/>
            <w:shd w:val="clear" w:color="auto" w:fill="DEEAF6"/>
            <w:tcMar>
              <w:top w:w="29" w:type="dxa"/>
              <w:left w:w="115" w:type="dxa"/>
              <w:bottom w:w="29" w:type="dxa"/>
              <w:right w:w="115" w:type="dxa"/>
            </w:tcMar>
          </w:tcPr>
          <w:p w14:paraId="00000086" w14:textId="77777777" w:rsidR="002A5780" w:rsidRDefault="00D91955">
            <w:pPr>
              <w:spacing w:after="0"/>
              <w:jc w:val="both"/>
              <w:rPr>
                <w:b/>
                <w:bCs/>
              </w:rPr>
            </w:pPr>
            <w:r>
              <w:rPr>
                <w:b/>
                <w:bCs/>
              </w:rPr>
              <w:t>Bendradarbiavimui MTEPI srityse aktuali informacija: mokslas (R&amp;D), inovacijos, gyvybės mokslai</w:t>
            </w:r>
          </w:p>
        </w:tc>
      </w:tr>
      <w:tr w:rsidR="002A5780" w14:paraId="3C16256D" w14:textId="77777777" w:rsidTr="2AC19007">
        <w:trPr>
          <w:trHeight w:val="41"/>
        </w:trPr>
        <w:tc>
          <w:tcPr>
            <w:tcW w:w="1308" w:type="dxa"/>
            <w:gridSpan w:val="2"/>
            <w:tcMar>
              <w:top w:w="29" w:type="dxa"/>
              <w:left w:w="115" w:type="dxa"/>
              <w:bottom w:w="29" w:type="dxa"/>
              <w:right w:w="115" w:type="dxa"/>
            </w:tcMar>
          </w:tcPr>
          <w:p w14:paraId="0000008A" w14:textId="77777777" w:rsidR="002A5780" w:rsidRDefault="002A5780">
            <w:pPr>
              <w:spacing w:after="0"/>
              <w:jc w:val="both"/>
              <w:rPr>
                <w:b/>
                <w:bCs/>
                <w:sz w:val="20"/>
                <w:szCs w:val="20"/>
              </w:rPr>
            </w:pPr>
          </w:p>
        </w:tc>
        <w:tc>
          <w:tcPr>
            <w:tcW w:w="11790" w:type="dxa"/>
          </w:tcPr>
          <w:p w14:paraId="0000008C" w14:textId="77777777" w:rsidR="002A5780" w:rsidRDefault="00D91955" w:rsidP="2AC19007">
            <w:pPr>
              <w:spacing w:after="0"/>
              <w:jc w:val="both"/>
              <w:rPr>
                <w:sz w:val="20"/>
                <w:szCs w:val="20"/>
              </w:rPr>
            </w:pPr>
            <w:r w:rsidRPr="2AC19007">
              <w:rPr>
                <w:sz w:val="20"/>
                <w:szCs w:val="20"/>
              </w:rPr>
              <w:t>JK gyvybės mokslų sektoriaus institucijos ir agentūros.</w:t>
            </w:r>
          </w:p>
        </w:tc>
        <w:tc>
          <w:tcPr>
            <w:tcW w:w="2148" w:type="dxa"/>
          </w:tcPr>
          <w:p w14:paraId="0000008D" w14:textId="77777777" w:rsidR="002A5780" w:rsidRDefault="00D91955" w:rsidP="2AC19007">
            <w:pPr>
              <w:spacing w:after="0"/>
              <w:jc w:val="both"/>
              <w:rPr>
                <w:color w:val="0563C1"/>
                <w:sz w:val="20"/>
                <w:szCs w:val="20"/>
                <w:u w:val="single"/>
              </w:rPr>
            </w:pPr>
            <w:hyperlink r:id="rId39">
              <w:r w:rsidRPr="2AC19007">
                <w:rPr>
                  <w:color w:val="0563C1"/>
                  <w:sz w:val="20"/>
                  <w:szCs w:val="20"/>
                  <w:u w:val="single"/>
                </w:rPr>
                <w:t>UK life sciences support - GOV.UK (www.gov.uk)</w:t>
              </w:r>
            </w:hyperlink>
          </w:p>
          <w:p w14:paraId="0000008E" w14:textId="77777777" w:rsidR="002A5780" w:rsidRDefault="00D91955" w:rsidP="2AC19007">
            <w:pPr>
              <w:spacing w:after="0"/>
              <w:jc w:val="both"/>
              <w:rPr>
                <w:b/>
                <w:bCs/>
                <w:sz w:val="20"/>
                <w:szCs w:val="20"/>
              </w:rPr>
            </w:pPr>
            <w:hyperlink r:id="rId40">
              <w:r w:rsidRPr="2AC19007">
                <w:rPr>
                  <w:color w:val="0563C1"/>
                  <w:sz w:val="20"/>
                  <w:szCs w:val="20"/>
                  <w:u w:val="single"/>
                </w:rPr>
                <w:t>Healthcare and life sciences - great.gov.uk international</w:t>
              </w:r>
            </w:hyperlink>
          </w:p>
        </w:tc>
      </w:tr>
      <w:tr w:rsidR="4954557E" w14:paraId="13B9E1F1" w14:textId="77777777" w:rsidTr="2AC19007">
        <w:trPr>
          <w:trHeight w:val="41"/>
        </w:trPr>
        <w:tc>
          <w:tcPr>
            <w:tcW w:w="1308" w:type="dxa"/>
            <w:gridSpan w:val="2"/>
            <w:tcMar>
              <w:top w:w="29" w:type="dxa"/>
              <w:left w:w="115" w:type="dxa"/>
              <w:bottom w:w="29" w:type="dxa"/>
              <w:right w:w="115" w:type="dxa"/>
            </w:tcMar>
          </w:tcPr>
          <w:p w14:paraId="332DD77C" w14:textId="641DD858" w:rsidR="2D1647CE" w:rsidRDefault="2D1647CE" w:rsidP="4954557E">
            <w:pPr>
              <w:jc w:val="both"/>
            </w:pPr>
            <w:r w:rsidRPr="4954557E">
              <w:rPr>
                <w:sz w:val="20"/>
                <w:szCs w:val="20"/>
              </w:rPr>
              <w:lastRenderedPageBreak/>
              <w:t>03/08</w:t>
            </w:r>
          </w:p>
        </w:tc>
        <w:tc>
          <w:tcPr>
            <w:tcW w:w="11790" w:type="dxa"/>
          </w:tcPr>
          <w:p w14:paraId="39AF56D8" w14:textId="5A322A57" w:rsidR="2D1647CE" w:rsidRDefault="2D1647CE" w:rsidP="4954557E">
            <w:pPr>
              <w:jc w:val="both"/>
              <w:rPr>
                <w:sz w:val="20"/>
                <w:szCs w:val="20"/>
              </w:rPr>
            </w:pPr>
            <w:r w:rsidRPr="4954557E">
              <w:rPr>
                <w:sz w:val="20"/>
                <w:szCs w:val="20"/>
              </w:rPr>
              <w:t>UK Research and Innovation finansavimas iki 2029–2030 m. turėtų padidėti nuo 9,2 mlrd. GBP iki 10 mlrd. GBP, tačiau papildomos lėšos bus skiriamos strateginiams prioritetams, įskaitant DI, inovatyvias įmones ir mokslinių tyrimų infrastruktūrą. Tuo metu bazinių mokslinių tyrimų finansavimas nominaliąja verte išliks nepakitęs ir realiąja verte mažės, o naujausi fizikos ir astronomijos programų finansavimo mažinimai didina susirūpinimą dėl ilgalaikių JK mokslinių tyrimų pajėgumų.</w:t>
            </w:r>
          </w:p>
        </w:tc>
        <w:tc>
          <w:tcPr>
            <w:tcW w:w="2148" w:type="dxa"/>
          </w:tcPr>
          <w:p w14:paraId="602C7408" w14:textId="46C1B505" w:rsidR="2D1647CE" w:rsidRDefault="2D1647CE" w:rsidP="4954557E">
            <w:pPr>
              <w:spacing w:after="0"/>
              <w:jc w:val="both"/>
              <w:rPr>
                <w:rFonts w:ascii="Times New Roman" w:eastAsia="Times New Roman" w:hAnsi="Times New Roman" w:cs="Times New Roman"/>
                <w:color w:val="1155CC"/>
                <w:sz w:val="24"/>
                <w:szCs w:val="24"/>
              </w:rPr>
            </w:pPr>
            <w:hyperlink r:id="rId41">
              <w:r w:rsidRPr="4954557E">
                <w:rPr>
                  <w:rStyle w:val="Hyperlink"/>
                  <w:color w:val="1155CC"/>
                  <w:u w:val="none"/>
                </w:rPr>
                <w:t>Time for Andy Burnham to smile on UK science</w:t>
              </w:r>
            </w:hyperlink>
          </w:p>
        </w:tc>
      </w:tr>
      <w:tr w:rsidR="4954557E" w14:paraId="6A24E861" w14:textId="77777777" w:rsidTr="2AC19007">
        <w:trPr>
          <w:trHeight w:val="41"/>
        </w:trPr>
        <w:tc>
          <w:tcPr>
            <w:tcW w:w="1308" w:type="dxa"/>
            <w:gridSpan w:val="2"/>
            <w:tcMar>
              <w:top w:w="29" w:type="dxa"/>
              <w:left w:w="115" w:type="dxa"/>
              <w:bottom w:w="29" w:type="dxa"/>
              <w:right w:w="115" w:type="dxa"/>
            </w:tcMar>
          </w:tcPr>
          <w:p w14:paraId="36E2F5BC" w14:textId="7A273E23" w:rsidR="2093CDFC" w:rsidRDefault="2093CDFC" w:rsidP="4954557E">
            <w:pPr>
              <w:jc w:val="both"/>
            </w:pPr>
            <w:r w:rsidRPr="4954557E">
              <w:rPr>
                <w:sz w:val="20"/>
                <w:szCs w:val="20"/>
              </w:rPr>
              <w:t>19/08</w:t>
            </w:r>
          </w:p>
        </w:tc>
        <w:tc>
          <w:tcPr>
            <w:tcW w:w="11790" w:type="dxa"/>
          </w:tcPr>
          <w:p w14:paraId="79CCCCA0" w14:textId="5EA49FA9" w:rsidR="2093CDFC" w:rsidRDefault="2093CDFC" w:rsidP="4954557E">
            <w:pPr>
              <w:jc w:val="both"/>
              <w:rPr>
                <w:sz w:val="20"/>
                <w:szCs w:val="20"/>
              </w:rPr>
            </w:pPr>
            <w:r w:rsidRPr="4954557E">
              <w:rPr>
                <w:sz w:val="20"/>
                <w:szCs w:val="20"/>
              </w:rPr>
              <w:t>UCL prezidentas Michael Spence ragina vyriausybę, mažinant ekonominius skirtumus tarp JK regionų, kartu išlaikyti investicijas į jau susiformavusius šalies inovacijų centrus. Londonas, Mančesteris ir Oxford-Cambridge regionas išskiriami kaip svarbūs inovacijų centrai, kuriuose universitetų, mokslinių tyrimų institucijų, aukštos kvalifikacijos specialistų, verslo ir investuotojų koncentracija skatina DI, gyvybės mokslų ir fintech sektorių plėtrą. Pasak M. Spence’o, šių centrų stiprinimas per mokslinius tyrimus, investicijas ir aukštos pridėtinės vertės tiekimo grandines galėtų prisidėti prie ekonomikos augimo ir kituose JK regionuose.</w:t>
            </w:r>
          </w:p>
        </w:tc>
        <w:tc>
          <w:tcPr>
            <w:tcW w:w="2148" w:type="dxa"/>
          </w:tcPr>
          <w:p w14:paraId="43FD24B9" w14:textId="39821144" w:rsidR="2093CDFC" w:rsidRDefault="2093CDFC" w:rsidP="4954557E">
            <w:pPr>
              <w:jc w:val="both"/>
            </w:pPr>
            <w:hyperlink r:id="rId42">
              <w:r w:rsidRPr="2AC19007">
                <w:rPr>
                  <w:rStyle w:val="Hyperlink"/>
                </w:rPr>
                <w:t>Don’t mess up London’s knowledge economy</w:t>
              </w:r>
            </w:hyperlink>
          </w:p>
        </w:tc>
      </w:tr>
      <w:tr w:rsidR="2AC19007" w14:paraId="4395A1FE" w14:textId="77777777" w:rsidTr="2AC19007">
        <w:trPr>
          <w:trHeight w:val="41"/>
        </w:trPr>
        <w:tc>
          <w:tcPr>
            <w:tcW w:w="1308" w:type="dxa"/>
            <w:gridSpan w:val="2"/>
            <w:tcMar>
              <w:top w:w="29" w:type="dxa"/>
              <w:left w:w="115" w:type="dxa"/>
              <w:bottom w:w="29" w:type="dxa"/>
              <w:right w:w="115" w:type="dxa"/>
            </w:tcMar>
          </w:tcPr>
          <w:p w14:paraId="51659300" w14:textId="515EE84B" w:rsidR="2CE53182" w:rsidRDefault="2CE53182" w:rsidP="2AC19007">
            <w:pPr>
              <w:jc w:val="both"/>
            </w:pPr>
            <w:r w:rsidRPr="2AC19007">
              <w:rPr>
                <w:sz w:val="20"/>
                <w:szCs w:val="20"/>
              </w:rPr>
              <w:t>21/08</w:t>
            </w:r>
          </w:p>
        </w:tc>
        <w:tc>
          <w:tcPr>
            <w:tcW w:w="11790" w:type="dxa"/>
          </w:tcPr>
          <w:p w14:paraId="54B66C41" w14:textId="312BC487" w:rsidR="2CE53182" w:rsidRDefault="2CE53182" w:rsidP="2AC19007">
            <w:pPr>
              <w:jc w:val="both"/>
            </w:pPr>
            <w:r w:rsidRPr="2AC19007">
              <w:rPr>
                <w:sz w:val="20"/>
                <w:szCs w:val="20"/>
              </w:rPr>
              <w:t xml:space="preserve">2026 m. pirmąjį pusmetį reikšmingai išaugo UK biotechnologijų sektoriaus finansavimas. Antrąjį ketvirtį biotechnologijų bendrovės pritraukė 2,11 mlrd. svarų sterlingų nuosavo kapitalo investicijų, iš kurių 2,05 mlrd. svarų sterlingų sudarė rizikos kapitalo investicijos – tai didžiausia per ketvirtį pritraukta rizikos kapitalo suma per pastaruosius penkerius metus. Šį rezultatą daugiausia lėmė Londone įsikūrusios ir dirbtinį intelektą vaistų kūrimui naudojančios bendrovės „Isomorphic Labs“ pritrauktas 1,6 mlrd. svarų sterlingų finansavimas. Tačiau net ir neįskaičiavus šio sandorio, rizikos kapitalo investicijos siekė 498 mln. svarų sterlingų – beveik dvigubai daugiau nei 2025 m. antrąjį ketvirtį (279 mln. svarų sterlingų). Augimo tendencija buvo matoma jau pirmąjį ketvirtį, kai rizikos kapitalo investicijos siekė 516 mln. svarų sterlingų ir, palyginti su ankstesniu ketvirčiu, padidėjo 17 proc. Europos patentų biuro duomenys taip pat rodo išliekantį inovacijų aktyvumą – 2025 m. UK gyvybės mokslų sektoriaus patentų paraiškų skaičius išaugo 3,5 proc., o didžiausias augimas fiksuotas biotechnologijų ir medicinos technologijų srityse. </w:t>
            </w:r>
          </w:p>
        </w:tc>
        <w:tc>
          <w:tcPr>
            <w:tcW w:w="2148" w:type="dxa"/>
            <w:tcMar>
              <w:top w:w="29" w:type="dxa"/>
              <w:left w:w="115" w:type="dxa"/>
              <w:bottom w:w="29" w:type="dxa"/>
              <w:right w:w="115" w:type="dxa"/>
            </w:tcMar>
          </w:tcPr>
          <w:p w14:paraId="756F36F7" w14:textId="43219318" w:rsidR="2CE53182" w:rsidRDefault="2CE53182" w:rsidP="2AC19007">
            <w:pPr>
              <w:jc w:val="both"/>
            </w:pPr>
            <w:hyperlink r:id="rId43">
              <w:r w:rsidRPr="2AC19007">
                <w:rPr>
                  <w:rStyle w:val="Hyperlink"/>
                  <w:lang w:val="en-US"/>
                </w:rPr>
                <w:t>Is The UK Life Sciences Sector Set To Recover In 2026? – An Analysis Of Funding, Patent Filings And Growth</w:t>
              </w:r>
            </w:hyperlink>
          </w:p>
        </w:tc>
      </w:tr>
      <w:tr w:rsidR="2AC19007" w14:paraId="77E3C81D" w14:textId="77777777" w:rsidTr="2AC19007">
        <w:trPr>
          <w:trHeight w:val="41"/>
        </w:trPr>
        <w:tc>
          <w:tcPr>
            <w:tcW w:w="1308" w:type="dxa"/>
            <w:gridSpan w:val="2"/>
            <w:tcMar>
              <w:top w:w="29" w:type="dxa"/>
              <w:left w:w="115" w:type="dxa"/>
              <w:bottom w:w="29" w:type="dxa"/>
              <w:right w:w="115" w:type="dxa"/>
            </w:tcMar>
          </w:tcPr>
          <w:p w14:paraId="50156205" w14:textId="3DE89773" w:rsidR="7DA848B2" w:rsidRDefault="7DA848B2" w:rsidP="2AC19007">
            <w:pPr>
              <w:jc w:val="both"/>
            </w:pPr>
            <w:r w:rsidRPr="2AC19007">
              <w:rPr>
                <w:sz w:val="20"/>
                <w:szCs w:val="20"/>
              </w:rPr>
              <w:t>24/08</w:t>
            </w:r>
          </w:p>
        </w:tc>
        <w:tc>
          <w:tcPr>
            <w:tcW w:w="11790" w:type="dxa"/>
          </w:tcPr>
          <w:p w14:paraId="00E6AB82" w14:textId="28DF7F24" w:rsidR="35325F04" w:rsidRDefault="35325F04" w:rsidP="2AC19007">
            <w:pPr>
              <w:jc w:val="both"/>
            </w:pPr>
            <w:r w:rsidRPr="2AC19007">
              <w:rPr>
                <w:sz w:val="20"/>
                <w:szCs w:val="20"/>
              </w:rPr>
              <w:t>„Innovate UK“ skirs iki 3 mln. svarų sterlingų bendriems UK ir Singapūro įmonių pramoninių mokslinių tyrimų ir eksperimentinės plėtros (MTEP) projektams finansuoti. Finansavimas bus skiriamas projektams pažangiosios gamybos, švarios energetikos, gyvybės mokslų ir pažangiųjų technologijų srityse, įskaitant puslaidininkius, kvantines technologijas, dirbtinį intelektą, kibernetinį saugumą, pažangiąsias ryšio technologijas ir inžinerinę biologiją. UK įmonės turės bendradarbiauti su bent viena nepriklausoma Singapūre registruota įmone, o projektai turės būti atrinkti tiek „Innovate UK“, tiek „Enterprise Singapore“. UK partneriams vienam projektui galės būti skiriama nuo 100 tūkst. iki 900 tūkst. svarų sterlingų, o Singapūro partnerių dalį finansuos „Enterprise Singapore“.</w:t>
            </w:r>
          </w:p>
        </w:tc>
        <w:tc>
          <w:tcPr>
            <w:tcW w:w="2148" w:type="dxa"/>
            <w:tcMar>
              <w:top w:w="29" w:type="dxa"/>
              <w:left w:w="115" w:type="dxa"/>
              <w:bottom w:w="29" w:type="dxa"/>
              <w:right w:w="115" w:type="dxa"/>
            </w:tcMar>
          </w:tcPr>
          <w:p w14:paraId="19A6B91B" w14:textId="40311108" w:rsidR="0A1B6922" w:rsidRDefault="0A1B6922" w:rsidP="2AC19007">
            <w:pPr>
              <w:jc w:val="both"/>
            </w:pPr>
            <w:hyperlink r:id="rId44">
              <w:r w:rsidRPr="2AC19007">
                <w:rPr>
                  <w:rStyle w:val="Hyperlink"/>
                </w:rPr>
                <w:t>Funding competition</w:t>
              </w:r>
              <w:r w:rsidR="7D2B0507" w:rsidRPr="2AC19007">
                <w:rPr>
                  <w:rStyle w:val="Hyperlink"/>
                </w:rPr>
                <w:t xml:space="preserve"> </w:t>
              </w:r>
              <w:r w:rsidRPr="2AC19007">
                <w:rPr>
                  <w:rStyle w:val="Hyperlink"/>
                </w:rPr>
                <w:t>UK-Singapore CRD 2026</w:t>
              </w:r>
            </w:hyperlink>
          </w:p>
        </w:tc>
      </w:tr>
      <w:tr w:rsidR="002A5780" w14:paraId="5B10E129" w14:textId="77777777" w:rsidTr="2AC19007">
        <w:trPr>
          <w:trHeight w:val="41"/>
        </w:trPr>
        <w:tc>
          <w:tcPr>
            <w:tcW w:w="15246" w:type="dxa"/>
            <w:gridSpan w:val="4"/>
            <w:shd w:val="clear" w:color="auto" w:fill="DEEAF6"/>
            <w:tcMar>
              <w:top w:w="29" w:type="dxa"/>
              <w:left w:w="115" w:type="dxa"/>
              <w:bottom w:w="29" w:type="dxa"/>
              <w:right w:w="115" w:type="dxa"/>
            </w:tcMar>
          </w:tcPr>
          <w:p w14:paraId="000000A3" w14:textId="77777777" w:rsidR="002A5780" w:rsidRDefault="00D91955">
            <w:pPr>
              <w:spacing w:after="0"/>
              <w:jc w:val="both"/>
              <w:rPr>
                <w:b/>
                <w:bCs/>
              </w:rPr>
            </w:pPr>
            <w:r>
              <w:rPr>
                <w:b/>
                <w:bCs/>
              </w:rPr>
              <w:t>Energetika, transportas, aplinka ir klimato kaita, žaliosios technologijos, kibernetinis saugumas</w:t>
            </w:r>
          </w:p>
        </w:tc>
      </w:tr>
      <w:tr w:rsidR="5CD04D43" w14:paraId="4A9D590E" w14:textId="77777777" w:rsidTr="2AC19007">
        <w:trPr>
          <w:trHeight w:val="41"/>
        </w:trPr>
        <w:tc>
          <w:tcPr>
            <w:tcW w:w="1308" w:type="dxa"/>
            <w:gridSpan w:val="2"/>
            <w:tcMar>
              <w:top w:w="29" w:type="dxa"/>
              <w:left w:w="115" w:type="dxa"/>
              <w:bottom w:w="29" w:type="dxa"/>
              <w:right w:w="115" w:type="dxa"/>
            </w:tcMar>
          </w:tcPr>
          <w:p w14:paraId="772BBE74" w14:textId="5A2208FA" w:rsidR="12601AAA" w:rsidRDefault="65C4B79D" w:rsidP="5CD04D43">
            <w:pPr>
              <w:jc w:val="both"/>
            </w:pPr>
            <w:r w:rsidRPr="4954557E">
              <w:rPr>
                <w:sz w:val="20"/>
                <w:szCs w:val="20"/>
              </w:rPr>
              <w:t>04/08</w:t>
            </w:r>
          </w:p>
        </w:tc>
        <w:tc>
          <w:tcPr>
            <w:tcW w:w="11790" w:type="dxa"/>
          </w:tcPr>
          <w:p w14:paraId="2BFE09B0" w14:textId="18EFEF03" w:rsidR="12601AAA" w:rsidRDefault="65C4B79D" w:rsidP="5CD04D43">
            <w:pPr>
              <w:jc w:val="both"/>
            </w:pPr>
            <w:r w:rsidRPr="4954557E">
              <w:rPr>
                <w:sz w:val="20"/>
                <w:szCs w:val="20"/>
              </w:rPr>
              <w:t>Per dvi savaites Anglijoje ir Velse užregistruota daugiau kaip 200 miškų ir kitų laukinių teritorijų gaisrų, o dideli gaisrai Škotijoje sustiprino raginimus užtikrinti specializuotus oro pajėgumus gaisrams gesinti. JK Vyriausybė jau paskelbė skirsianti papildomus 97 mln. GBP priešgaisrinei ir gelbėjimo įrangai, institucijoms peržiūrint pasirengimą vis dažnesniems ir intensyvesniems gaisrams.</w:t>
            </w:r>
          </w:p>
        </w:tc>
        <w:tc>
          <w:tcPr>
            <w:tcW w:w="2148" w:type="dxa"/>
          </w:tcPr>
          <w:p w14:paraId="6B6F8EE0" w14:textId="28A93C73" w:rsidR="12601AAA" w:rsidRDefault="65C4B79D" w:rsidP="4954557E">
            <w:pPr>
              <w:spacing w:after="0"/>
              <w:jc w:val="both"/>
              <w:rPr>
                <w:rFonts w:ascii="Times New Roman" w:eastAsia="Times New Roman" w:hAnsi="Times New Roman" w:cs="Times New Roman"/>
                <w:color w:val="1155CC"/>
                <w:sz w:val="24"/>
                <w:szCs w:val="24"/>
                <w:lang w:val="en-US"/>
              </w:rPr>
            </w:pPr>
            <w:hyperlink r:id="rId45">
              <w:r w:rsidRPr="4954557E">
                <w:rPr>
                  <w:rStyle w:val="Hyperlink"/>
                  <w:color w:val="1155CC"/>
                  <w:u w:val="none"/>
                  <w:lang w:val="en-US"/>
                </w:rPr>
                <w:t>UK wildfires spark calls for guaranteed access to aerial support</w:t>
              </w:r>
            </w:hyperlink>
          </w:p>
          <w:p w14:paraId="0EDA20F0" w14:textId="473C3DD7" w:rsidR="12601AAA" w:rsidRDefault="12601AAA" w:rsidP="4954557E">
            <w:pPr>
              <w:jc w:val="both"/>
              <w:rPr>
                <w:lang w:val="en-US"/>
              </w:rPr>
            </w:pPr>
          </w:p>
        </w:tc>
      </w:tr>
      <w:tr w:rsidR="002A5780" w14:paraId="4B94D5A5" w14:textId="77777777" w:rsidTr="2AC19007">
        <w:tc>
          <w:tcPr>
            <w:tcW w:w="776" w:type="dxa"/>
            <w:tcMar>
              <w:top w:w="29" w:type="dxa"/>
              <w:left w:w="115" w:type="dxa"/>
              <w:bottom w:w="29" w:type="dxa"/>
              <w:right w:w="115" w:type="dxa"/>
            </w:tcMar>
          </w:tcPr>
          <w:p w14:paraId="000000AB" w14:textId="24AB4B2B" w:rsidR="002A5780" w:rsidRDefault="65C4B79D">
            <w:pPr>
              <w:spacing w:after="0"/>
              <w:jc w:val="both"/>
            </w:pPr>
            <w:r w:rsidRPr="4954557E">
              <w:rPr>
                <w:sz w:val="20"/>
                <w:szCs w:val="20"/>
              </w:rPr>
              <w:lastRenderedPageBreak/>
              <w:t>04/08</w:t>
            </w:r>
          </w:p>
        </w:tc>
        <w:tc>
          <w:tcPr>
            <w:tcW w:w="12322" w:type="dxa"/>
            <w:gridSpan w:val="2"/>
            <w:tcMar>
              <w:top w:w="29" w:type="dxa"/>
              <w:left w:w="115" w:type="dxa"/>
              <w:bottom w:w="29" w:type="dxa"/>
              <w:right w:w="115" w:type="dxa"/>
            </w:tcMar>
          </w:tcPr>
          <w:p w14:paraId="000000AC" w14:textId="70F8CC96" w:rsidR="002A5780" w:rsidRDefault="65C4B79D">
            <w:pPr>
              <w:spacing w:after="0"/>
              <w:jc w:val="both"/>
            </w:pPr>
            <w:r w:rsidRPr="4954557E">
              <w:rPr>
                <w:sz w:val="20"/>
                <w:szCs w:val="20"/>
              </w:rPr>
              <w:t>Po sausiausio liepos mėnesio per stebėjimų istoriją ir didelėje Anglijos dalyje paskelbtos sausros vandens bendrovės perspėjo, kad vandens gavybos apribojimai apsunkina reagavimą į trūkumą. Dėl to stiprėja poreikis investuoti į naujus rezervuarus ir vandens nuostolių mažinimą.</w:t>
            </w:r>
          </w:p>
        </w:tc>
        <w:tc>
          <w:tcPr>
            <w:tcW w:w="2148" w:type="dxa"/>
            <w:tcMar>
              <w:top w:w="29" w:type="dxa"/>
              <w:left w:w="115" w:type="dxa"/>
              <w:bottom w:w="29" w:type="dxa"/>
              <w:right w:w="115" w:type="dxa"/>
            </w:tcMar>
          </w:tcPr>
          <w:p w14:paraId="000000AE" w14:textId="6EB0EE3A" w:rsidR="002A5780" w:rsidRDefault="65C4B79D" w:rsidP="4954557E">
            <w:pPr>
              <w:spacing w:after="0"/>
              <w:jc w:val="both"/>
              <w:rPr>
                <w:rFonts w:ascii="Times New Roman" w:eastAsia="Times New Roman" w:hAnsi="Times New Roman" w:cs="Times New Roman"/>
                <w:color w:val="1155CC"/>
                <w:sz w:val="24"/>
                <w:szCs w:val="24"/>
              </w:rPr>
            </w:pPr>
            <w:hyperlink r:id="rId46">
              <w:r w:rsidRPr="4954557E">
                <w:rPr>
                  <w:rStyle w:val="Hyperlink"/>
                  <w:color w:val="1155CC"/>
                  <w:u w:val="none"/>
                </w:rPr>
                <w:t>Water companies feel squeeze of abstraction limits as drought deepens</w:t>
              </w:r>
            </w:hyperlink>
          </w:p>
        </w:tc>
      </w:tr>
      <w:tr w:rsidR="5CD04D43" w14:paraId="67D6D550" w14:textId="77777777" w:rsidTr="2AC19007">
        <w:trPr>
          <w:trHeight w:val="300"/>
        </w:trPr>
        <w:tc>
          <w:tcPr>
            <w:tcW w:w="776" w:type="dxa"/>
            <w:tcMar>
              <w:top w:w="29" w:type="dxa"/>
              <w:left w:w="115" w:type="dxa"/>
              <w:bottom w:w="29" w:type="dxa"/>
              <w:right w:w="115" w:type="dxa"/>
            </w:tcMar>
          </w:tcPr>
          <w:p w14:paraId="41E66A8F" w14:textId="363FC353" w:rsidR="3AA3428D" w:rsidRDefault="65C4B79D" w:rsidP="5CD04D43">
            <w:pPr>
              <w:jc w:val="both"/>
            </w:pPr>
            <w:r w:rsidRPr="4954557E">
              <w:rPr>
                <w:sz w:val="20"/>
                <w:szCs w:val="20"/>
              </w:rPr>
              <w:t>06/08</w:t>
            </w:r>
          </w:p>
        </w:tc>
        <w:tc>
          <w:tcPr>
            <w:tcW w:w="12322" w:type="dxa"/>
            <w:gridSpan w:val="2"/>
            <w:tcMar>
              <w:top w:w="29" w:type="dxa"/>
              <w:left w:w="115" w:type="dxa"/>
              <w:bottom w:w="29" w:type="dxa"/>
              <w:right w:w="115" w:type="dxa"/>
            </w:tcMar>
          </w:tcPr>
          <w:p w14:paraId="6C1429EE" w14:textId="5D630D7D" w:rsidR="3AA3428D" w:rsidRDefault="65C4B79D" w:rsidP="5CD04D43">
            <w:pPr>
              <w:jc w:val="both"/>
            </w:pPr>
            <w:r w:rsidRPr="4954557E">
              <w:rPr>
                <w:sz w:val="20"/>
                <w:szCs w:val="20"/>
              </w:rPr>
              <w:t>BP planuoja parduoti savo veiklą Šiaurės jūroje ir taip užbaigti daugiau kaip šešis dešimtmečius trukusią veiklą regione. Sprendimas sustiprino diskusijas dėl JK naftos ir dujų sektoriaus konkurencingumo, apmokestinimo ir investicinės aplinkos.</w:t>
            </w:r>
          </w:p>
        </w:tc>
        <w:tc>
          <w:tcPr>
            <w:tcW w:w="2148" w:type="dxa"/>
            <w:tcMar>
              <w:top w:w="29" w:type="dxa"/>
              <w:left w:w="115" w:type="dxa"/>
              <w:bottom w:w="29" w:type="dxa"/>
              <w:right w:w="115" w:type="dxa"/>
            </w:tcMar>
          </w:tcPr>
          <w:p w14:paraId="61211A32" w14:textId="253676AA" w:rsidR="3AA3428D" w:rsidRDefault="65C4B79D" w:rsidP="4954557E">
            <w:pPr>
              <w:spacing w:after="0"/>
              <w:jc w:val="both"/>
              <w:rPr>
                <w:rFonts w:ascii="Times New Roman" w:eastAsia="Times New Roman" w:hAnsi="Times New Roman" w:cs="Times New Roman"/>
                <w:color w:val="1155CC"/>
                <w:sz w:val="24"/>
                <w:szCs w:val="24"/>
              </w:rPr>
            </w:pPr>
            <w:hyperlink r:id="rId47">
              <w:r w:rsidRPr="4954557E">
                <w:rPr>
                  <w:rStyle w:val="Hyperlink"/>
                  <w:color w:val="1155CC"/>
                  <w:u w:val="none"/>
                </w:rPr>
                <w:t>BP North Sea exit presents wake-up call on Scottish energy</w:t>
              </w:r>
            </w:hyperlink>
          </w:p>
        </w:tc>
      </w:tr>
      <w:tr w:rsidR="5CD04D43" w14:paraId="2B8E839A" w14:textId="77777777" w:rsidTr="2AC19007">
        <w:trPr>
          <w:trHeight w:val="300"/>
        </w:trPr>
        <w:tc>
          <w:tcPr>
            <w:tcW w:w="776" w:type="dxa"/>
            <w:tcMar>
              <w:top w:w="29" w:type="dxa"/>
              <w:left w:w="115" w:type="dxa"/>
              <w:bottom w:w="29" w:type="dxa"/>
              <w:right w:w="115" w:type="dxa"/>
            </w:tcMar>
          </w:tcPr>
          <w:p w14:paraId="34F3A728" w14:textId="0FE04E7A" w:rsidR="5CA3566A" w:rsidRDefault="65C4B79D" w:rsidP="5CD04D43">
            <w:pPr>
              <w:jc w:val="both"/>
            </w:pPr>
            <w:r w:rsidRPr="4954557E">
              <w:rPr>
                <w:sz w:val="20"/>
                <w:szCs w:val="20"/>
              </w:rPr>
              <w:t>06/08</w:t>
            </w:r>
          </w:p>
        </w:tc>
        <w:tc>
          <w:tcPr>
            <w:tcW w:w="12322" w:type="dxa"/>
            <w:gridSpan w:val="2"/>
            <w:tcMar>
              <w:top w:w="29" w:type="dxa"/>
              <w:left w:w="115" w:type="dxa"/>
              <w:bottom w:w="29" w:type="dxa"/>
              <w:right w:w="115" w:type="dxa"/>
            </w:tcMar>
          </w:tcPr>
          <w:p w14:paraId="462C145B" w14:textId="0375E078" w:rsidR="5CA3566A" w:rsidRDefault="65C4B79D" w:rsidP="5CD04D43">
            <w:pPr>
              <w:jc w:val="both"/>
            </w:pPr>
            <w:r w:rsidRPr="4954557E">
              <w:rPr>
                <w:sz w:val="20"/>
                <w:szCs w:val="20"/>
              </w:rPr>
              <w:t>Žemės ūkis / sausra. Dėl karštų ir sausų orų JK kviečių derlius pradėtas nuimti anksčiausiai nuo 1976 m., o vidutinis kviečių derlingumas yra beveik 16 % mažesnis už pastarojo dešimtmečio vidurkį. Pusėje Anglijos paskelbta sausra, todėl didėja spaudimas ūkininkų pajamoms ir išryškėja būtinybė investuoti į sausrai atsparesnes kultūras bei drėkinimo sistemas. Maisto produktų trūkumo nesitikima, nes mažesnę vietos gamybą gali kompensuoti importas.</w:t>
            </w:r>
          </w:p>
        </w:tc>
        <w:tc>
          <w:tcPr>
            <w:tcW w:w="2148" w:type="dxa"/>
            <w:tcMar>
              <w:top w:w="29" w:type="dxa"/>
              <w:left w:w="115" w:type="dxa"/>
              <w:bottom w:w="29" w:type="dxa"/>
              <w:right w:w="115" w:type="dxa"/>
            </w:tcMar>
          </w:tcPr>
          <w:p w14:paraId="612200C1" w14:textId="1E5040B4" w:rsidR="5CA3566A" w:rsidRDefault="65C4B79D" w:rsidP="5CD04D43">
            <w:pPr>
              <w:jc w:val="both"/>
            </w:pPr>
            <w:hyperlink r:id="rId48">
              <w:r w:rsidRPr="4954557E">
                <w:rPr>
                  <w:rStyle w:val="Hyperlink"/>
                  <w:color w:val="1155CC"/>
                  <w:u w:val="none"/>
                </w:rPr>
                <w:t>The Economist</w:t>
              </w:r>
            </w:hyperlink>
          </w:p>
        </w:tc>
      </w:tr>
      <w:tr w:rsidR="002A5780" w14:paraId="3DEEC669" w14:textId="77777777" w:rsidTr="2AC19007">
        <w:tc>
          <w:tcPr>
            <w:tcW w:w="776" w:type="dxa"/>
            <w:tcMar>
              <w:top w:w="29" w:type="dxa"/>
              <w:left w:w="115" w:type="dxa"/>
              <w:bottom w:w="29" w:type="dxa"/>
              <w:right w:w="115" w:type="dxa"/>
            </w:tcMar>
          </w:tcPr>
          <w:p w14:paraId="000000AF" w14:textId="30330A5E" w:rsidR="002A5780" w:rsidRDefault="65C4B79D">
            <w:pPr>
              <w:spacing w:after="0"/>
              <w:jc w:val="both"/>
            </w:pPr>
            <w:r w:rsidRPr="4954557E">
              <w:rPr>
                <w:sz w:val="20"/>
                <w:szCs w:val="20"/>
              </w:rPr>
              <w:t>07/08</w:t>
            </w:r>
          </w:p>
        </w:tc>
        <w:tc>
          <w:tcPr>
            <w:tcW w:w="12322" w:type="dxa"/>
            <w:gridSpan w:val="2"/>
            <w:tcMar>
              <w:top w:w="29" w:type="dxa"/>
              <w:left w:w="115" w:type="dxa"/>
              <w:bottom w:w="29" w:type="dxa"/>
              <w:right w:w="115" w:type="dxa"/>
            </w:tcMar>
          </w:tcPr>
          <w:p w14:paraId="000000B0" w14:textId="7CAAF925" w:rsidR="002A5780" w:rsidRDefault="65C4B79D">
            <w:pPr>
              <w:spacing w:after="0"/>
              <w:jc w:val="both"/>
            </w:pPr>
            <w:r w:rsidRPr="4954557E">
              <w:rPr>
                <w:sz w:val="20"/>
                <w:szCs w:val="20"/>
              </w:rPr>
              <w:t>Liepos mėn. karščio bangos metu National Energy System Operator (NESO) keturiose elektros jungtyse su Belgija, Danija, Norvegija ir Prancūzija laikinai sumažino didžiausią leidžiamą elektros eksporto pajėgumą iki nulio, siekdamas užtikrinti pakankamą elektros tiekimą JK. Pirmą kartą pritaikyti „margin extremes“ apribojimai atskleidė didėjantį spaudimą JK elektros sistemai ekstremalių oro sąlygų metu ir išryškino didėjančią tinklo lankstumo svarbą.</w:t>
            </w:r>
          </w:p>
        </w:tc>
        <w:tc>
          <w:tcPr>
            <w:tcW w:w="2148" w:type="dxa"/>
            <w:tcMar>
              <w:top w:w="29" w:type="dxa"/>
              <w:left w:w="115" w:type="dxa"/>
              <w:bottom w:w="29" w:type="dxa"/>
              <w:right w:w="115" w:type="dxa"/>
            </w:tcMar>
          </w:tcPr>
          <w:p w14:paraId="620A5391" w14:textId="59B15010" w:rsidR="002A5780" w:rsidRDefault="65C4B79D" w:rsidP="4954557E">
            <w:pPr>
              <w:spacing w:after="0"/>
              <w:jc w:val="both"/>
              <w:rPr>
                <w:rFonts w:ascii="Times New Roman" w:eastAsia="Times New Roman" w:hAnsi="Times New Roman" w:cs="Times New Roman"/>
                <w:color w:val="1155CC"/>
                <w:sz w:val="24"/>
                <w:szCs w:val="24"/>
              </w:rPr>
            </w:pPr>
            <w:hyperlink r:id="rId49">
              <w:r w:rsidRPr="4954557E">
                <w:rPr>
                  <w:rStyle w:val="Hyperlink"/>
                  <w:color w:val="1155CC"/>
                  <w:u w:val="none"/>
                </w:rPr>
                <w:t>Britain curbs power exports to Europe to preserve supplies</w:t>
              </w:r>
            </w:hyperlink>
          </w:p>
          <w:p w14:paraId="000000B2" w14:textId="3DC08C38" w:rsidR="002A5780" w:rsidRDefault="002A5780">
            <w:pPr>
              <w:spacing w:after="0"/>
              <w:jc w:val="both"/>
            </w:pPr>
          </w:p>
        </w:tc>
      </w:tr>
      <w:tr w:rsidR="5CD04D43" w14:paraId="3DF588DD" w14:textId="77777777" w:rsidTr="2AC19007">
        <w:tc>
          <w:tcPr>
            <w:tcW w:w="776" w:type="dxa"/>
            <w:tcMar>
              <w:top w:w="29" w:type="dxa"/>
              <w:left w:w="115" w:type="dxa"/>
              <w:bottom w:w="29" w:type="dxa"/>
              <w:right w:w="115" w:type="dxa"/>
            </w:tcMar>
          </w:tcPr>
          <w:p w14:paraId="1AF21BC1" w14:textId="72260E8C" w:rsidR="2A50F822" w:rsidRDefault="65C4B79D" w:rsidP="5CD04D43">
            <w:pPr>
              <w:spacing w:after="0"/>
              <w:jc w:val="both"/>
            </w:pPr>
            <w:r w:rsidRPr="4954557E">
              <w:rPr>
                <w:sz w:val="20"/>
                <w:szCs w:val="20"/>
              </w:rPr>
              <w:t>09/08</w:t>
            </w:r>
          </w:p>
        </w:tc>
        <w:tc>
          <w:tcPr>
            <w:tcW w:w="12322" w:type="dxa"/>
            <w:gridSpan w:val="2"/>
            <w:tcMar>
              <w:top w:w="29" w:type="dxa"/>
              <w:left w:w="115" w:type="dxa"/>
              <w:bottom w:w="29" w:type="dxa"/>
              <w:right w:w="115" w:type="dxa"/>
            </w:tcMar>
          </w:tcPr>
          <w:p w14:paraId="3C2196CC" w14:textId="0B6E8100" w:rsidR="2A50F822" w:rsidRDefault="65C4B79D" w:rsidP="5CD04D43">
            <w:pPr>
              <w:spacing w:after="0"/>
              <w:jc w:val="both"/>
            </w:pPr>
            <w:r w:rsidRPr="4954557E">
              <w:rPr>
                <w:sz w:val="20"/>
                <w:szCs w:val="20"/>
              </w:rPr>
              <w:t>„Pinsent Masons“ duomenimis, JK ilgalaikės valstybės subsidijos per metus iki 2026 m. kovo išaugo daugiau nei dvigubai – iki 114 mlrd. GBP. Didžioji papildomos paramos dalis skirta jūros vėjo energetikos projektams ir daugiau kaip 50 mlrd. GBP paramai Sizewell C atominei elektrinei. Subsidijų augimas atspindi po „Brexit“ išaugusį JK lankstumą valstybės pagalbos srityje, nors EU yra išreiškusi susirūpinimą dėl JK subsidijų kontrolės sistemos veiksmingumo ir vienodų konkurencijos sąlygų.</w:t>
            </w:r>
          </w:p>
        </w:tc>
        <w:tc>
          <w:tcPr>
            <w:tcW w:w="2148" w:type="dxa"/>
            <w:tcMar>
              <w:top w:w="29" w:type="dxa"/>
              <w:left w:w="115" w:type="dxa"/>
              <w:bottom w:w="29" w:type="dxa"/>
              <w:right w:w="115" w:type="dxa"/>
            </w:tcMar>
          </w:tcPr>
          <w:p w14:paraId="1A75C21F" w14:textId="6217FA1F" w:rsidR="2A50F822" w:rsidRDefault="65C4B79D" w:rsidP="4954557E">
            <w:pPr>
              <w:spacing w:after="0"/>
              <w:jc w:val="both"/>
              <w:rPr>
                <w:rFonts w:ascii="Times New Roman" w:eastAsia="Times New Roman" w:hAnsi="Times New Roman" w:cs="Times New Roman"/>
                <w:color w:val="1155CC"/>
                <w:sz w:val="24"/>
                <w:szCs w:val="24"/>
              </w:rPr>
            </w:pPr>
            <w:hyperlink r:id="rId50">
              <w:r w:rsidRPr="4954557E">
                <w:rPr>
                  <w:rStyle w:val="Hyperlink"/>
                  <w:color w:val="1155CC"/>
                  <w:u w:val="none"/>
                </w:rPr>
                <w:t>UK state subsidies soar as post-Brexit support boosts energy projects</w:t>
              </w:r>
            </w:hyperlink>
          </w:p>
        </w:tc>
      </w:tr>
      <w:tr w:rsidR="4954557E" w14:paraId="4BA8624B" w14:textId="77777777" w:rsidTr="2AC19007">
        <w:trPr>
          <w:trHeight w:val="300"/>
        </w:trPr>
        <w:tc>
          <w:tcPr>
            <w:tcW w:w="776" w:type="dxa"/>
            <w:tcMar>
              <w:top w:w="29" w:type="dxa"/>
              <w:left w:w="115" w:type="dxa"/>
              <w:bottom w:w="29" w:type="dxa"/>
              <w:right w:w="115" w:type="dxa"/>
            </w:tcMar>
          </w:tcPr>
          <w:p w14:paraId="06DFE1EE" w14:textId="7F4885E6" w:rsidR="65C4B79D" w:rsidRDefault="65C4B79D" w:rsidP="4954557E">
            <w:pPr>
              <w:jc w:val="both"/>
            </w:pPr>
            <w:r w:rsidRPr="4954557E">
              <w:rPr>
                <w:sz w:val="20"/>
                <w:szCs w:val="20"/>
              </w:rPr>
              <w:t>14/08</w:t>
            </w:r>
          </w:p>
        </w:tc>
        <w:tc>
          <w:tcPr>
            <w:tcW w:w="12322" w:type="dxa"/>
            <w:gridSpan w:val="2"/>
            <w:tcMar>
              <w:top w:w="29" w:type="dxa"/>
              <w:left w:w="115" w:type="dxa"/>
              <w:bottom w:w="29" w:type="dxa"/>
              <w:right w:w="115" w:type="dxa"/>
            </w:tcMar>
          </w:tcPr>
          <w:p w14:paraId="54A4F2E2" w14:textId="25AB5548" w:rsidR="65C4B79D" w:rsidRDefault="65C4B79D" w:rsidP="4954557E">
            <w:pPr>
              <w:jc w:val="both"/>
            </w:pPr>
            <w:r w:rsidRPr="4954557E">
              <w:rPr>
                <w:sz w:val="20"/>
                <w:szCs w:val="20"/>
              </w:rPr>
              <w:t>Ekstremalūs karščiai ir sausra padidino spaudimą JK infrastruktūrai ir žemės ūkiui - 2026 m. jau užfiksuotas rekordinis 1 085 miškų ir laukinės gamtos gaisrų skaičius. Vyriausybė pasitelkė kariuomenę gaisrų gesinimo darbams ir paskelbė apie papildomą 65 mln. GBP paramą nuo sausros nukentėjusiems ūkininkams. Tuo pat metu Andy Burnham vyriausybė svarsto reikalavimą, kad iki 2030 m. netaršios transporto priemonės sudarytų 80 proc. naujų automobilių pardavimų, sumažinti iki 50 proc., taip pat galimybę leisti pradėti naftos ir dujų gavybą Rosebank ir Jackdaw telkiniuose Šiaurės jūroje. Šie svarstymai atspindi siekį derinti klimato politikos tikslus su ekonomikos augimo ir pramonės konkurencingumo prioritetais.</w:t>
            </w:r>
          </w:p>
        </w:tc>
        <w:tc>
          <w:tcPr>
            <w:tcW w:w="2148" w:type="dxa"/>
            <w:tcMar>
              <w:top w:w="29" w:type="dxa"/>
              <w:left w:w="115" w:type="dxa"/>
              <w:bottom w:w="29" w:type="dxa"/>
              <w:right w:w="115" w:type="dxa"/>
            </w:tcMar>
          </w:tcPr>
          <w:p w14:paraId="47198667" w14:textId="58554F56" w:rsidR="65C4B79D" w:rsidRDefault="65C4B79D" w:rsidP="4954557E">
            <w:pPr>
              <w:spacing w:after="0"/>
              <w:jc w:val="both"/>
              <w:rPr>
                <w:rFonts w:ascii="Times New Roman" w:eastAsia="Times New Roman" w:hAnsi="Times New Roman" w:cs="Times New Roman"/>
                <w:color w:val="1155CC"/>
                <w:sz w:val="24"/>
                <w:szCs w:val="24"/>
              </w:rPr>
            </w:pPr>
            <w:hyperlink r:id="rId51">
              <w:r w:rsidRPr="4954557E">
                <w:rPr>
                  <w:rStyle w:val="Hyperlink"/>
                  <w:color w:val="1155CC"/>
                  <w:u w:val="none"/>
                </w:rPr>
                <w:t>Burnham warns of ‘tinderbox’ Britain after week of intense heat</w:t>
              </w:r>
            </w:hyperlink>
          </w:p>
        </w:tc>
      </w:tr>
      <w:tr w:rsidR="4954557E" w14:paraId="2727FF01" w14:textId="77777777" w:rsidTr="2AC19007">
        <w:trPr>
          <w:trHeight w:val="300"/>
        </w:trPr>
        <w:tc>
          <w:tcPr>
            <w:tcW w:w="776" w:type="dxa"/>
            <w:tcMar>
              <w:top w:w="29" w:type="dxa"/>
              <w:left w:w="115" w:type="dxa"/>
              <w:bottom w:w="29" w:type="dxa"/>
              <w:right w:w="115" w:type="dxa"/>
            </w:tcMar>
          </w:tcPr>
          <w:p w14:paraId="69CF7FD7" w14:textId="5A9ED800" w:rsidR="65C4B79D" w:rsidRDefault="65C4B79D" w:rsidP="4954557E">
            <w:pPr>
              <w:jc w:val="both"/>
            </w:pPr>
            <w:r w:rsidRPr="4954557E">
              <w:rPr>
                <w:sz w:val="20"/>
                <w:szCs w:val="20"/>
              </w:rPr>
              <w:t>16/08</w:t>
            </w:r>
          </w:p>
        </w:tc>
        <w:tc>
          <w:tcPr>
            <w:tcW w:w="12322" w:type="dxa"/>
            <w:gridSpan w:val="2"/>
            <w:tcMar>
              <w:top w:w="29" w:type="dxa"/>
              <w:left w:w="115" w:type="dxa"/>
              <w:bottom w:w="29" w:type="dxa"/>
              <w:right w:w="115" w:type="dxa"/>
            </w:tcMar>
          </w:tcPr>
          <w:p w14:paraId="5C58A3FE" w14:textId="1FA3C543" w:rsidR="65C4B79D" w:rsidRDefault="65C4B79D" w:rsidP="4954557E">
            <w:pPr>
              <w:jc w:val="both"/>
            </w:pPr>
            <w:r w:rsidRPr="4954557E">
              <w:rPr>
                <w:sz w:val="20"/>
                <w:szCs w:val="20"/>
              </w:rPr>
              <w:t>Temzės užtvarą gali tekti pakeisti 10–20 metų anksčiau, nei iki šiol planuota, dėl didėjančios ekstremalių oro reiškinių ir potvynių rizikos Londone. Naujos užtvaros statyba galėtų kainuoti mažiausiai 20 mlrd. GBP – daugiau nei dvigubai, palyginti su ankstesniais 6–9 mlrd. GBP vertinimais – ir užtrukti iki 30 metų. Aplinkos agentūra vertina užtvaros modernizavimo arba pakeitimo galimybes, o tai rodo didėjantį ilgalaikių investicijų į JK infrastruktūros atsparumą klimato kaitai poreikį.</w:t>
            </w:r>
          </w:p>
        </w:tc>
        <w:tc>
          <w:tcPr>
            <w:tcW w:w="2148" w:type="dxa"/>
            <w:tcMar>
              <w:top w:w="29" w:type="dxa"/>
              <w:left w:w="115" w:type="dxa"/>
              <w:bottom w:w="29" w:type="dxa"/>
              <w:right w:w="115" w:type="dxa"/>
            </w:tcMar>
          </w:tcPr>
          <w:p w14:paraId="496953A6" w14:textId="5BCD1B9B" w:rsidR="65C4B79D" w:rsidRDefault="65C4B79D" w:rsidP="4954557E">
            <w:pPr>
              <w:spacing w:after="0"/>
              <w:jc w:val="both"/>
              <w:rPr>
                <w:rFonts w:ascii="Times New Roman" w:eastAsia="Times New Roman" w:hAnsi="Times New Roman" w:cs="Times New Roman"/>
                <w:color w:val="1155CC"/>
                <w:sz w:val="24"/>
                <w:szCs w:val="24"/>
              </w:rPr>
            </w:pPr>
            <w:hyperlink r:id="rId52">
              <w:r w:rsidRPr="4954557E">
                <w:rPr>
                  <w:rStyle w:val="Hyperlink"/>
                  <w:color w:val="1155CC"/>
                  <w:u w:val="none"/>
                </w:rPr>
                <w:t>Thames Barrier may need £20bn replacement far sooner than expected</w:t>
              </w:r>
            </w:hyperlink>
          </w:p>
        </w:tc>
      </w:tr>
      <w:tr w:rsidR="4954557E" w14:paraId="27C6C753" w14:textId="77777777" w:rsidTr="2AC19007">
        <w:trPr>
          <w:trHeight w:val="300"/>
        </w:trPr>
        <w:tc>
          <w:tcPr>
            <w:tcW w:w="776" w:type="dxa"/>
            <w:tcMar>
              <w:top w:w="29" w:type="dxa"/>
              <w:left w:w="115" w:type="dxa"/>
              <w:bottom w:w="29" w:type="dxa"/>
              <w:right w:w="115" w:type="dxa"/>
            </w:tcMar>
          </w:tcPr>
          <w:p w14:paraId="606782F5" w14:textId="7E3ACEB2" w:rsidR="65C4B79D" w:rsidRDefault="65C4B79D" w:rsidP="4954557E">
            <w:pPr>
              <w:jc w:val="both"/>
            </w:pPr>
            <w:r w:rsidRPr="4954557E">
              <w:rPr>
                <w:sz w:val="20"/>
                <w:szCs w:val="20"/>
              </w:rPr>
              <w:lastRenderedPageBreak/>
              <w:t>17/08</w:t>
            </w:r>
          </w:p>
        </w:tc>
        <w:tc>
          <w:tcPr>
            <w:tcW w:w="12322" w:type="dxa"/>
            <w:gridSpan w:val="2"/>
            <w:tcMar>
              <w:top w:w="29" w:type="dxa"/>
              <w:left w:w="115" w:type="dxa"/>
              <w:bottom w:w="29" w:type="dxa"/>
              <w:right w:w="115" w:type="dxa"/>
            </w:tcMar>
          </w:tcPr>
          <w:p w14:paraId="4B56190E" w14:textId="7184CEDF" w:rsidR="65C4B79D" w:rsidRDefault="65C4B79D" w:rsidP="4954557E">
            <w:pPr>
              <w:jc w:val="both"/>
            </w:pPr>
            <w:r w:rsidRPr="4954557E">
              <w:rPr>
                <w:sz w:val="20"/>
                <w:szCs w:val="20"/>
              </w:rPr>
              <w:t>Vyriausybė jau rugsėjį gali priimti sprendimą dėl Rosebank ir Jackdaw naftos ir dujų projektų Šiaurės jūroje. Abiem projektams reikia iš naujo gauti leidimus po teismo sprendimo, įpareigojančio vertinti ir išgauto kuro naudojimo metu susidarančias emisijas. Nafta ir dujos vis dar sudaro apie 75 proc. JK pirminės energijos poreikio, o diskusijos dėl projektų išryškina poreikį derinti energetinį saugumą, investicijas ir darbo vietas su šalies klimato tikslais.</w:t>
            </w:r>
          </w:p>
        </w:tc>
        <w:tc>
          <w:tcPr>
            <w:tcW w:w="2148" w:type="dxa"/>
            <w:tcMar>
              <w:top w:w="29" w:type="dxa"/>
              <w:left w:w="115" w:type="dxa"/>
              <w:bottom w:w="29" w:type="dxa"/>
              <w:right w:w="115" w:type="dxa"/>
            </w:tcMar>
          </w:tcPr>
          <w:p w14:paraId="40D532C9" w14:textId="6A38C4FF" w:rsidR="65C4B79D" w:rsidRDefault="65C4B79D" w:rsidP="4954557E">
            <w:pPr>
              <w:spacing w:after="0"/>
              <w:jc w:val="both"/>
              <w:rPr>
                <w:rFonts w:ascii="Times New Roman" w:eastAsia="Times New Roman" w:hAnsi="Times New Roman" w:cs="Times New Roman"/>
                <w:color w:val="1155CC"/>
                <w:sz w:val="24"/>
                <w:szCs w:val="24"/>
              </w:rPr>
            </w:pPr>
            <w:hyperlink r:id="rId53">
              <w:r w:rsidRPr="4954557E">
                <w:rPr>
                  <w:rStyle w:val="Hyperlink"/>
                  <w:color w:val="1155CC"/>
                  <w:u w:val="none"/>
                </w:rPr>
                <w:t>Andy Burnham faces climate test over North Sea oil decision</w:t>
              </w:r>
            </w:hyperlink>
          </w:p>
        </w:tc>
      </w:tr>
      <w:tr w:rsidR="4954557E" w14:paraId="4C5CE6E5" w14:textId="77777777" w:rsidTr="2AC19007">
        <w:trPr>
          <w:trHeight w:val="300"/>
        </w:trPr>
        <w:tc>
          <w:tcPr>
            <w:tcW w:w="776" w:type="dxa"/>
            <w:tcMar>
              <w:top w:w="29" w:type="dxa"/>
              <w:left w:w="115" w:type="dxa"/>
              <w:bottom w:w="29" w:type="dxa"/>
              <w:right w:w="115" w:type="dxa"/>
            </w:tcMar>
          </w:tcPr>
          <w:p w14:paraId="27920426" w14:textId="5A635861" w:rsidR="0A47AE9E" w:rsidRDefault="0A47AE9E" w:rsidP="4954557E">
            <w:pPr>
              <w:jc w:val="both"/>
            </w:pPr>
            <w:r w:rsidRPr="4954557E">
              <w:rPr>
                <w:sz w:val="20"/>
                <w:szCs w:val="20"/>
              </w:rPr>
              <w:t>19/08</w:t>
            </w:r>
          </w:p>
        </w:tc>
        <w:tc>
          <w:tcPr>
            <w:tcW w:w="12322" w:type="dxa"/>
            <w:gridSpan w:val="2"/>
            <w:tcMar>
              <w:top w:w="29" w:type="dxa"/>
              <w:left w:w="115" w:type="dxa"/>
              <w:bottom w:w="29" w:type="dxa"/>
              <w:right w:w="115" w:type="dxa"/>
            </w:tcMar>
          </w:tcPr>
          <w:p w14:paraId="7B754E15" w14:textId="3D3C7A19" w:rsidR="0A47AE9E" w:rsidRDefault="0A47AE9E" w:rsidP="4954557E">
            <w:pPr>
              <w:jc w:val="both"/>
            </w:pPr>
            <w:r w:rsidRPr="4954557E">
              <w:rPr>
                <w:sz w:val="20"/>
                <w:szCs w:val="20"/>
              </w:rPr>
              <w:t>Po sausiausios liepos Anglijoje ir Velse nuo 1836 m. vandens bendrovės ir reguliuotojas „Ofwat“ svarsto naujus kainodaros modelius, pagal kuriuos daugiau vandens suvartojantys namų ūkiai mokėtų daugiau. Daugiau nei ketvirtadalis požeminio vandens išteklių šiuo metu naudojama netvariu mastu, o nesiėmus papildomų priemonių per artimiausius 30 metų viešajam vandens tiekimui gali trūkti iki 5 mlrd. litrų vandens per dieną. Kainodaros reforma siekiama mažinti perteklinį vandens vartojimą, kartu pabrėžiant poreikį didinti investicijas į senstančią vandens infrastruktūrą.</w:t>
            </w:r>
          </w:p>
        </w:tc>
        <w:tc>
          <w:tcPr>
            <w:tcW w:w="2148" w:type="dxa"/>
            <w:tcMar>
              <w:top w:w="29" w:type="dxa"/>
              <w:left w:w="115" w:type="dxa"/>
              <w:bottom w:w="29" w:type="dxa"/>
              <w:right w:w="115" w:type="dxa"/>
            </w:tcMar>
          </w:tcPr>
          <w:p w14:paraId="4238DD21" w14:textId="1D745AD0" w:rsidR="0A47AE9E" w:rsidRDefault="0A47AE9E" w:rsidP="4954557E">
            <w:pPr>
              <w:jc w:val="both"/>
            </w:pPr>
            <w:hyperlink r:id="rId54">
              <w:r w:rsidRPr="085EE119">
                <w:rPr>
                  <w:rStyle w:val="Hyperlink"/>
                </w:rPr>
                <w:t>We need to rethink how we pay for water</w:t>
              </w:r>
            </w:hyperlink>
          </w:p>
        </w:tc>
      </w:tr>
      <w:tr w:rsidR="085EE119" w14:paraId="4D8DE9D0" w14:textId="77777777" w:rsidTr="2AC19007">
        <w:trPr>
          <w:trHeight w:val="300"/>
        </w:trPr>
        <w:tc>
          <w:tcPr>
            <w:tcW w:w="776" w:type="dxa"/>
            <w:tcMar>
              <w:top w:w="29" w:type="dxa"/>
              <w:left w:w="115" w:type="dxa"/>
              <w:bottom w:w="29" w:type="dxa"/>
              <w:right w:w="115" w:type="dxa"/>
            </w:tcMar>
          </w:tcPr>
          <w:p w14:paraId="5DA49813" w14:textId="45CF48DE" w:rsidR="12523AE6" w:rsidRDefault="12523AE6" w:rsidP="085EE119">
            <w:pPr>
              <w:jc w:val="both"/>
            </w:pPr>
            <w:r w:rsidRPr="085EE119">
              <w:rPr>
                <w:sz w:val="20"/>
                <w:szCs w:val="20"/>
              </w:rPr>
              <w:t>22/08</w:t>
            </w:r>
          </w:p>
        </w:tc>
        <w:tc>
          <w:tcPr>
            <w:tcW w:w="12322" w:type="dxa"/>
            <w:gridSpan w:val="2"/>
            <w:tcMar>
              <w:top w:w="29" w:type="dxa"/>
              <w:left w:w="115" w:type="dxa"/>
              <w:bottom w:w="29" w:type="dxa"/>
              <w:right w:w="115" w:type="dxa"/>
            </w:tcMar>
          </w:tcPr>
          <w:p w14:paraId="468D9A42" w14:textId="30566975" w:rsidR="12523AE6" w:rsidRDefault="12523AE6" w:rsidP="085EE119">
            <w:pPr>
              <w:jc w:val="both"/>
            </w:pPr>
            <w:r w:rsidRPr="085EE119">
              <w:rPr>
                <w:sz w:val="20"/>
                <w:szCs w:val="20"/>
              </w:rPr>
              <w:t>Anglijos vandens sektorius susiduria su ilgalaikėmis nepakankamo investavimo, didelio įsiskolinimo ir senstančios infrastruktūros problemomis. 1991–2025 m. 16 privatizuotų vandens bendrovių sukaupė 82 mlrd. svarų sterlingų skolą, o akcininkams išmokėjo 85 mlrd. svarų sterlingų dividendų. Dėl nesandarių vamzdynų prarandama daugiau kaip penktadalis išvalyto vandens, o nepakankami vandens kaupimo ir nuotekų valymo pajėgumai prisideda prie vandens tiekimo sutrikimų ir taršos. „Thames Water“ finansiniai sunkumai dar labiau išryškino sektoriaus problemas – vyriausybei gali tekti rinktis tarp bendrovės restruktūrizavimo ir jos perėmimo valstybės žinion.</w:t>
            </w:r>
          </w:p>
        </w:tc>
        <w:tc>
          <w:tcPr>
            <w:tcW w:w="2148" w:type="dxa"/>
            <w:tcMar>
              <w:top w:w="29" w:type="dxa"/>
              <w:left w:w="115" w:type="dxa"/>
              <w:bottom w:w="29" w:type="dxa"/>
              <w:right w:w="115" w:type="dxa"/>
            </w:tcMar>
          </w:tcPr>
          <w:p w14:paraId="33FBAB5C" w14:textId="20D26914" w:rsidR="12523AE6" w:rsidRDefault="12523AE6" w:rsidP="085EE119">
            <w:pPr>
              <w:jc w:val="both"/>
            </w:pPr>
            <w:hyperlink r:id="rId55">
              <w:r w:rsidRPr="085EE119">
                <w:rPr>
                  <w:rStyle w:val="Hyperlink"/>
                </w:rPr>
                <w:t>The fight to save England’s rivers</w:t>
              </w:r>
            </w:hyperlink>
          </w:p>
        </w:tc>
      </w:tr>
      <w:tr w:rsidR="085EE119" w14:paraId="3DBC873C" w14:textId="77777777" w:rsidTr="2AC19007">
        <w:trPr>
          <w:trHeight w:val="300"/>
        </w:trPr>
        <w:tc>
          <w:tcPr>
            <w:tcW w:w="776" w:type="dxa"/>
            <w:tcMar>
              <w:top w:w="29" w:type="dxa"/>
              <w:left w:w="115" w:type="dxa"/>
              <w:bottom w:w="29" w:type="dxa"/>
              <w:right w:w="115" w:type="dxa"/>
            </w:tcMar>
          </w:tcPr>
          <w:p w14:paraId="7F728187" w14:textId="42267E51" w:rsidR="783E551E" w:rsidRDefault="783E551E" w:rsidP="085EE119">
            <w:pPr>
              <w:jc w:val="both"/>
            </w:pPr>
            <w:r w:rsidRPr="085EE119">
              <w:rPr>
                <w:sz w:val="20"/>
                <w:szCs w:val="20"/>
              </w:rPr>
              <w:t>23/08</w:t>
            </w:r>
          </w:p>
        </w:tc>
        <w:tc>
          <w:tcPr>
            <w:tcW w:w="12322" w:type="dxa"/>
            <w:gridSpan w:val="2"/>
            <w:tcMar>
              <w:top w:w="29" w:type="dxa"/>
              <w:left w:w="115" w:type="dxa"/>
              <w:bottom w:w="29" w:type="dxa"/>
              <w:right w:w="115" w:type="dxa"/>
            </w:tcMar>
          </w:tcPr>
          <w:p w14:paraId="74697414" w14:textId="033FA8B9" w:rsidR="783E551E" w:rsidRDefault="783E551E" w:rsidP="085EE119">
            <w:pPr>
              <w:jc w:val="both"/>
            </w:pPr>
            <w:r w:rsidRPr="085EE119">
              <w:rPr>
                <w:sz w:val="20"/>
                <w:szCs w:val="20"/>
              </w:rPr>
              <w:t>Kibernetinė ataka keturioms dienoms sustabdė nedidelę JK dujomis kūrenamą pikinės apkrovos elektrinę. Įtariama, kad su Iranu siejami programišiai pasinaudojo pramoninių valdymo sistemų pažeidžiamumu. Nors incidentas neturėjo poveikio platesnei elektros energetikos sistemai, jis atskleidė galimas mažesnių energetikos objektų, kuriems netaikomi tokie patys kibernetinio saugumo reikalavimai kaip didesniems infrastruktūros objektams, saugumo spragas. Reaguodamos į incidentą, JK institucijos pateikė energetikos bendrovėms rekomendacijas dėl saugumo stiprinimo, o vyriausybė rengia Energetikos atsparumo strategiją, skirtą energetikos sistemos atsparumui kibernetinėms, technologinėms, klimato ir geopolitinėms grėsmėms didinti.</w:t>
            </w:r>
          </w:p>
        </w:tc>
        <w:tc>
          <w:tcPr>
            <w:tcW w:w="2148" w:type="dxa"/>
            <w:tcMar>
              <w:top w:w="29" w:type="dxa"/>
              <w:left w:w="115" w:type="dxa"/>
              <w:bottom w:w="29" w:type="dxa"/>
              <w:right w:w="115" w:type="dxa"/>
            </w:tcMar>
          </w:tcPr>
          <w:p w14:paraId="5F87FF0A" w14:textId="6AD18594" w:rsidR="783E551E" w:rsidRDefault="783E551E" w:rsidP="085EE119">
            <w:pPr>
              <w:jc w:val="both"/>
            </w:pPr>
            <w:hyperlink r:id="rId56">
              <w:r w:rsidRPr="085EE119">
                <w:rPr>
                  <w:rStyle w:val="Hyperlink"/>
                  <w:lang w:val="en-US"/>
                </w:rPr>
                <w:t>UK energy companies on alert after ‘Iran-linked hackers’ shut down ‘peaker’ plant</w:t>
              </w:r>
            </w:hyperlink>
          </w:p>
        </w:tc>
      </w:tr>
      <w:tr w:rsidR="085EE119" w14:paraId="5DFD6AB8" w14:textId="77777777" w:rsidTr="2AC19007">
        <w:trPr>
          <w:trHeight w:val="300"/>
        </w:trPr>
        <w:tc>
          <w:tcPr>
            <w:tcW w:w="776" w:type="dxa"/>
            <w:tcMar>
              <w:top w:w="29" w:type="dxa"/>
              <w:left w:w="115" w:type="dxa"/>
              <w:bottom w:w="29" w:type="dxa"/>
              <w:right w:w="115" w:type="dxa"/>
            </w:tcMar>
          </w:tcPr>
          <w:p w14:paraId="7BCA1C61" w14:textId="2E4CBECA" w:rsidR="11F8DEB0" w:rsidRDefault="11F8DEB0" w:rsidP="085EE119">
            <w:pPr>
              <w:jc w:val="both"/>
            </w:pPr>
            <w:r w:rsidRPr="085EE119">
              <w:rPr>
                <w:sz w:val="20"/>
                <w:szCs w:val="20"/>
              </w:rPr>
              <w:t>24/08</w:t>
            </w:r>
          </w:p>
        </w:tc>
        <w:tc>
          <w:tcPr>
            <w:tcW w:w="12322" w:type="dxa"/>
            <w:gridSpan w:val="2"/>
            <w:tcMar>
              <w:top w:w="29" w:type="dxa"/>
              <w:left w:w="115" w:type="dxa"/>
              <w:bottom w:w="29" w:type="dxa"/>
              <w:right w:w="115" w:type="dxa"/>
            </w:tcMar>
          </w:tcPr>
          <w:p w14:paraId="4C8AAFBD" w14:textId="43A7E36C" w:rsidR="11F8DEB0" w:rsidRDefault="11F8DEB0" w:rsidP="085EE119">
            <w:pPr>
              <w:jc w:val="both"/>
            </w:pPr>
            <w:r w:rsidRPr="085EE119">
              <w:rPr>
                <w:sz w:val="20"/>
                <w:szCs w:val="20"/>
              </w:rPr>
              <w:t>Finansinių sunkumų patirianti „Thames Water“, aptarnaujanti apie 16 mln. vartotojų Londone ir aplinkinėse teritorijose, turi apie 20 mlrd. svarų sterlingų skolų ir gali pritrūkti lėšų jau spalį. Bendrovės kreditoriai rengia jos perėmimo ir ilgalaikio restruktūrizavimo planą, numatantį papildomą finansavimą ir didesnę viešojo sektoriaus įtaką bendrovės valdymui. Jei susitarimas su vyriausybe ir „Ofwat“ nebūtų pasiektas, bendrovė galėtų būti perimta valstybės žinion taikant specialų administravimo režimą, pagal kurį skolos ir palūkanų mokėjimai būtų sustabdyti, atlaisvinant daugiau lėšų investicijoms į vandens infrastruktūrą.</w:t>
            </w:r>
          </w:p>
        </w:tc>
        <w:tc>
          <w:tcPr>
            <w:tcW w:w="2148" w:type="dxa"/>
            <w:tcMar>
              <w:top w:w="29" w:type="dxa"/>
              <w:left w:w="115" w:type="dxa"/>
              <w:bottom w:w="29" w:type="dxa"/>
              <w:right w:w="115" w:type="dxa"/>
            </w:tcMar>
          </w:tcPr>
          <w:p w14:paraId="2B250211" w14:textId="240141B2" w:rsidR="11F8DEB0" w:rsidRDefault="11F8DEB0" w:rsidP="085EE119">
            <w:pPr>
              <w:jc w:val="both"/>
            </w:pPr>
            <w:hyperlink r:id="rId57">
              <w:r w:rsidRPr="085EE119">
                <w:rPr>
                  <w:rStyle w:val="Hyperlink"/>
                  <w:lang w:val="en-US"/>
                </w:rPr>
                <w:t>Thames Water creditors plan board shake-up if utility avoids nationalisation</w:t>
              </w:r>
            </w:hyperlink>
          </w:p>
        </w:tc>
      </w:tr>
      <w:tr w:rsidR="085EE119" w14:paraId="0697DA19" w14:textId="77777777" w:rsidTr="2AC19007">
        <w:trPr>
          <w:trHeight w:val="300"/>
        </w:trPr>
        <w:tc>
          <w:tcPr>
            <w:tcW w:w="776" w:type="dxa"/>
            <w:tcMar>
              <w:top w:w="29" w:type="dxa"/>
              <w:left w:w="115" w:type="dxa"/>
              <w:bottom w:w="29" w:type="dxa"/>
              <w:right w:w="115" w:type="dxa"/>
            </w:tcMar>
          </w:tcPr>
          <w:p w14:paraId="5DCF532B" w14:textId="016AC743" w:rsidR="5D61FEEB" w:rsidRDefault="5D61FEEB" w:rsidP="085EE119">
            <w:pPr>
              <w:jc w:val="both"/>
            </w:pPr>
            <w:r w:rsidRPr="085EE119">
              <w:rPr>
                <w:sz w:val="20"/>
                <w:szCs w:val="20"/>
              </w:rPr>
              <w:t>24/08</w:t>
            </w:r>
          </w:p>
        </w:tc>
        <w:tc>
          <w:tcPr>
            <w:tcW w:w="12322" w:type="dxa"/>
            <w:gridSpan w:val="2"/>
            <w:tcMar>
              <w:top w:w="29" w:type="dxa"/>
              <w:left w:w="115" w:type="dxa"/>
              <w:bottom w:w="29" w:type="dxa"/>
              <w:right w:w="115" w:type="dxa"/>
            </w:tcMar>
          </w:tcPr>
          <w:p w14:paraId="0D235ED6" w14:textId="2C2B7C97" w:rsidR="5D61FEEB" w:rsidRDefault="5D61FEEB" w:rsidP="085EE119">
            <w:pPr>
              <w:jc w:val="both"/>
            </w:pPr>
            <w:r w:rsidRPr="085EE119">
              <w:rPr>
                <w:sz w:val="20"/>
                <w:szCs w:val="20"/>
              </w:rPr>
              <w:t>K vyriausybės skaičiavimais, su Šiaurės jūros naftos ir dujų sektoriumi susijusių darbo vietų skaičius gali sumažėti nuo 136 675 2024 m. iki maždaug 82 tūkst. 2030 m. ir 23,5 tūkst. 2050 m., t. y. apie 80 proc. Atsinaujinančiosios energetikos, ypač jūros vėjo energetikos, plėtrą lėtina išaugusios sąnaudos ir būtinybė modernizuoti elektros perdavimo infrastruktūrą, todėl šiame sektoriuje kuriamų darbo vietų kol kas nepakanka prognozuojamam darbo vietų mažėjimui naftos ir dujų sektoriuje kompensuoti. Vyriausybė nebeišduoda naujų naftos ir dujų gavybos licencijų, tačiau svarsto Rosebank ir Jackdaw telkinių ateitį, o sektoriaus atstovai ragina užtikrinti nuoseklų perėjimą prie švaresnės energetikos, kartu išsaugant kvalifikuotas darbo vietas, tiekimo grandines ir JK energetinį saugumą.</w:t>
            </w:r>
          </w:p>
        </w:tc>
        <w:tc>
          <w:tcPr>
            <w:tcW w:w="2148" w:type="dxa"/>
            <w:tcMar>
              <w:top w:w="29" w:type="dxa"/>
              <w:left w:w="115" w:type="dxa"/>
              <w:bottom w:w="29" w:type="dxa"/>
              <w:right w:w="115" w:type="dxa"/>
            </w:tcMar>
          </w:tcPr>
          <w:p w14:paraId="1BA09F9D" w14:textId="6BF3A0F7" w:rsidR="5D61FEEB" w:rsidRDefault="5D61FEEB" w:rsidP="085EE119">
            <w:pPr>
              <w:jc w:val="both"/>
            </w:pPr>
            <w:hyperlink r:id="rId58">
              <w:r w:rsidRPr="085EE119">
                <w:rPr>
                  <w:rStyle w:val="Hyperlink"/>
                  <w:lang w:val="en-US"/>
                </w:rPr>
                <w:t>More than 100,000 North Sea oil and gas jobs to go by 2050</w:t>
              </w:r>
            </w:hyperlink>
          </w:p>
        </w:tc>
      </w:tr>
      <w:tr w:rsidR="085EE119" w14:paraId="18E1C25A" w14:textId="77777777" w:rsidTr="2AC19007">
        <w:trPr>
          <w:trHeight w:val="300"/>
        </w:trPr>
        <w:tc>
          <w:tcPr>
            <w:tcW w:w="776" w:type="dxa"/>
            <w:tcMar>
              <w:top w:w="29" w:type="dxa"/>
              <w:left w:w="115" w:type="dxa"/>
              <w:bottom w:w="29" w:type="dxa"/>
              <w:right w:w="115" w:type="dxa"/>
            </w:tcMar>
          </w:tcPr>
          <w:p w14:paraId="1B73D4B7" w14:textId="6AA12AB4" w:rsidR="3E2FBB17" w:rsidRDefault="3E2FBB17" w:rsidP="085EE119">
            <w:pPr>
              <w:jc w:val="both"/>
            </w:pPr>
            <w:r w:rsidRPr="085EE119">
              <w:rPr>
                <w:sz w:val="20"/>
                <w:szCs w:val="20"/>
              </w:rPr>
              <w:t>25/08</w:t>
            </w:r>
          </w:p>
        </w:tc>
        <w:tc>
          <w:tcPr>
            <w:tcW w:w="12322" w:type="dxa"/>
            <w:gridSpan w:val="2"/>
            <w:tcMar>
              <w:top w:w="29" w:type="dxa"/>
              <w:left w:w="115" w:type="dxa"/>
              <w:bottom w:w="29" w:type="dxa"/>
              <w:right w:w="115" w:type="dxa"/>
            </w:tcMar>
          </w:tcPr>
          <w:p w14:paraId="3DBEE644" w14:textId="01AE0EE6" w:rsidR="3E2FBB17" w:rsidRDefault="3E2FBB17" w:rsidP="085EE119">
            <w:pPr>
              <w:jc w:val="both"/>
            </w:pPr>
            <w:r w:rsidRPr="085EE119">
              <w:rPr>
                <w:sz w:val="20"/>
                <w:szCs w:val="20"/>
              </w:rPr>
              <w:t xml:space="preserve">JK National Wealth Fund investuoja 71 mln. svarų sterlingų į bendrovės „Tungsten West“ projektą, kuriuo siekiama atnaujinti volframo ir alavo gavybą Hemerdono kasykloje Devone. Investiciją sudaro 36 mln. svarų sterlingų už 7 proc. bendrovės akcijų ir iki 35 mln. svarų sterlingų paskolų, o vyriausybei </w:t>
            </w:r>
            <w:r w:rsidRPr="085EE119">
              <w:rPr>
                <w:sz w:val="20"/>
                <w:szCs w:val="20"/>
              </w:rPr>
              <w:lastRenderedPageBreak/>
              <w:t>taip pat bus suteikta teisė įsigyti iki pusės kasyklos metinės produkcijos. Visos apimties gamybą numatoma pradėti 2027 m. Projektas yra JK kritinių žaliavų strategijos dalis, kuria siekiama stiprinti strategiškai svarbių tiekimo grandinių atsparumą ir mažinti priklausomybę nuo Kinijos, dominuojančios pasaulinėje volframo gamyboje. Volframas naudojamas aviacijos ir kosmoso, gynybos bei įrankių gamybos sektoriuose.</w:t>
            </w:r>
          </w:p>
        </w:tc>
        <w:tc>
          <w:tcPr>
            <w:tcW w:w="2148" w:type="dxa"/>
            <w:tcMar>
              <w:top w:w="29" w:type="dxa"/>
              <w:left w:w="115" w:type="dxa"/>
              <w:bottom w:w="29" w:type="dxa"/>
              <w:right w:w="115" w:type="dxa"/>
            </w:tcMar>
          </w:tcPr>
          <w:p w14:paraId="3BAD222B" w14:textId="5A3B8941" w:rsidR="26943A63" w:rsidRDefault="26943A63" w:rsidP="085EE119">
            <w:pPr>
              <w:jc w:val="both"/>
            </w:pPr>
            <w:hyperlink r:id="rId59">
              <w:r w:rsidRPr="085EE119">
                <w:rPr>
                  <w:rStyle w:val="Hyperlink"/>
                  <w:lang w:val="en-US"/>
                </w:rPr>
                <w:t xml:space="preserve">UK backs Devon tungsten mine in </w:t>
              </w:r>
              <w:r w:rsidRPr="085EE119">
                <w:rPr>
                  <w:rStyle w:val="Hyperlink"/>
                  <w:lang w:val="en-US"/>
                </w:rPr>
                <w:lastRenderedPageBreak/>
                <w:t>effort to secure critical mineral supplies</w:t>
              </w:r>
            </w:hyperlink>
          </w:p>
        </w:tc>
      </w:tr>
      <w:tr w:rsidR="085EE119" w14:paraId="147400AF" w14:textId="77777777" w:rsidTr="2AC19007">
        <w:trPr>
          <w:trHeight w:val="300"/>
        </w:trPr>
        <w:tc>
          <w:tcPr>
            <w:tcW w:w="776" w:type="dxa"/>
            <w:tcMar>
              <w:top w:w="29" w:type="dxa"/>
              <w:left w:w="115" w:type="dxa"/>
              <w:bottom w:w="29" w:type="dxa"/>
              <w:right w:w="115" w:type="dxa"/>
            </w:tcMar>
          </w:tcPr>
          <w:p w14:paraId="5C0F3932" w14:textId="52F99C57" w:rsidR="0A39D0F2" w:rsidRDefault="0A39D0F2" w:rsidP="085EE119">
            <w:pPr>
              <w:jc w:val="both"/>
            </w:pPr>
            <w:r w:rsidRPr="085EE119">
              <w:rPr>
                <w:sz w:val="20"/>
                <w:szCs w:val="20"/>
              </w:rPr>
              <w:lastRenderedPageBreak/>
              <w:t>25/08</w:t>
            </w:r>
          </w:p>
        </w:tc>
        <w:tc>
          <w:tcPr>
            <w:tcW w:w="12322" w:type="dxa"/>
            <w:gridSpan w:val="2"/>
            <w:tcMar>
              <w:top w:w="29" w:type="dxa"/>
              <w:left w:w="115" w:type="dxa"/>
              <w:bottom w:w="29" w:type="dxa"/>
              <w:right w:w="115" w:type="dxa"/>
            </w:tcMar>
          </w:tcPr>
          <w:p w14:paraId="21A6ED39" w14:textId="4CFA86B7" w:rsidR="0A39D0F2" w:rsidRDefault="0A39D0F2" w:rsidP="085EE119">
            <w:pPr>
              <w:jc w:val="both"/>
            </w:pPr>
            <w:r w:rsidRPr="085EE119">
              <w:rPr>
                <w:sz w:val="20"/>
                <w:szCs w:val="20"/>
              </w:rPr>
              <w:t>Sizewell C atominės elektrinės projektas. Dviejų pagrindinių privažiavimo kelių prie 38 mlrd. svarų sterlingų vertės Sizewell C atominės elektrinės Safolke statybos vėluoja, rangovę „Galliford Try“ po nesutarimų dėl darbų kainos pakeitus bendrovėmis „Kier“ ir „Breheny“. Dėl rangovo pakeitimo kelių statybos gali vėluoti nuo šešių mėnesių iki metų. Sizewell C yra vienas didžiausių JK energetikos ir infrastruktūros projektų, o elektros gamybą planuojama pradėti 2030-ųjų viduryje-antroje pusėje, po 10-12 metų truksiančių statybų. Projekte numatyta pritaikyti Hinkley Point C elektrinės projektinius sprendimus, kartu siekiant išvengti šį projektą lydėjusių vėlavimų ir išlaidų viršijimo.</w:t>
            </w:r>
          </w:p>
        </w:tc>
        <w:tc>
          <w:tcPr>
            <w:tcW w:w="2148" w:type="dxa"/>
            <w:tcMar>
              <w:top w:w="29" w:type="dxa"/>
              <w:left w:w="115" w:type="dxa"/>
              <w:bottom w:w="29" w:type="dxa"/>
              <w:right w:w="115" w:type="dxa"/>
            </w:tcMar>
          </w:tcPr>
          <w:p w14:paraId="4FF0575E" w14:textId="68280CBF" w:rsidR="0A39D0F2" w:rsidRDefault="0A39D0F2" w:rsidP="085EE119">
            <w:pPr>
              <w:jc w:val="both"/>
            </w:pPr>
            <w:hyperlink r:id="rId60">
              <w:r w:rsidRPr="085EE119">
                <w:rPr>
                  <w:rStyle w:val="Hyperlink"/>
                </w:rPr>
                <w:t>Sizewell C nuclear project suffers setback after road building delayed</w:t>
              </w:r>
            </w:hyperlink>
          </w:p>
        </w:tc>
      </w:tr>
      <w:tr w:rsidR="085EE119" w14:paraId="2AC23A2C" w14:textId="77777777" w:rsidTr="2AC19007">
        <w:trPr>
          <w:trHeight w:val="300"/>
        </w:trPr>
        <w:tc>
          <w:tcPr>
            <w:tcW w:w="776" w:type="dxa"/>
            <w:tcMar>
              <w:top w:w="29" w:type="dxa"/>
              <w:left w:w="115" w:type="dxa"/>
              <w:bottom w:w="29" w:type="dxa"/>
              <w:right w:w="115" w:type="dxa"/>
            </w:tcMar>
          </w:tcPr>
          <w:p w14:paraId="4C368F81" w14:textId="29D18228" w:rsidR="0C536D09" w:rsidRDefault="0C536D09" w:rsidP="085EE119">
            <w:pPr>
              <w:jc w:val="both"/>
            </w:pPr>
            <w:r w:rsidRPr="085EE119">
              <w:rPr>
                <w:sz w:val="20"/>
                <w:szCs w:val="20"/>
              </w:rPr>
              <w:t>25/08</w:t>
            </w:r>
          </w:p>
          <w:p w14:paraId="45FF5CCD" w14:textId="2751BCBC" w:rsidR="4FDF21D6" w:rsidRDefault="4FDF21D6" w:rsidP="085EE119">
            <w:pPr>
              <w:jc w:val="both"/>
            </w:pPr>
            <w:r w:rsidRPr="085EE119">
              <w:rPr>
                <w:sz w:val="20"/>
                <w:szCs w:val="20"/>
              </w:rPr>
              <w:t>26/08</w:t>
            </w:r>
          </w:p>
        </w:tc>
        <w:tc>
          <w:tcPr>
            <w:tcW w:w="12322" w:type="dxa"/>
            <w:gridSpan w:val="2"/>
            <w:tcMar>
              <w:top w:w="29" w:type="dxa"/>
              <w:left w:w="115" w:type="dxa"/>
              <w:bottom w:w="29" w:type="dxa"/>
              <w:right w:w="115" w:type="dxa"/>
            </w:tcMar>
          </w:tcPr>
          <w:p w14:paraId="466CF1FD" w14:textId="5FEAB066" w:rsidR="2090715A" w:rsidRDefault="2090715A" w:rsidP="085EE119">
            <w:pPr>
              <w:jc w:val="both"/>
            </w:pPr>
            <w:r w:rsidRPr="085EE119">
              <w:rPr>
                <w:sz w:val="20"/>
                <w:szCs w:val="20"/>
              </w:rPr>
              <w:t>Londone nuo 2027 m. planuojama pradėti teikti autonominių taksi paslaugas. Vis dėlto visiškai autonominių taksi diegimas atsilieka nuo anksčiau numatyto grafiko – nė viena transporto priemonė dar nėra gavusi būtino reguliavimo institucijų patvirtinimo, o Transport for London (TfL) dar nepaskelbė operatoriams taikomų veiklos gairių. „Waymo“ ir JK startuolis „Wayve“ veiklą ketina pradėti nuo palyginti nedidelio skaičiaus automobilių, o ekspertai prognozuoja, kad per penkerius metus autonominių taksi skaičius galėtų išaugti iki 500–1 000. TfL vertina galimą jų poveikį eismo spūstims ir miesto transporto sistemai, ypač atsižvelgdama į tai, kad dalį laiko autonominiai automobiliai gali važiuoti be keleivių. JK institucijos taip pat rengiasi autonominio transporto diegimui – Vidaus reikalų ministerija ir Transporto departamentas rengia skubiosios pagalbos tarnybas reaguoti į incidentus, susijusius su autonominėmis transporto priemonėmis.</w:t>
            </w:r>
          </w:p>
        </w:tc>
        <w:tc>
          <w:tcPr>
            <w:tcW w:w="2148" w:type="dxa"/>
            <w:tcMar>
              <w:top w:w="29" w:type="dxa"/>
              <w:left w:w="115" w:type="dxa"/>
              <w:bottom w:w="29" w:type="dxa"/>
              <w:right w:w="115" w:type="dxa"/>
            </w:tcMar>
          </w:tcPr>
          <w:p w14:paraId="674163AE" w14:textId="5850F2C6" w:rsidR="0C536D09" w:rsidRDefault="0C536D09" w:rsidP="085EE119">
            <w:pPr>
              <w:jc w:val="both"/>
            </w:pPr>
            <w:hyperlink r:id="rId61">
              <w:r w:rsidRPr="085EE119">
                <w:rPr>
                  <w:rStyle w:val="Hyperlink"/>
                  <w:lang w:val="en-US"/>
                </w:rPr>
                <w:t>Will robotaxis clog up Britain’s cities?</w:t>
              </w:r>
            </w:hyperlink>
          </w:p>
          <w:p w14:paraId="0D0961F9" w14:textId="4DE738E4" w:rsidR="28B25F3D" w:rsidRDefault="28B25F3D" w:rsidP="085EE119">
            <w:pPr>
              <w:jc w:val="both"/>
            </w:pPr>
            <w:hyperlink r:id="rId62">
              <w:r w:rsidRPr="085EE119">
                <w:rPr>
                  <w:rStyle w:val="Hyperlink"/>
                  <w:lang w:val="en-US"/>
                </w:rPr>
                <w:t>Launch date for London robotaxis slips amid TfL uncertainty</w:t>
              </w:r>
            </w:hyperlink>
          </w:p>
        </w:tc>
      </w:tr>
      <w:tr w:rsidR="085EE119" w14:paraId="34D3749D" w14:textId="77777777" w:rsidTr="2AC19007">
        <w:trPr>
          <w:trHeight w:val="300"/>
        </w:trPr>
        <w:tc>
          <w:tcPr>
            <w:tcW w:w="776" w:type="dxa"/>
            <w:tcMar>
              <w:top w:w="29" w:type="dxa"/>
              <w:left w:w="115" w:type="dxa"/>
              <w:bottom w:w="29" w:type="dxa"/>
              <w:right w:w="115" w:type="dxa"/>
            </w:tcMar>
          </w:tcPr>
          <w:p w14:paraId="795A514F" w14:textId="0E3AC29E" w:rsidR="484D32D8" w:rsidRDefault="484D32D8" w:rsidP="085EE119">
            <w:pPr>
              <w:jc w:val="both"/>
            </w:pPr>
            <w:r w:rsidRPr="085EE119">
              <w:rPr>
                <w:sz w:val="20"/>
                <w:szCs w:val="20"/>
              </w:rPr>
              <w:t>26/08</w:t>
            </w:r>
          </w:p>
        </w:tc>
        <w:tc>
          <w:tcPr>
            <w:tcW w:w="12322" w:type="dxa"/>
            <w:gridSpan w:val="2"/>
            <w:tcMar>
              <w:top w:w="29" w:type="dxa"/>
              <w:left w:w="115" w:type="dxa"/>
              <w:bottom w:w="29" w:type="dxa"/>
              <w:right w:w="115" w:type="dxa"/>
            </w:tcMar>
          </w:tcPr>
          <w:p w14:paraId="3F2C2DC1" w14:textId="578822DE" w:rsidR="484D32D8" w:rsidRDefault="484D32D8" w:rsidP="085EE119">
            <w:pPr>
              <w:jc w:val="both"/>
            </w:pPr>
            <w:r w:rsidRPr="085EE119">
              <w:rPr>
                <w:sz w:val="20"/>
                <w:szCs w:val="20"/>
              </w:rPr>
              <w:t>Ofgem paskelbė, kad nuo spalio namų ūkiams taikoma energijos kainų viršutinė riba padidės 4 proc. – iki 1 723 svarų sterlingų per metus ir pasieks aukščiausią lygį per trejus metus; liepą ji jau buvo padidėjusi 13 proc. Kainų augimą daugiausia lemia dėl konflikto Artimuosiuose Rytuose išaugusios didmeninės dujų kainos ir prieš žiemą išliekančios istoriškai mažos dujų atsargos. Vyriausybės sprendimo nuo spalio panaikinti PVM namų ūkių elektros energijos sąskaitoms numatytą maždaug 45 svarų sterlingų metinę naudą vartotojams daugiau nei atsveria išaugusios didmeninės energijos kainos. Tai rodo išliekančią JK priklausomybę nuo tarptautinių iškastinio kuro rinkų ir importuojamos energijos. Resolution Foundation prognozuoja, kad sausį kainų viršutinė riba gali padidėti dar 12 proc.</w:t>
            </w:r>
          </w:p>
        </w:tc>
        <w:tc>
          <w:tcPr>
            <w:tcW w:w="2148" w:type="dxa"/>
            <w:tcMar>
              <w:top w:w="29" w:type="dxa"/>
              <w:left w:w="115" w:type="dxa"/>
              <w:bottom w:w="29" w:type="dxa"/>
              <w:right w:w="115" w:type="dxa"/>
            </w:tcMar>
          </w:tcPr>
          <w:p w14:paraId="167CE454" w14:textId="588DC1A5" w:rsidR="484D32D8" w:rsidRDefault="484D32D8" w:rsidP="085EE119">
            <w:pPr>
              <w:jc w:val="both"/>
            </w:pPr>
            <w:hyperlink r:id="rId63">
              <w:r w:rsidRPr="085EE119">
                <w:rPr>
                  <w:rStyle w:val="Hyperlink"/>
                </w:rPr>
                <w:t>UK household energy bills to hit three-year high from October</w:t>
              </w:r>
            </w:hyperlink>
            <w:r>
              <w:t xml:space="preserve"> </w:t>
            </w:r>
          </w:p>
        </w:tc>
      </w:tr>
      <w:tr w:rsidR="085EE119" w14:paraId="7CFE14D0" w14:textId="77777777" w:rsidTr="2AC19007">
        <w:trPr>
          <w:trHeight w:val="300"/>
        </w:trPr>
        <w:tc>
          <w:tcPr>
            <w:tcW w:w="776" w:type="dxa"/>
            <w:tcMar>
              <w:top w:w="29" w:type="dxa"/>
              <w:left w:w="115" w:type="dxa"/>
              <w:bottom w:w="29" w:type="dxa"/>
              <w:right w:w="115" w:type="dxa"/>
            </w:tcMar>
          </w:tcPr>
          <w:p w14:paraId="6912ABD9" w14:textId="3D709B7F" w:rsidR="085EE119" w:rsidRDefault="5A8750A9" w:rsidP="085EE119">
            <w:pPr>
              <w:jc w:val="both"/>
            </w:pPr>
            <w:r w:rsidRPr="2AC19007">
              <w:rPr>
                <w:sz w:val="20"/>
                <w:szCs w:val="20"/>
              </w:rPr>
              <w:t>27/08</w:t>
            </w:r>
          </w:p>
        </w:tc>
        <w:tc>
          <w:tcPr>
            <w:tcW w:w="12322" w:type="dxa"/>
            <w:gridSpan w:val="2"/>
            <w:tcMar>
              <w:top w:w="29" w:type="dxa"/>
              <w:left w:w="115" w:type="dxa"/>
              <w:bottom w:w="29" w:type="dxa"/>
              <w:right w:w="115" w:type="dxa"/>
            </w:tcMar>
          </w:tcPr>
          <w:p w14:paraId="425E7339" w14:textId="78498205" w:rsidR="085EE119" w:rsidRDefault="5A8750A9" w:rsidP="085EE119">
            <w:pPr>
              <w:jc w:val="both"/>
            </w:pPr>
            <w:r w:rsidRPr="2AC19007">
              <w:rPr>
                <w:sz w:val="20"/>
                <w:szCs w:val="20"/>
              </w:rPr>
              <w:t>Per kibernetinę ataką prieš didžiausią UK oro uostų grupę „Manchester Airports Group“ (MAG) buvo neteisėtai pasiekti su 8,7 mln. klientų susiję duomenys – tai vienas didžiausių duomenų saugumo pažeidimų UK per pastaruosius metus. Incidentas paveikė Mančesterio, Londono Stanstedo ir Rytų Midlando oro uostuose registruojantis prie belaidžio interneto ir rezervuojant automobilių stovėjimo vietas surinktus duomenis, įskaitant el. pašto adresus, telefono numerius, transporto priemonių registracijos numerius ir pašto kodus. Banko ir mokėjimo duomenys nebuvo pasiekti, o oro uostų veikla ir keleivių saugumas nebuvo sutrikdyti. Nacionalinis kibernetinio saugumo centras (NCSC) padeda MAG reaguoti į incidentą, kuris yra vienas iš pastaruoju metu UK įmones ir svarbią infrastruktūrą paveikusių didelio masto kibernetinių incidentų.</w:t>
            </w:r>
          </w:p>
        </w:tc>
        <w:tc>
          <w:tcPr>
            <w:tcW w:w="2148" w:type="dxa"/>
            <w:tcMar>
              <w:top w:w="29" w:type="dxa"/>
              <w:left w:w="115" w:type="dxa"/>
              <w:bottom w:w="29" w:type="dxa"/>
              <w:right w:w="115" w:type="dxa"/>
            </w:tcMar>
          </w:tcPr>
          <w:p w14:paraId="520F3935" w14:textId="5644C2BC" w:rsidR="085EE119" w:rsidRDefault="5A8750A9" w:rsidP="085EE119">
            <w:pPr>
              <w:jc w:val="both"/>
            </w:pPr>
            <w:hyperlink r:id="rId64">
              <w:r w:rsidRPr="2AC19007">
                <w:rPr>
                  <w:rStyle w:val="Hyperlink"/>
                  <w:lang w:val="en-US"/>
                </w:rPr>
                <w:t>Cyber attack on UK’s largest airport group exposes data of 8.7mn customers</w:t>
              </w:r>
            </w:hyperlink>
          </w:p>
        </w:tc>
      </w:tr>
      <w:tr w:rsidR="5CD04D43" w14:paraId="7C3C9B7B" w14:textId="77777777" w:rsidTr="2AC19007">
        <w:tc>
          <w:tcPr>
            <w:tcW w:w="776" w:type="dxa"/>
            <w:tcMar>
              <w:top w:w="29" w:type="dxa"/>
              <w:left w:w="115" w:type="dxa"/>
              <w:bottom w:w="29" w:type="dxa"/>
              <w:right w:w="115" w:type="dxa"/>
            </w:tcMar>
          </w:tcPr>
          <w:p w14:paraId="03A0A83D" w14:textId="6BB4F887" w:rsidR="2A50F822" w:rsidRDefault="2A50F822" w:rsidP="4954557E">
            <w:pPr>
              <w:spacing w:after="0"/>
              <w:jc w:val="both"/>
              <w:rPr>
                <w:sz w:val="20"/>
                <w:szCs w:val="20"/>
              </w:rPr>
            </w:pPr>
          </w:p>
        </w:tc>
        <w:tc>
          <w:tcPr>
            <w:tcW w:w="12322" w:type="dxa"/>
            <w:gridSpan w:val="2"/>
            <w:tcMar>
              <w:top w:w="29" w:type="dxa"/>
              <w:left w:w="115" w:type="dxa"/>
              <w:bottom w:w="29" w:type="dxa"/>
              <w:right w:w="115" w:type="dxa"/>
            </w:tcMar>
          </w:tcPr>
          <w:p w14:paraId="31239840" w14:textId="342F6CF9" w:rsidR="2A50F822" w:rsidRDefault="2A50F822" w:rsidP="4954557E">
            <w:pPr>
              <w:spacing w:after="0"/>
              <w:jc w:val="both"/>
              <w:rPr>
                <w:sz w:val="20"/>
                <w:szCs w:val="20"/>
              </w:rPr>
            </w:pPr>
          </w:p>
        </w:tc>
        <w:tc>
          <w:tcPr>
            <w:tcW w:w="2148" w:type="dxa"/>
            <w:tcMar>
              <w:top w:w="29" w:type="dxa"/>
              <w:left w:w="115" w:type="dxa"/>
              <w:bottom w:w="29" w:type="dxa"/>
              <w:right w:w="115" w:type="dxa"/>
            </w:tcMar>
          </w:tcPr>
          <w:p w14:paraId="64E4C2AF" w14:textId="10C2B744" w:rsidR="2A50F822" w:rsidRDefault="2A50F822" w:rsidP="5CD04D43">
            <w:pPr>
              <w:spacing w:after="0"/>
              <w:jc w:val="both"/>
            </w:pPr>
          </w:p>
        </w:tc>
      </w:tr>
      <w:tr w:rsidR="002A5780" w14:paraId="172A14A2" w14:textId="77777777" w:rsidTr="2AC19007">
        <w:trPr>
          <w:trHeight w:val="41"/>
        </w:trPr>
        <w:tc>
          <w:tcPr>
            <w:tcW w:w="15246" w:type="dxa"/>
            <w:gridSpan w:val="4"/>
            <w:shd w:val="clear" w:color="auto" w:fill="DEEAF6"/>
            <w:tcMar>
              <w:top w:w="29" w:type="dxa"/>
              <w:left w:w="115" w:type="dxa"/>
              <w:bottom w:w="29" w:type="dxa"/>
              <w:right w:w="115" w:type="dxa"/>
            </w:tcMar>
          </w:tcPr>
          <w:p w14:paraId="000000DB" w14:textId="77777777" w:rsidR="002A5780" w:rsidRDefault="00D91955">
            <w:pPr>
              <w:spacing w:after="0"/>
              <w:jc w:val="both"/>
              <w:rPr>
                <w:b/>
                <w:bCs/>
              </w:rPr>
            </w:pPr>
            <w:r>
              <w:rPr>
                <w:b/>
                <w:bCs/>
              </w:rPr>
              <w:t>Startuoliai, fintech, informacinės ir ryšių technologijos, inžinerija ir kt. technologijos</w:t>
            </w:r>
          </w:p>
        </w:tc>
      </w:tr>
      <w:tr w:rsidR="002A5780" w14:paraId="343635D3" w14:textId="77777777" w:rsidTr="2AC19007">
        <w:trPr>
          <w:trHeight w:val="244"/>
        </w:trPr>
        <w:tc>
          <w:tcPr>
            <w:tcW w:w="776" w:type="dxa"/>
            <w:tcMar>
              <w:top w:w="29" w:type="dxa"/>
              <w:left w:w="115" w:type="dxa"/>
              <w:bottom w:w="29" w:type="dxa"/>
              <w:right w:w="115" w:type="dxa"/>
            </w:tcMar>
          </w:tcPr>
          <w:p w14:paraId="000000DF"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0E0" w14:textId="77777777" w:rsidR="002A5780" w:rsidRDefault="00D91955">
            <w:pPr>
              <w:jc w:val="both"/>
              <w:rPr>
                <w:sz w:val="20"/>
                <w:szCs w:val="20"/>
              </w:rPr>
            </w:pPr>
            <w:r>
              <w:rPr>
                <w:sz w:val="20"/>
                <w:szCs w:val="20"/>
              </w:rPr>
              <w:t>Sparčiausiai augančios technologijų įmonės JK</w:t>
            </w:r>
          </w:p>
        </w:tc>
        <w:tc>
          <w:tcPr>
            <w:tcW w:w="2148" w:type="dxa"/>
            <w:tcMar>
              <w:top w:w="29" w:type="dxa"/>
              <w:left w:w="115" w:type="dxa"/>
              <w:bottom w:w="29" w:type="dxa"/>
              <w:right w:w="115" w:type="dxa"/>
            </w:tcMar>
          </w:tcPr>
          <w:p w14:paraId="000000E2" w14:textId="77777777" w:rsidR="002A5780" w:rsidRDefault="00D91955">
            <w:pPr>
              <w:spacing w:after="0"/>
              <w:jc w:val="both"/>
              <w:rPr>
                <w:sz w:val="20"/>
                <w:szCs w:val="20"/>
              </w:rPr>
            </w:pPr>
            <w:hyperlink r:id="rId65">
              <w:r w:rsidRPr="4954557E">
                <w:rPr>
                  <w:color w:val="0563C1"/>
                  <w:sz w:val="20"/>
                  <w:szCs w:val="20"/>
                  <w:u w:val="single"/>
                </w:rPr>
                <w:t>Sunday Times 100 Tech 2026</w:t>
              </w:r>
            </w:hyperlink>
          </w:p>
        </w:tc>
      </w:tr>
      <w:tr w:rsidR="4954557E" w14:paraId="125B87C9" w14:textId="77777777" w:rsidTr="2AC19007">
        <w:trPr>
          <w:trHeight w:val="244"/>
        </w:trPr>
        <w:tc>
          <w:tcPr>
            <w:tcW w:w="776" w:type="dxa"/>
            <w:tcMar>
              <w:top w:w="29" w:type="dxa"/>
              <w:left w:w="115" w:type="dxa"/>
              <w:bottom w:w="29" w:type="dxa"/>
              <w:right w:w="115" w:type="dxa"/>
            </w:tcMar>
          </w:tcPr>
          <w:p w14:paraId="55C08897" w14:textId="52AF22AB" w:rsidR="4149454F" w:rsidRDefault="4149454F" w:rsidP="4954557E">
            <w:pPr>
              <w:jc w:val="both"/>
            </w:pPr>
            <w:r w:rsidRPr="4954557E">
              <w:rPr>
                <w:sz w:val="20"/>
                <w:szCs w:val="20"/>
              </w:rPr>
              <w:lastRenderedPageBreak/>
              <w:t>03/08</w:t>
            </w:r>
          </w:p>
        </w:tc>
        <w:tc>
          <w:tcPr>
            <w:tcW w:w="12322" w:type="dxa"/>
            <w:gridSpan w:val="2"/>
            <w:tcMar>
              <w:top w:w="29" w:type="dxa"/>
              <w:left w:w="115" w:type="dxa"/>
              <w:bottom w:w="29" w:type="dxa"/>
              <w:right w:w="115" w:type="dxa"/>
            </w:tcMar>
          </w:tcPr>
          <w:p w14:paraId="77356019" w14:textId="6F9FDF10" w:rsidR="4149454F" w:rsidRDefault="4149454F" w:rsidP="4954557E">
            <w:pPr>
              <w:jc w:val="both"/>
            </w:pPr>
            <w:r w:rsidRPr="4954557E">
              <w:rPr>
                <w:sz w:val="20"/>
                <w:szCs w:val="20"/>
              </w:rPr>
              <w:t>Ofcom“ pradėjo veiklos peržiūrą, siekdama pasirengti išplėstoms funkcijoms įgyvendinant Online Safety Act ir stiprinant didžiųjų technologijų bendrovių priežiūrą. Bus vertinama, ar reguliuotojui reikalingi papildomi įgaliojimai, ištekliai ir kompetencijos prižiūrint sparčiai besivystančias technologijas, įskaitant dirbtinį intelektą, bei įgyvendinant JK skaitmeninio suvereniteto tikslus.</w:t>
            </w:r>
          </w:p>
        </w:tc>
        <w:tc>
          <w:tcPr>
            <w:tcW w:w="2148" w:type="dxa"/>
            <w:tcMar>
              <w:top w:w="29" w:type="dxa"/>
              <w:left w:w="115" w:type="dxa"/>
              <w:bottom w:w="29" w:type="dxa"/>
              <w:right w:w="115" w:type="dxa"/>
            </w:tcMar>
          </w:tcPr>
          <w:p w14:paraId="6E0E76C8" w14:textId="32D148A3" w:rsidR="4149454F" w:rsidRDefault="4149454F" w:rsidP="085EE119">
            <w:pPr>
              <w:spacing w:after="0"/>
              <w:jc w:val="both"/>
              <w:rPr>
                <w:rFonts w:ascii="Times New Roman" w:eastAsia="Times New Roman" w:hAnsi="Times New Roman" w:cs="Times New Roman"/>
                <w:color w:val="1155CC"/>
                <w:sz w:val="24"/>
                <w:szCs w:val="24"/>
                <w:u w:val="single"/>
              </w:rPr>
            </w:pPr>
            <w:hyperlink r:id="rId66">
              <w:r w:rsidRPr="085EE119">
                <w:rPr>
                  <w:rStyle w:val="Hyperlink"/>
                  <w:color w:val="1155CC"/>
                </w:rPr>
                <w:t>Ofcom chair launches review of regulator to help rein in Big Tech</w:t>
              </w:r>
            </w:hyperlink>
          </w:p>
        </w:tc>
      </w:tr>
      <w:tr w:rsidR="4954557E" w14:paraId="1CC8FDD2" w14:textId="77777777" w:rsidTr="2AC19007">
        <w:trPr>
          <w:trHeight w:val="244"/>
        </w:trPr>
        <w:tc>
          <w:tcPr>
            <w:tcW w:w="776" w:type="dxa"/>
            <w:tcMar>
              <w:top w:w="29" w:type="dxa"/>
              <w:left w:w="115" w:type="dxa"/>
              <w:bottom w:w="29" w:type="dxa"/>
              <w:right w:w="115" w:type="dxa"/>
            </w:tcMar>
          </w:tcPr>
          <w:p w14:paraId="267337E5" w14:textId="1098E479" w:rsidR="4149454F" w:rsidRDefault="4149454F" w:rsidP="4954557E">
            <w:pPr>
              <w:jc w:val="both"/>
            </w:pPr>
            <w:r w:rsidRPr="4954557E">
              <w:rPr>
                <w:sz w:val="20"/>
                <w:szCs w:val="20"/>
              </w:rPr>
              <w:t>05/08</w:t>
            </w:r>
          </w:p>
        </w:tc>
        <w:tc>
          <w:tcPr>
            <w:tcW w:w="12322" w:type="dxa"/>
            <w:gridSpan w:val="2"/>
            <w:tcMar>
              <w:top w:w="29" w:type="dxa"/>
              <w:left w:w="115" w:type="dxa"/>
              <w:bottom w:w="29" w:type="dxa"/>
              <w:right w:w="115" w:type="dxa"/>
            </w:tcMar>
          </w:tcPr>
          <w:p w14:paraId="37BEE33B" w14:textId="02A3F0E8" w:rsidR="4149454F" w:rsidRDefault="4149454F" w:rsidP="4954557E">
            <w:pPr>
              <w:jc w:val="both"/>
            </w:pPr>
            <w:r w:rsidRPr="4954557E">
              <w:rPr>
                <w:sz w:val="20"/>
                <w:szCs w:val="20"/>
              </w:rPr>
              <w:t>K chemijos sektoriaus įmonių uždarymo tempas 2020-2025 m. padvigubėjo, o aukštos pridėtinės vertės specializuotų chemijos produktų gamyba sumažėjo beveik 40 %, jų indėlis į ekonomiką - 70 %. Sektoriaus nuosmukis kelia riziką farmacijos, gynybos, aviacijos ir kitų pažangiosios gamybos sričių tiekimo grandinėms. Vyriausybė strateginės svarbos chemijos gamintojams remti skyrė 350 mln. GBP.</w:t>
            </w:r>
          </w:p>
        </w:tc>
        <w:tc>
          <w:tcPr>
            <w:tcW w:w="2148" w:type="dxa"/>
            <w:tcMar>
              <w:top w:w="29" w:type="dxa"/>
              <w:left w:w="115" w:type="dxa"/>
              <w:bottom w:w="29" w:type="dxa"/>
              <w:right w:w="115" w:type="dxa"/>
            </w:tcMar>
          </w:tcPr>
          <w:p w14:paraId="1673D84D" w14:textId="513432C2" w:rsidR="4149454F" w:rsidRDefault="4149454F" w:rsidP="4954557E">
            <w:pPr>
              <w:jc w:val="both"/>
            </w:pPr>
            <w:r w:rsidRPr="4954557E">
              <w:rPr>
                <w:color w:val="0563C1"/>
                <w:sz w:val="20"/>
                <w:szCs w:val="20"/>
                <w:u w:val="single"/>
              </w:rPr>
              <w:t>UK’s ability to make medicines and missiles hit by decline of chemicals industry</w:t>
            </w:r>
          </w:p>
        </w:tc>
      </w:tr>
      <w:tr w:rsidR="4954557E" w14:paraId="79A9C8B8" w14:textId="77777777" w:rsidTr="2AC19007">
        <w:trPr>
          <w:trHeight w:val="300"/>
        </w:trPr>
        <w:tc>
          <w:tcPr>
            <w:tcW w:w="776" w:type="dxa"/>
            <w:tcMar>
              <w:top w:w="29" w:type="dxa"/>
              <w:left w:w="115" w:type="dxa"/>
              <w:bottom w:w="29" w:type="dxa"/>
              <w:right w:w="115" w:type="dxa"/>
            </w:tcMar>
          </w:tcPr>
          <w:p w14:paraId="5B598CAC" w14:textId="081E0B3E" w:rsidR="4149454F" w:rsidRDefault="4149454F" w:rsidP="4954557E">
            <w:pPr>
              <w:jc w:val="both"/>
            </w:pPr>
            <w:r w:rsidRPr="4954557E">
              <w:rPr>
                <w:sz w:val="20"/>
                <w:szCs w:val="20"/>
              </w:rPr>
              <w:t>06/08</w:t>
            </w:r>
          </w:p>
        </w:tc>
        <w:tc>
          <w:tcPr>
            <w:tcW w:w="12322" w:type="dxa"/>
            <w:gridSpan w:val="2"/>
            <w:tcMar>
              <w:top w:w="29" w:type="dxa"/>
              <w:left w:w="115" w:type="dxa"/>
              <w:bottom w:w="29" w:type="dxa"/>
              <w:right w:w="115" w:type="dxa"/>
            </w:tcMar>
          </w:tcPr>
          <w:p w14:paraId="5373F604" w14:textId="3F6395F4" w:rsidR="4149454F" w:rsidRDefault="4149454F" w:rsidP="4954557E">
            <w:pPr>
              <w:jc w:val="both"/>
            </w:pPr>
            <w:r w:rsidRPr="4954557E">
              <w:rPr>
                <w:sz w:val="20"/>
                <w:szCs w:val="20"/>
              </w:rPr>
              <w:t>JK Vyriausybė vertina, kad DI naudojimas viešajame sektoriuje galėtų padėti sutaupyti iki 45 mlrd. GBP per metus, tačiau „The Economist“ perspėja, kad vis dažnesnis DI naudojimas skundams, apeliacijoms ir teisiniams ieškiniams rengti kartu didina spaudimą JK viešosioms institucijoms. Darbo ginčų tribunoluose neišnagrinėtų bylų skaičius per metus išaugo 55 %, o DI gali paskatinti gyventojus aktyviau kreiptis dėl šiuo metu nepareikalaujamų socialinių išmokų, kurių vertė siekia iki 20 mlrd. GBP (0,7 % BVP) per metus, taip didinant spaudimą viešiesiems finansams ir administraciniams pajėgumams.</w:t>
            </w:r>
          </w:p>
        </w:tc>
        <w:tc>
          <w:tcPr>
            <w:tcW w:w="2148" w:type="dxa"/>
            <w:tcMar>
              <w:top w:w="29" w:type="dxa"/>
              <w:left w:w="115" w:type="dxa"/>
              <w:bottom w:w="29" w:type="dxa"/>
              <w:right w:w="115" w:type="dxa"/>
            </w:tcMar>
          </w:tcPr>
          <w:p w14:paraId="0B383D62" w14:textId="151C305D" w:rsidR="4149454F" w:rsidRDefault="4149454F" w:rsidP="085EE119">
            <w:pPr>
              <w:jc w:val="both"/>
              <w:rPr>
                <w:u w:val="single"/>
              </w:rPr>
            </w:pPr>
            <w:hyperlink r:id="rId67">
              <w:r w:rsidRPr="085EE119">
                <w:rPr>
                  <w:rStyle w:val="Hyperlink"/>
                  <w:color w:val="1155CC"/>
                </w:rPr>
                <w:t>„The Economist“</w:t>
              </w:r>
            </w:hyperlink>
          </w:p>
          <w:p w14:paraId="5C40FC7E" w14:textId="6F0C104F" w:rsidR="4149454F" w:rsidRDefault="4149454F" w:rsidP="085EE119">
            <w:pPr>
              <w:jc w:val="both"/>
              <w:rPr>
                <w:u w:val="single"/>
              </w:rPr>
            </w:pPr>
            <w:hyperlink r:id="rId68">
              <w:r w:rsidRPr="085EE119">
                <w:rPr>
                  <w:rStyle w:val="Hyperlink"/>
                  <w:color w:val="1155CC"/>
                </w:rPr>
                <w:t>The Economist 2</w:t>
              </w:r>
            </w:hyperlink>
          </w:p>
        </w:tc>
      </w:tr>
      <w:tr w:rsidR="4954557E" w14:paraId="0C3A7034" w14:textId="77777777" w:rsidTr="2AC19007">
        <w:trPr>
          <w:trHeight w:val="300"/>
        </w:trPr>
        <w:tc>
          <w:tcPr>
            <w:tcW w:w="776" w:type="dxa"/>
            <w:tcMar>
              <w:top w:w="29" w:type="dxa"/>
              <w:left w:w="115" w:type="dxa"/>
              <w:bottom w:w="29" w:type="dxa"/>
              <w:right w:w="115" w:type="dxa"/>
            </w:tcMar>
          </w:tcPr>
          <w:p w14:paraId="52E4BF42" w14:textId="3855E639" w:rsidR="4149454F" w:rsidRDefault="4149454F" w:rsidP="4954557E">
            <w:pPr>
              <w:jc w:val="both"/>
            </w:pPr>
            <w:r w:rsidRPr="4954557E">
              <w:rPr>
                <w:sz w:val="20"/>
                <w:szCs w:val="20"/>
              </w:rPr>
              <w:t>18/08</w:t>
            </w:r>
          </w:p>
        </w:tc>
        <w:tc>
          <w:tcPr>
            <w:tcW w:w="12322" w:type="dxa"/>
            <w:gridSpan w:val="2"/>
            <w:tcMar>
              <w:top w:w="29" w:type="dxa"/>
              <w:left w:w="115" w:type="dxa"/>
              <w:bottom w:w="29" w:type="dxa"/>
              <w:right w:w="115" w:type="dxa"/>
            </w:tcMar>
          </w:tcPr>
          <w:p w14:paraId="3E026BFE" w14:textId="39A4896B" w:rsidR="4149454F" w:rsidRDefault="4149454F" w:rsidP="4954557E">
            <w:pPr>
              <w:jc w:val="both"/>
            </w:pPr>
            <w:r w:rsidRPr="4954557E">
              <w:rPr>
                <w:sz w:val="20"/>
                <w:szCs w:val="20"/>
              </w:rPr>
              <w:t>JAV laikinai apribojus užsienio naudotojų prieigą prie „Anthropic“ Fable 5 modelio, JK vyriausybė vertina galimą pažangių užsienio DI modelių prieigos apribojimų poveikį ekonomikai ir saugumui. Susirūpinimas, kad tokie ribojimai galėtų mažinti JK konkurencingumą ir lėtinti DI diegimą, didina nacionalinių pajėgumų svarbą – jiems stiprinti numatytas 1,1 mlrd. GBP DI infrastruktūros planas ir 500 mln. GBP suverenaus DI fondas.</w:t>
            </w:r>
          </w:p>
        </w:tc>
        <w:tc>
          <w:tcPr>
            <w:tcW w:w="2148" w:type="dxa"/>
            <w:tcMar>
              <w:top w:w="29" w:type="dxa"/>
              <w:left w:w="115" w:type="dxa"/>
              <w:bottom w:w="29" w:type="dxa"/>
              <w:right w:w="115" w:type="dxa"/>
            </w:tcMar>
          </w:tcPr>
          <w:p w14:paraId="7F92E28A" w14:textId="3DD81C4D" w:rsidR="4149454F" w:rsidRDefault="4149454F" w:rsidP="4954557E">
            <w:pPr>
              <w:spacing w:after="0"/>
              <w:jc w:val="both"/>
              <w:rPr>
                <w:rFonts w:ascii="Times New Roman" w:eastAsia="Times New Roman" w:hAnsi="Times New Roman" w:cs="Times New Roman"/>
                <w:color w:val="1155CC"/>
                <w:sz w:val="24"/>
                <w:szCs w:val="24"/>
              </w:rPr>
            </w:pPr>
            <w:hyperlink r:id="rId69">
              <w:r w:rsidRPr="085EE119">
                <w:rPr>
                  <w:rStyle w:val="Hyperlink"/>
                  <w:color w:val="1155CC"/>
                </w:rPr>
                <w:t>UK examines economic hit from loss of access to frontier AI models</w:t>
              </w:r>
            </w:hyperlink>
          </w:p>
        </w:tc>
      </w:tr>
      <w:tr w:rsidR="085EE119" w14:paraId="01591CCA" w14:textId="77777777" w:rsidTr="2AC19007">
        <w:trPr>
          <w:trHeight w:val="300"/>
        </w:trPr>
        <w:tc>
          <w:tcPr>
            <w:tcW w:w="776" w:type="dxa"/>
            <w:tcMar>
              <w:top w:w="29" w:type="dxa"/>
              <w:left w:w="115" w:type="dxa"/>
              <w:bottom w:w="29" w:type="dxa"/>
              <w:right w:w="115" w:type="dxa"/>
            </w:tcMar>
          </w:tcPr>
          <w:p w14:paraId="7212C8B4" w14:textId="76DD9546" w:rsidR="39708B54" w:rsidRDefault="39708B54" w:rsidP="085EE119">
            <w:pPr>
              <w:jc w:val="both"/>
            </w:pPr>
            <w:r w:rsidRPr="085EE119">
              <w:rPr>
                <w:sz w:val="20"/>
                <w:szCs w:val="20"/>
              </w:rPr>
              <w:t>23/08</w:t>
            </w:r>
          </w:p>
        </w:tc>
        <w:tc>
          <w:tcPr>
            <w:tcW w:w="12322" w:type="dxa"/>
            <w:gridSpan w:val="2"/>
            <w:tcMar>
              <w:top w:w="29" w:type="dxa"/>
              <w:left w:w="115" w:type="dxa"/>
              <w:bottom w:w="29" w:type="dxa"/>
              <w:right w:w="115" w:type="dxa"/>
            </w:tcMar>
          </w:tcPr>
          <w:p w14:paraId="61894399" w14:textId="691F9160" w:rsidR="39708B54" w:rsidRDefault="39708B54" w:rsidP="085EE119">
            <w:pPr>
              <w:jc w:val="both"/>
            </w:pPr>
            <w:r w:rsidRPr="085EE119">
              <w:rPr>
                <w:sz w:val="20"/>
                <w:szCs w:val="20"/>
              </w:rPr>
              <w:t>Naujoje ataskaitoje įspėjama, kad atvirojo svorio (angl. open-weights) DI modeliai gali kelti vis didesnę riziką nacionaliniam saugumui, nes juos galima atsisiųsti, naudoti neprisijungus prie interneto ir modifikuoti pašalinant įdiegtas saugos priemones. Tyrėjų teigimu, tokie modeliai gali palengvinti ribotų techninių žinių turintiems asmenims prieigą prie informacijos, kuri galėtų padėti kurti sprogmenis ar cheminius ir biologinius ginklus, o naudojant modelius neprisijungus prie interneto galimai žalingą veiklą sunkiau aptikti. Ataskaitoje apskaičiuota, kad iki 87 proc. JK namų ūkių turima kompiuterinė įranga jau galėtų būti pakankamai pajėgi tokiems modeliams paleisti. Ataskaitos autoriai siūlo ne drausti atvirojo svorio DI modelius, o stiprinti jų kūrėjų taikomas technines saugos priemones.</w:t>
            </w:r>
          </w:p>
        </w:tc>
        <w:tc>
          <w:tcPr>
            <w:tcW w:w="2148" w:type="dxa"/>
            <w:tcMar>
              <w:top w:w="29" w:type="dxa"/>
              <w:left w:w="115" w:type="dxa"/>
              <w:bottom w:w="29" w:type="dxa"/>
              <w:right w:w="115" w:type="dxa"/>
            </w:tcMar>
          </w:tcPr>
          <w:p w14:paraId="308027FA" w14:textId="65559005" w:rsidR="39708B54" w:rsidRDefault="39708B54" w:rsidP="085EE119">
            <w:pPr>
              <w:jc w:val="both"/>
            </w:pPr>
            <w:hyperlink r:id="rId70">
              <w:r w:rsidRPr="085EE119">
                <w:rPr>
                  <w:rStyle w:val="Hyperlink"/>
                </w:rPr>
                <w:t>AI ‘could help unsophisticated terrorists build bombs and bioweapons’</w:t>
              </w:r>
            </w:hyperlink>
          </w:p>
        </w:tc>
      </w:tr>
      <w:tr w:rsidR="4954557E" w14:paraId="2B98A788" w14:textId="77777777" w:rsidTr="2AC19007">
        <w:trPr>
          <w:trHeight w:val="300"/>
        </w:trPr>
        <w:tc>
          <w:tcPr>
            <w:tcW w:w="776" w:type="dxa"/>
            <w:tcMar>
              <w:top w:w="29" w:type="dxa"/>
              <w:left w:w="115" w:type="dxa"/>
              <w:bottom w:w="29" w:type="dxa"/>
              <w:right w:w="115" w:type="dxa"/>
            </w:tcMar>
          </w:tcPr>
          <w:p w14:paraId="6D0D8F89" w14:textId="27797ACF" w:rsidR="4954557E" w:rsidRDefault="7ED71BA7" w:rsidP="4954557E">
            <w:pPr>
              <w:jc w:val="both"/>
            </w:pPr>
            <w:r w:rsidRPr="085EE119">
              <w:rPr>
                <w:sz w:val="20"/>
                <w:szCs w:val="20"/>
              </w:rPr>
              <w:t>24/08</w:t>
            </w:r>
          </w:p>
        </w:tc>
        <w:tc>
          <w:tcPr>
            <w:tcW w:w="12322" w:type="dxa"/>
            <w:gridSpan w:val="2"/>
            <w:tcMar>
              <w:top w:w="29" w:type="dxa"/>
              <w:left w:w="115" w:type="dxa"/>
              <w:bottom w:w="29" w:type="dxa"/>
              <w:right w:w="115" w:type="dxa"/>
            </w:tcMar>
          </w:tcPr>
          <w:p w14:paraId="5B441E8B" w14:textId="60452A4C" w:rsidR="4954557E" w:rsidRDefault="6440E0E9" w:rsidP="4954557E">
            <w:pPr>
              <w:jc w:val="both"/>
            </w:pPr>
            <w:r w:rsidRPr="085EE119">
              <w:rPr>
                <w:sz w:val="20"/>
                <w:szCs w:val="20"/>
              </w:rPr>
              <w:t>J</w:t>
            </w:r>
            <w:r w:rsidR="7ED71BA7" w:rsidRPr="085EE119">
              <w:rPr>
                <w:sz w:val="20"/>
                <w:szCs w:val="20"/>
              </w:rPr>
              <w:t>K Nacionalinis statistikos biuras (ONS) plečia dirbtinio intelekto naudojimą, siekdamas didinti darbo našumą ir gerinti oficialiosios statistikos kokybę. ONS jau naudoja DI įrankį apklausų duomenims apie profesijas ir ekonominės veiklos rūšis klasifikuoti – jo taikymas klasifikavimo tikslumą padidino nuo 71 iki 80 proc. 2027 m. pradžioje planuojama įdiegti DI sistemą, automatizuojančią namų ūkių pateikiamų kvitų apdorojimą; skaičiuojama, kad ji galėtų sutaupyti apie 7 500 darbo valandų per metus. DI taip pat integruojamas į atnaujinamą darbo jėgos tyrimą, o daugiau kaip 5 000 iš 5 980 ONS darbuotojų jau naudojasi DI priemonėmis. Šios investicijos yra platesnių JK vyriausybės planų didinti DI naudojimą viešajame sektoriuje dalis.</w:t>
            </w:r>
          </w:p>
        </w:tc>
        <w:tc>
          <w:tcPr>
            <w:tcW w:w="2148" w:type="dxa"/>
            <w:tcMar>
              <w:top w:w="29" w:type="dxa"/>
              <w:left w:w="115" w:type="dxa"/>
              <w:bottom w:w="29" w:type="dxa"/>
              <w:right w:w="115" w:type="dxa"/>
            </w:tcMar>
          </w:tcPr>
          <w:p w14:paraId="295A3C7B" w14:textId="736CE4B4" w:rsidR="4954557E" w:rsidRDefault="7ED71BA7" w:rsidP="4954557E">
            <w:pPr>
              <w:jc w:val="both"/>
            </w:pPr>
            <w:hyperlink r:id="rId71">
              <w:r w:rsidRPr="085EE119">
                <w:rPr>
                  <w:rStyle w:val="Hyperlink"/>
                </w:rPr>
                <w:t>UK statistics agency turns to AI to cut costs and improve data</w:t>
              </w:r>
            </w:hyperlink>
          </w:p>
        </w:tc>
      </w:tr>
      <w:tr w:rsidR="085EE119" w14:paraId="085511DA" w14:textId="77777777" w:rsidTr="2AC19007">
        <w:trPr>
          <w:trHeight w:val="300"/>
        </w:trPr>
        <w:tc>
          <w:tcPr>
            <w:tcW w:w="776" w:type="dxa"/>
            <w:tcMar>
              <w:top w:w="29" w:type="dxa"/>
              <w:left w:w="115" w:type="dxa"/>
              <w:bottom w:w="29" w:type="dxa"/>
              <w:right w:w="115" w:type="dxa"/>
            </w:tcMar>
          </w:tcPr>
          <w:p w14:paraId="3EF27757" w14:textId="7DFA8D9C" w:rsidR="4BA019C1" w:rsidRDefault="4BA019C1" w:rsidP="085EE119">
            <w:pPr>
              <w:jc w:val="both"/>
            </w:pPr>
            <w:r w:rsidRPr="085EE119">
              <w:rPr>
                <w:sz w:val="20"/>
                <w:szCs w:val="20"/>
              </w:rPr>
              <w:t>25/08</w:t>
            </w:r>
          </w:p>
        </w:tc>
        <w:tc>
          <w:tcPr>
            <w:tcW w:w="12322" w:type="dxa"/>
            <w:gridSpan w:val="2"/>
            <w:tcMar>
              <w:top w:w="29" w:type="dxa"/>
              <w:left w:w="115" w:type="dxa"/>
              <w:bottom w:w="29" w:type="dxa"/>
              <w:right w:w="115" w:type="dxa"/>
            </w:tcMar>
          </w:tcPr>
          <w:p w14:paraId="5F57AD53" w14:textId="1A3A6911" w:rsidR="4BA019C1" w:rsidRDefault="4BA019C1" w:rsidP="085EE119">
            <w:pPr>
              <w:jc w:val="both"/>
            </w:pPr>
            <w:r w:rsidRPr="085EE119">
              <w:rPr>
                <w:sz w:val="20"/>
                <w:szCs w:val="20"/>
              </w:rPr>
              <w:t xml:space="preserve">Augant DI infrastruktūros poreikiui, JK duomenų centrų skaičius gali išaugti 36,6 proc. Šiuo metu šalyje veikia bent 500 duomenų centrų, o dar 183 yra planuojami arba jau statomi. Naujos kartos duomenų centrai yra gerokai didesni ir jiems reikia daugiau elektros energijos – 315 projektų jau pateikė prašymus prisijungti prie elektros tinklo, nors manoma, kad realiai įgyvendinamų projektų skaičius bus mažesnis. Plėtra taip pat didina vandens poreikį: prognozuojama, kad duomenų centrų suvartojamo vandens kiekis gali išaugti nuo 14 mln. iki 42 mln. litrų per dieną, o 84 proc. planuojamų centrų yra teritorijose, kuriose jau trūksta vandens arba toks trūkumas prognozuojamas iki 2040 m. JK vyriausybė duomenų centrų plėtrą laiko svarbia siekiant </w:t>
            </w:r>
            <w:r w:rsidRPr="085EE119">
              <w:rPr>
                <w:sz w:val="20"/>
                <w:szCs w:val="20"/>
              </w:rPr>
              <w:lastRenderedPageBreak/>
              <w:t>pritraukti investicijų, plėtoti DI infrastruktūrą ir skatinti ekonomikos augimą, tačiau kartu svarsto priemones jų poveikiui elektros tinklui ir aplinkai mažinti.</w:t>
            </w:r>
          </w:p>
        </w:tc>
        <w:tc>
          <w:tcPr>
            <w:tcW w:w="2148" w:type="dxa"/>
            <w:tcMar>
              <w:top w:w="29" w:type="dxa"/>
              <w:left w:w="115" w:type="dxa"/>
              <w:bottom w:w="29" w:type="dxa"/>
              <w:right w:w="115" w:type="dxa"/>
            </w:tcMar>
          </w:tcPr>
          <w:p w14:paraId="33BEA734" w14:textId="33AFC512" w:rsidR="4BA019C1" w:rsidRDefault="4BA019C1" w:rsidP="085EE119">
            <w:pPr>
              <w:jc w:val="both"/>
            </w:pPr>
            <w:hyperlink r:id="rId72">
              <w:r w:rsidRPr="085EE119">
                <w:rPr>
                  <w:rStyle w:val="Hyperlink"/>
                  <w:lang w:val="en-US"/>
                </w:rPr>
                <w:t>Digital cities: the future of Britain’s data centres</w:t>
              </w:r>
            </w:hyperlink>
          </w:p>
        </w:tc>
      </w:tr>
      <w:tr w:rsidR="085EE119" w14:paraId="6A5850BA" w14:textId="77777777" w:rsidTr="2AC19007">
        <w:trPr>
          <w:trHeight w:val="300"/>
        </w:trPr>
        <w:tc>
          <w:tcPr>
            <w:tcW w:w="776" w:type="dxa"/>
            <w:tcMar>
              <w:top w:w="29" w:type="dxa"/>
              <w:left w:w="115" w:type="dxa"/>
              <w:bottom w:w="29" w:type="dxa"/>
              <w:right w:w="115" w:type="dxa"/>
            </w:tcMar>
          </w:tcPr>
          <w:p w14:paraId="67D82FE9" w14:textId="5C4075E1" w:rsidR="55E4B29E" w:rsidRDefault="55E4B29E" w:rsidP="085EE119">
            <w:pPr>
              <w:jc w:val="both"/>
            </w:pPr>
            <w:r w:rsidRPr="085EE119">
              <w:rPr>
                <w:sz w:val="20"/>
                <w:szCs w:val="20"/>
              </w:rPr>
              <w:t>26/08</w:t>
            </w:r>
          </w:p>
        </w:tc>
        <w:tc>
          <w:tcPr>
            <w:tcW w:w="12322" w:type="dxa"/>
            <w:gridSpan w:val="2"/>
            <w:tcMar>
              <w:top w:w="29" w:type="dxa"/>
              <w:left w:w="115" w:type="dxa"/>
              <w:bottom w:w="29" w:type="dxa"/>
              <w:right w:w="115" w:type="dxa"/>
            </w:tcMar>
          </w:tcPr>
          <w:p w14:paraId="4F189FAC" w14:textId="2B9C8D9F" w:rsidR="55E4B29E" w:rsidRDefault="55E4B29E" w:rsidP="085EE119">
            <w:pPr>
              <w:jc w:val="both"/>
            </w:pPr>
            <w:r w:rsidRPr="085EE119">
              <w:rPr>
                <w:sz w:val="20"/>
                <w:szCs w:val="20"/>
              </w:rPr>
              <w:t>UK vyriausybė siekia stiprinti šalies, kaip skaitmeninių finansų centro, pozicijas ir Anglijos bankui (BoE) nustatys įstatyminį papildomą tikslą skatinti inovacijas mokėjimų sistemų ir skaitmeninių valiutų srityse. Kartu keičiamos planuojamos stabiliųjų monetų reguliavimo taisyklės: siūlytų jų turėjimo apribojimų atsisakyta ir vietoje jų nustatyta 40 mlrd. svarų sterlingų emisijos riba, taip pat sumažinta turto, kuriuo užtikrinamos stabiliosios monetos, dalis, privalomai laikoma BoE indėlių be palūkanų forma. Šiomis priemonėmis siekiama sudaryti palankesnes sąlygas reguliuojamų, su svaru sterlingų susietų stabiliųjų monetų leidybai, skatinti tokenizuoto turto ir blokų grandinės technologijomis grindžiamų atsiskaitymų plėtrą bei stiprinti UK konkurencingumą EU ir JAV atžvilgiu, kartu išlaikant finansinį stabilumą.</w:t>
            </w:r>
          </w:p>
        </w:tc>
        <w:tc>
          <w:tcPr>
            <w:tcW w:w="2148" w:type="dxa"/>
            <w:tcMar>
              <w:top w:w="29" w:type="dxa"/>
              <w:left w:w="115" w:type="dxa"/>
              <w:bottom w:w="29" w:type="dxa"/>
              <w:right w:w="115" w:type="dxa"/>
            </w:tcMar>
          </w:tcPr>
          <w:p w14:paraId="109C7D30" w14:textId="6EAC7C3B" w:rsidR="55E4B29E" w:rsidRDefault="55E4B29E" w:rsidP="085EE119">
            <w:pPr>
              <w:jc w:val="both"/>
            </w:pPr>
            <w:hyperlink r:id="rId73">
              <w:r w:rsidRPr="085EE119">
                <w:rPr>
                  <w:rStyle w:val="Hyperlink"/>
                </w:rPr>
                <w:t>Ministers tell Bank of England to boost innovation in digital currencies</w:t>
              </w:r>
            </w:hyperlink>
          </w:p>
        </w:tc>
      </w:tr>
      <w:tr w:rsidR="085EE119" w14:paraId="50074F39" w14:textId="77777777" w:rsidTr="2AC19007">
        <w:trPr>
          <w:trHeight w:val="300"/>
        </w:trPr>
        <w:tc>
          <w:tcPr>
            <w:tcW w:w="776" w:type="dxa"/>
            <w:tcMar>
              <w:top w:w="29" w:type="dxa"/>
              <w:left w:w="115" w:type="dxa"/>
              <w:bottom w:w="29" w:type="dxa"/>
              <w:right w:w="115" w:type="dxa"/>
            </w:tcMar>
          </w:tcPr>
          <w:p w14:paraId="670C6A75" w14:textId="447A9BB8" w:rsidR="085EE119" w:rsidRDefault="2E6CF62A" w:rsidP="085EE119">
            <w:pPr>
              <w:jc w:val="both"/>
            </w:pPr>
            <w:r w:rsidRPr="2AC19007">
              <w:rPr>
                <w:sz w:val="20"/>
                <w:szCs w:val="20"/>
              </w:rPr>
              <w:t>28/08</w:t>
            </w:r>
          </w:p>
        </w:tc>
        <w:tc>
          <w:tcPr>
            <w:tcW w:w="12322" w:type="dxa"/>
            <w:gridSpan w:val="2"/>
            <w:tcMar>
              <w:top w:w="29" w:type="dxa"/>
              <w:left w:w="115" w:type="dxa"/>
              <w:bottom w:w="29" w:type="dxa"/>
              <w:right w:w="115" w:type="dxa"/>
            </w:tcMar>
          </w:tcPr>
          <w:p w14:paraId="240A630B" w14:textId="745BE199" w:rsidR="085EE119" w:rsidRDefault="2E6CF62A" w:rsidP="085EE119">
            <w:pPr>
              <w:jc w:val="both"/>
            </w:pPr>
            <w:r w:rsidRPr="2AC19007">
              <w:rPr>
                <w:sz w:val="20"/>
                <w:szCs w:val="20"/>
              </w:rPr>
              <w:t>UK alternatyvių plačiajuosčio interneto tinklų operatorių sektoriuje didėja finansinis spaudimas ir vyksta konsolidacija. Sektoriaus bendrovės, siekusios konkuruoti su pagrindiniais operatoriais „BT Openreach“ ir „Virgin Media O2“, tinklų plėtrai iš viso pritraukė daugiau kaip 31 mlrd. svarų sterlingų, tačiau didelės infrastruktūros plėtros sąnaudos, aukštas įsiskolinimo lygis ir mažesnė nei tikėtasi paslaugų paklausa lėmė didelius nuostolius. „Enders Analysis“ vertinimu, 2024 m. bendri sektoriaus nuostoliai viršijo 1,5 mlrd. svarų sterlingų. Naujausiu sektoriaus sunkumų pavyzdžiu tapo šviesolaidinio interneto paslaugas maždaug 175 tūkst. namų ūkių teikianti „Airband“, kuri, turėdama daugiau kaip 224 mln. svarų sterlingų įsipareigojimų, buvo perduota administruoti ir parduota konkurentei „Voneus“. Investicijų valdytoja „Aberdeen“, į bendrovę investavusi apie 200 mln. svarų sterlingų, dėl jos žlugimo patirs didelių nuostolių.</w:t>
            </w:r>
          </w:p>
        </w:tc>
        <w:tc>
          <w:tcPr>
            <w:tcW w:w="2148" w:type="dxa"/>
            <w:tcMar>
              <w:top w:w="29" w:type="dxa"/>
              <w:left w:w="115" w:type="dxa"/>
              <w:bottom w:w="29" w:type="dxa"/>
              <w:right w:w="115" w:type="dxa"/>
            </w:tcMar>
          </w:tcPr>
          <w:p w14:paraId="27B91918" w14:textId="4698D8CC" w:rsidR="085EE119" w:rsidRDefault="2E6CF62A" w:rsidP="085EE119">
            <w:pPr>
              <w:jc w:val="both"/>
            </w:pPr>
            <w:hyperlink r:id="rId74">
              <w:r w:rsidRPr="2AC19007">
                <w:rPr>
                  <w:rStyle w:val="Hyperlink"/>
                </w:rPr>
                <w:t>Aberdeen fund takes £200mn hit on failure of UK broadband provider</w:t>
              </w:r>
            </w:hyperlink>
          </w:p>
        </w:tc>
      </w:tr>
      <w:tr w:rsidR="4954557E" w14:paraId="662DA6F3" w14:textId="77777777" w:rsidTr="2AC19007">
        <w:tc>
          <w:tcPr>
            <w:tcW w:w="776" w:type="dxa"/>
            <w:tcMar>
              <w:top w:w="29" w:type="dxa"/>
              <w:left w:w="115" w:type="dxa"/>
              <w:bottom w:w="29" w:type="dxa"/>
              <w:right w:w="115" w:type="dxa"/>
            </w:tcMar>
          </w:tcPr>
          <w:p w14:paraId="787C6172" w14:textId="77777777" w:rsidR="4954557E" w:rsidRDefault="4954557E" w:rsidP="4954557E">
            <w:pPr>
              <w:spacing w:after="0"/>
              <w:jc w:val="both"/>
              <w:rPr>
                <w:sz w:val="20"/>
                <w:szCs w:val="20"/>
              </w:rPr>
            </w:pPr>
          </w:p>
        </w:tc>
        <w:tc>
          <w:tcPr>
            <w:tcW w:w="12322" w:type="dxa"/>
            <w:gridSpan w:val="2"/>
            <w:tcMar>
              <w:top w:w="29" w:type="dxa"/>
              <w:left w:w="115" w:type="dxa"/>
              <w:bottom w:w="29" w:type="dxa"/>
              <w:right w:w="115" w:type="dxa"/>
            </w:tcMar>
          </w:tcPr>
          <w:p w14:paraId="7B7957FC" w14:textId="77777777" w:rsidR="4954557E" w:rsidRDefault="4954557E" w:rsidP="4954557E">
            <w:pPr>
              <w:spacing w:after="0"/>
              <w:jc w:val="both"/>
              <w:rPr>
                <w:sz w:val="20"/>
                <w:szCs w:val="20"/>
              </w:rPr>
            </w:pPr>
          </w:p>
        </w:tc>
        <w:tc>
          <w:tcPr>
            <w:tcW w:w="2148" w:type="dxa"/>
            <w:tcMar>
              <w:top w:w="29" w:type="dxa"/>
              <w:left w:w="115" w:type="dxa"/>
              <w:bottom w:w="29" w:type="dxa"/>
              <w:right w:w="115" w:type="dxa"/>
            </w:tcMar>
          </w:tcPr>
          <w:p w14:paraId="617C4C82" w14:textId="77777777" w:rsidR="4954557E" w:rsidRDefault="4954557E" w:rsidP="4954557E">
            <w:pPr>
              <w:spacing w:after="0"/>
              <w:jc w:val="both"/>
              <w:rPr>
                <w:sz w:val="20"/>
                <w:szCs w:val="20"/>
              </w:rPr>
            </w:pPr>
          </w:p>
        </w:tc>
      </w:tr>
      <w:tr w:rsidR="4954557E" w14:paraId="40430A84" w14:textId="77777777" w:rsidTr="2AC19007">
        <w:trPr>
          <w:trHeight w:val="244"/>
        </w:trPr>
        <w:tc>
          <w:tcPr>
            <w:tcW w:w="15246" w:type="dxa"/>
            <w:gridSpan w:val="4"/>
            <w:shd w:val="clear" w:color="auto" w:fill="DEEAF6"/>
            <w:tcMar>
              <w:top w:w="29" w:type="dxa"/>
              <w:left w:w="115" w:type="dxa"/>
              <w:bottom w:w="29" w:type="dxa"/>
              <w:right w:w="115" w:type="dxa"/>
            </w:tcMar>
          </w:tcPr>
          <w:p w14:paraId="108EC72E" w14:textId="77777777" w:rsidR="002A5780" w:rsidRDefault="00D91955" w:rsidP="4954557E">
            <w:pPr>
              <w:spacing w:after="0"/>
              <w:rPr>
                <w:b/>
                <w:bCs/>
              </w:rPr>
            </w:pPr>
            <w:r w:rsidRPr="4954557E">
              <w:rPr>
                <w:b/>
                <w:bCs/>
              </w:rPr>
              <w:t>Gynybos pramonė</w:t>
            </w:r>
          </w:p>
        </w:tc>
      </w:tr>
      <w:tr w:rsidR="4954557E" w14:paraId="0275E922" w14:textId="77777777" w:rsidTr="2AC19007">
        <w:trPr>
          <w:trHeight w:val="300"/>
        </w:trPr>
        <w:tc>
          <w:tcPr>
            <w:tcW w:w="776" w:type="dxa"/>
            <w:tcMar>
              <w:top w:w="29" w:type="dxa"/>
              <w:left w:w="115" w:type="dxa"/>
              <w:bottom w:w="29" w:type="dxa"/>
              <w:right w:w="115" w:type="dxa"/>
            </w:tcMar>
          </w:tcPr>
          <w:p w14:paraId="4AFB2F11" w14:textId="6CA0518C" w:rsidR="7605F42E" w:rsidRDefault="7605F42E" w:rsidP="4954557E">
            <w:pPr>
              <w:jc w:val="both"/>
            </w:pPr>
            <w:r w:rsidRPr="4954557E">
              <w:rPr>
                <w:sz w:val="20"/>
                <w:szCs w:val="20"/>
              </w:rPr>
              <w:t>06/08</w:t>
            </w:r>
          </w:p>
        </w:tc>
        <w:tc>
          <w:tcPr>
            <w:tcW w:w="12322" w:type="dxa"/>
            <w:gridSpan w:val="2"/>
            <w:tcMar>
              <w:top w:w="29" w:type="dxa"/>
              <w:left w:w="115" w:type="dxa"/>
              <w:bottom w:w="29" w:type="dxa"/>
              <w:right w:w="115" w:type="dxa"/>
            </w:tcMar>
          </w:tcPr>
          <w:p w14:paraId="39DEFF24" w14:textId="40A43658" w:rsidR="7605F42E" w:rsidRDefault="6A1122E4" w:rsidP="4954557E">
            <w:pPr>
              <w:jc w:val="both"/>
            </w:pPr>
            <w:r w:rsidRPr="2AC19007">
              <w:rPr>
                <w:sz w:val="20"/>
                <w:szCs w:val="20"/>
              </w:rPr>
              <w:t>UK vyriausybė spalio mėn. biudžete daugiausia dėmesio ketina skirti beveik 5 mlrd. svarų sterlingų siekiančiam Defence Investment Plan finansavimo trūkumui padengti, o sprendimą dėl spartesnio bendro gynybos finansavimo didinimo atidėti iki kitų metų Spending Review. Kancleris John Healey, anksčiau pasisakęs už tai, kad gynybos išlaidos iki 2030 m. pasiektų 3 proc. BVP, šio termino biudžete nustatyti neketina. Vyriausybė išlaiko įsipareigojimą iki 2035 m. gynybai skirti 3,5 proc. BVP, o konkretus 3 proc. BVP tikslo įgyvendinimo terminas turėtų būti nustatytas per Spending Review. Institute for Fiscal Studies (IFS) skaičiavimu, gynybos finansavimo padidinimas iki 3 proc. BVP 2030 m. pareikalautų papildomų 10 mlrd. svarų sterlingų per metus, o iki 3,5 proc. BVP – apie 25 mlrd. svarų sterlingų daugiau, palyginti su dabartiniu finansavimo lygiu. Tuo pat metu JAV didina spaudimą Europos NATO sąjungininkėms stiprinti karinius pajėgumus – Pentagono politikos vadovas Elbridge Colby rugpjūčio pabaigoje atskirai pabrėžė, kad JAV tikisi didesnių UK pastangų.</w:t>
            </w:r>
          </w:p>
        </w:tc>
        <w:tc>
          <w:tcPr>
            <w:tcW w:w="2148" w:type="dxa"/>
            <w:tcMar>
              <w:top w:w="29" w:type="dxa"/>
              <w:left w:w="115" w:type="dxa"/>
              <w:bottom w:w="29" w:type="dxa"/>
              <w:right w:w="115" w:type="dxa"/>
            </w:tcMar>
          </w:tcPr>
          <w:p w14:paraId="71B2A0BF" w14:textId="6F5B6A60" w:rsidR="7605F42E" w:rsidRDefault="7605F42E" w:rsidP="085EE119">
            <w:pPr>
              <w:spacing w:after="0"/>
              <w:jc w:val="both"/>
            </w:pPr>
            <w:hyperlink r:id="rId75">
              <w:r w:rsidRPr="2AC19007">
                <w:rPr>
                  <w:rStyle w:val="Hyperlink"/>
                  <w:color w:val="1155CC"/>
                </w:rPr>
                <w:t>Marco Rubio tells Ed Miliband to increase British defence spending</w:t>
              </w:r>
            </w:hyperlink>
          </w:p>
          <w:p w14:paraId="0EF1A5E8" w14:textId="5C44A172" w:rsidR="7605F42E" w:rsidRDefault="7360B25B" w:rsidP="085EE119">
            <w:pPr>
              <w:spacing w:after="0"/>
              <w:jc w:val="both"/>
            </w:pPr>
            <w:hyperlink r:id="rId76">
              <w:r w:rsidRPr="2AC19007">
                <w:rPr>
                  <w:rStyle w:val="Hyperlink"/>
                </w:rPr>
                <w:t>US rebukes Europeans over ‘sea of red’ military gaps</w:t>
              </w:r>
            </w:hyperlink>
          </w:p>
          <w:p w14:paraId="0B011F32" w14:textId="6474D6E4" w:rsidR="7605F42E" w:rsidRDefault="3AA894D3" w:rsidP="085EE119">
            <w:pPr>
              <w:spacing w:after="0"/>
              <w:jc w:val="both"/>
            </w:pPr>
            <w:hyperlink r:id="rId77">
              <w:r w:rsidRPr="2AC19007">
                <w:rPr>
                  <w:rStyle w:val="Hyperlink"/>
                  <w:lang w:val="en-US"/>
                </w:rPr>
                <w:t>Healey to shelve his own defence spending target of 3% of GDP by 2030</w:t>
              </w:r>
            </w:hyperlink>
          </w:p>
        </w:tc>
      </w:tr>
      <w:tr w:rsidR="4954557E" w14:paraId="4DA4451E" w14:textId="77777777" w:rsidTr="2AC19007">
        <w:trPr>
          <w:trHeight w:val="300"/>
        </w:trPr>
        <w:tc>
          <w:tcPr>
            <w:tcW w:w="776" w:type="dxa"/>
            <w:tcMar>
              <w:top w:w="29" w:type="dxa"/>
              <w:left w:w="115" w:type="dxa"/>
              <w:bottom w:w="29" w:type="dxa"/>
              <w:right w:w="115" w:type="dxa"/>
            </w:tcMar>
          </w:tcPr>
          <w:p w14:paraId="7A8396C8" w14:textId="74223438" w:rsidR="7605F42E" w:rsidRDefault="7605F42E" w:rsidP="4954557E">
            <w:pPr>
              <w:jc w:val="both"/>
            </w:pPr>
            <w:r w:rsidRPr="4954557E">
              <w:rPr>
                <w:sz w:val="20"/>
                <w:szCs w:val="20"/>
              </w:rPr>
              <w:t>10/08</w:t>
            </w:r>
          </w:p>
        </w:tc>
        <w:tc>
          <w:tcPr>
            <w:tcW w:w="12322" w:type="dxa"/>
            <w:gridSpan w:val="2"/>
            <w:tcMar>
              <w:top w:w="29" w:type="dxa"/>
              <w:left w:w="115" w:type="dxa"/>
              <w:bottom w:w="29" w:type="dxa"/>
              <w:right w:w="115" w:type="dxa"/>
            </w:tcMar>
          </w:tcPr>
          <w:p w14:paraId="4EBDEE63" w14:textId="189FF4BF" w:rsidR="7605F42E" w:rsidRDefault="7605F42E" w:rsidP="4954557E">
            <w:pPr>
              <w:jc w:val="both"/>
            </w:pPr>
            <w:r w:rsidRPr="4954557E">
              <w:rPr>
                <w:sz w:val="20"/>
                <w:szCs w:val="20"/>
              </w:rPr>
              <w:t>JK Gynybos ministerija nustatė kibernetinio saugumo problemą 20 Karališkojo karinio jūrų laivyno autonominių K3 Scout laivų, įsigytų pagal 12,3 mln. GBP vertės Project Beehive programą, kamerose – jos siuntė automatinius sistemos veikimo signalus į interneto adresą Kinijoje. Kamerų interneto ryšys buvo išjungtas, tačiau tyrimas nenustatė įrodymų, kad būtų perduoti jautrūs gynybos duomenys ar pažeistos ministerijos sistemos.</w:t>
            </w:r>
          </w:p>
        </w:tc>
        <w:tc>
          <w:tcPr>
            <w:tcW w:w="2148" w:type="dxa"/>
            <w:tcMar>
              <w:top w:w="29" w:type="dxa"/>
              <w:left w:w="115" w:type="dxa"/>
              <w:bottom w:w="29" w:type="dxa"/>
              <w:right w:w="115" w:type="dxa"/>
            </w:tcMar>
          </w:tcPr>
          <w:p w14:paraId="6269FE1A" w14:textId="43832C71" w:rsidR="7605F42E" w:rsidRDefault="7605F42E" w:rsidP="085EE119">
            <w:pPr>
              <w:spacing w:after="0"/>
              <w:jc w:val="both"/>
              <w:rPr>
                <w:rFonts w:ascii="Times New Roman" w:eastAsia="Times New Roman" w:hAnsi="Times New Roman" w:cs="Times New Roman"/>
                <w:color w:val="1155CC"/>
                <w:sz w:val="24"/>
                <w:szCs w:val="24"/>
                <w:u w:val="single"/>
              </w:rPr>
            </w:pPr>
            <w:hyperlink r:id="rId78">
              <w:r w:rsidRPr="085EE119">
                <w:rPr>
                  <w:rStyle w:val="Hyperlink"/>
                  <w:color w:val="1155CC"/>
                </w:rPr>
                <w:t>Defence Supply Chain Cybersecurity</w:t>
              </w:r>
            </w:hyperlink>
          </w:p>
        </w:tc>
      </w:tr>
      <w:tr w:rsidR="4954557E" w14:paraId="5C0B93D8" w14:textId="77777777" w:rsidTr="2AC19007">
        <w:tc>
          <w:tcPr>
            <w:tcW w:w="776" w:type="dxa"/>
            <w:tcMar>
              <w:top w:w="29" w:type="dxa"/>
              <w:left w:w="115" w:type="dxa"/>
              <w:bottom w:w="29" w:type="dxa"/>
              <w:right w:w="115" w:type="dxa"/>
            </w:tcMar>
          </w:tcPr>
          <w:p w14:paraId="4C30EDB9" w14:textId="62C9BE3C" w:rsidR="4954557E" w:rsidRDefault="4954557E" w:rsidP="4954557E">
            <w:pPr>
              <w:spacing w:after="0"/>
              <w:jc w:val="both"/>
              <w:rPr>
                <w:sz w:val="20"/>
                <w:szCs w:val="20"/>
              </w:rPr>
            </w:pPr>
          </w:p>
        </w:tc>
        <w:tc>
          <w:tcPr>
            <w:tcW w:w="12322" w:type="dxa"/>
            <w:gridSpan w:val="2"/>
            <w:tcMar>
              <w:top w:w="29" w:type="dxa"/>
              <w:left w:w="115" w:type="dxa"/>
              <w:bottom w:w="29" w:type="dxa"/>
              <w:right w:w="115" w:type="dxa"/>
            </w:tcMar>
          </w:tcPr>
          <w:p w14:paraId="06EB497B" w14:textId="77777777" w:rsidR="4954557E" w:rsidRDefault="4954557E" w:rsidP="4954557E">
            <w:pPr>
              <w:spacing w:after="0"/>
              <w:jc w:val="both"/>
              <w:rPr>
                <w:sz w:val="20"/>
                <w:szCs w:val="20"/>
              </w:rPr>
            </w:pPr>
          </w:p>
        </w:tc>
        <w:tc>
          <w:tcPr>
            <w:tcW w:w="2148" w:type="dxa"/>
            <w:tcMar>
              <w:top w:w="29" w:type="dxa"/>
              <w:left w:w="115" w:type="dxa"/>
              <w:bottom w:w="29" w:type="dxa"/>
              <w:right w:w="115" w:type="dxa"/>
            </w:tcMar>
          </w:tcPr>
          <w:p w14:paraId="1E33EF46" w14:textId="77777777" w:rsidR="4954557E" w:rsidRDefault="4954557E" w:rsidP="4954557E">
            <w:pPr>
              <w:spacing w:after="0"/>
              <w:jc w:val="both"/>
              <w:rPr>
                <w:sz w:val="20"/>
                <w:szCs w:val="20"/>
              </w:rPr>
            </w:pPr>
          </w:p>
        </w:tc>
      </w:tr>
      <w:tr w:rsidR="4954557E" w14:paraId="49287400" w14:textId="77777777" w:rsidTr="2AC19007">
        <w:tc>
          <w:tcPr>
            <w:tcW w:w="776" w:type="dxa"/>
            <w:tcMar>
              <w:top w:w="29" w:type="dxa"/>
              <w:left w:w="115" w:type="dxa"/>
              <w:bottom w:w="29" w:type="dxa"/>
              <w:right w:w="115" w:type="dxa"/>
            </w:tcMar>
          </w:tcPr>
          <w:p w14:paraId="54932691" w14:textId="5CCC13B5" w:rsidR="4954557E" w:rsidRDefault="1E6CA74B" w:rsidP="4954557E">
            <w:pPr>
              <w:spacing w:after="0"/>
              <w:jc w:val="both"/>
            </w:pPr>
            <w:r w:rsidRPr="085EE119">
              <w:rPr>
                <w:sz w:val="20"/>
                <w:szCs w:val="20"/>
              </w:rPr>
              <w:t>23/08</w:t>
            </w:r>
          </w:p>
        </w:tc>
        <w:tc>
          <w:tcPr>
            <w:tcW w:w="12322" w:type="dxa"/>
            <w:gridSpan w:val="2"/>
            <w:tcMar>
              <w:top w:w="29" w:type="dxa"/>
              <w:left w:w="115" w:type="dxa"/>
              <w:bottom w:w="29" w:type="dxa"/>
              <w:right w:w="115" w:type="dxa"/>
            </w:tcMar>
          </w:tcPr>
          <w:p w14:paraId="07FC023B" w14:textId="53426FCC" w:rsidR="4954557E" w:rsidRDefault="1E6CA74B" w:rsidP="4954557E">
            <w:pPr>
              <w:spacing w:after="0"/>
              <w:jc w:val="both"/>
            </w:pPr>
            <w:r w:rsidRPr="085EE119">
              <w:rPr>
                <w:sz w:val="20"/>
                <w:szCs w:val="20"/>
              </w:rPr>
              <w:t>JK paskelbė apie tolesnę paramą Ukrainos gynybos pramonei, siekiant sudaryti sąlygas šalyje gaminti tolimojo nuotolio raketas. Gynybos bendrovei MBDA bus leista perduoti įslaptintą informaciją apie JK gaminamus Prancūzijos raketos „Scalp“ komponentus, Ukrainai ir Prancūzijai siekiant sukurti šių raketų gamybos pajėgumus Ukrainoje. „Scalp“ yra prancūziška JK naudojamos „Storm Shadow“ raketos versija, o abiejose sistemose naudojamos bendros JK ir Prancūzijos technologijos. Šis sprendimas yra platesnės JK paramos Ukrainos gynybiniams pajėgumams ir gynybos pramonės stiprinimui dalis.</w:t>
            </w:r>
          </w:p>
        </w:tc>
        <w:tc>
          <w:tcPr>
            <w:tcW w:w="2148" w:type="dxa"/>
            <w:tcMar>
              <w:top w:w="29" w:type="dxa"/>
              <w:left w:w="115" w:type="dxa"/>
              <w:bottom w:w="29" w:type="dxa"/>
              <w:right w:w="115" w:type="dxa"/>
            </w:tcMar>
          </w:tcPr>
          <w:p w14:paraId="15A8E3EF" w14:textId="4A906F90" w:rsidR="4954557E" w:rsidRDefault="1E6CA74B" w:rsidP="4954557E">
            <w:pPr>
              <w:spacing w:after="0"/>
              <w:jc w:val="both"/>
            </w:pPr>
            <w:hyperlink r:id="rId79">
              <w:r w:rsidRPr="085EE119">
                <w:rPr>
                  <w:rStyle w:val="Hyperlink"/>
                </w:rPr>
                <w:t>Burnham visits Ukraine with pledge of support for long-range missile construction</w:t>
              </w:r>
            </w:hyperlink>
          </w:p>
        </w:tc>
      </w:tr>
      <w:tr w:rsidR="085EE119" w14:paraId="5817B850" w14:textId="77777777" w:rsidTr="2AC19007">
        <w:trPr>
          <w:trHeight w:val="300"/>
        </w:trPr>
        <w:tc>
          <w:tcPr>
            <w:tcW w:w="776" w:type="dxa"/>
            <w:tcMar>
              <w:top w:w="29" w:type="dxa"/>
              <w:left w:w="115" w:type="dxa"/>
              <w:bottom w:w="29" w:type="dxa"/>
              <w:right w:w="115" w:type="dxa"/>
            </w:tcMar>
          </w:tcPr>
          <w:p w14:paraId="3B11DB18" w14:textId="7C2C7A72" w:rsidR="49D8AEE6" w:rsidRDefault="49D8AEE6" w:rsidP="085EE119">
            <w:pPr>
              <w:jc w:val="both"/>
            </w:pPr>
            <w:r w:rsidRPr="085EE119">
              <w:rPr>
                <w:sz w:val="20"/>
                <w:szCs w:val="20"/>
              </w:rPr>
              <w:t>24/08</w:t>
            </w:r>
          </w:p>
        </w:tc>
        <w:tc>
          <w:tcPr>
            <w:tcW w:w="12322" w:type="dxa"/>
            <w:gridSpan w:val="2"/>
            <w:tcMar>
              <w:top w:w="29" w:type="dxa"/>
              <w:left w:w="115" w:type="dxa"/>
              <w:bottom w:w="29" w:type="dxa"/>
              <w:right w:w="115" w:type="dxa"/>
            </w:tcMar>
          </w:tcPr>
          <w:p w14:paraId="49537160" w14:textId="5EAEECE9" w:rsidR="49D8AEE6" w:rsidRDefault="49D8AEE6" w:rsidP="085EE119">
            <w:pPr>
              <w:jc w:val="both"/>
            </w:pPr>
            <w:r w:rsidRPr="085EE119">
              <w:rPr>
                <w:sz w:val="20"/>
                <w:szCs w:val="20"/>
              </w:rPr>
              <w:t>JK ir Ukraina pasirašė susitarimą, pagal kurį patikrintoms JK gynybos bendrovėms ir tyrėjams bus suteikta prieiga prie Ukrainos „Avengers AI Lab“ sukauptų mūšio lauko duomenų, apimančių milijonus vaizdų ir informacijos apie Rusijos karinę techniką, oro gynybos sistemas, bepiločius orlaivius ir kitus taikinius. Duomenys bus naudojami DI modeliams mokyti ir pažangioms gynybos technologijoms kurti, o JK suteiks Ukrainai britų inžinierių, mokslininkų ir DI specialistų kompetenciją. Jau pradėti bandomieji projektai su trimis JK startuoliais, apimantys DI pagrįstos karinių objektų apsaugos sistemos ir mažai energijos naudojančių naujos kartos DI lustų, skirtų bepiločiams orlaiviams, robotikai ir autonominėms sistemoms, kūrimą. Ateityje šios technologijos taip pat galėtų būti pritaikytos JK ypatingos svarbos infrastruktūros, įskaitant oro uostus, geležinkelius ir energetikos objektus, apsaugai.</w:t>
            </w:r>
          </w:p>
        </w:tc>
        <w:tc>
          <w:tcPr>
            <w:tcW w:w="2148" w:type="dxa"/>
            <w:tcMar>
              <w:top w:w="29" w:type="dxa"/>
              <w:left w:w="115" w:type="dxa"/>
              <w:bottom w:w="29" w:type="dxa"/>
              <w:right w:w="115" w:type="dxa"/>
            </w:tcMar>
          </w:tcPr>
          <w:p w14:paraId="2D8606F0" w14:textId="35DEDAF7" w:rsidR="49D8AEE6" w:rsidRDefault="49D8AEE6" w:rsidP="085EE119">
            <w:pPr>
              <w:jc w:val="both"/>
            </w:pPr>
            <w:hyperlink r:id="rId80">
              <w:r w:rsidRPr="2AC19007">
                <w:rPr>
                  <w:rStyle w:val="Hyperlink"/>
                </w:rPr>
                <w:t>Ukraine battlefield data to help UK protect bases from spies</w:t>
              </w:r>
            </w:hyperlink>
          </w:p>
        </w:tc>
      </w:tr>
      <w:tr w:rsidR="2AC19007" w14:paraId="1DAB285C" w14:textId="77777777" w:rsidTr="2AC19007">
        <w:trPr>
          <w:trHeight w:val="300"/>
        </w:trPr>
        <w:tc>
          <w:tcPr>
            <w:tcW w:w="776" w:type="dxa"/>
            <w:tcMar>
              <w:top w:w="29" w:type="dxa"/>
              <w:left w:w="115" w:type="dxa"/>
              <w:bottom w:w="29" w:type="dxa"/>
              <w:right w:w="115" w:type="dxa"/>
            </w:tcMar>
          </w:tcPr>
          <w:p w14:paraId="1055ADDE" w14:textId="38972855" w:rsidR="1521EEA3" w:rsidRDefault="1521EEA3" w:rsidP="2AC19007">
            <w:pPr>
              <w:jc w:val="both"/>
            </w:pPr>
            <w:r w:rsidRPr="2AC19007">
              <w:rPr>
                <w:sz w:val="20"/>
                <w:szCs w:val="20"/>
              </w:rPr>
              <w:t>31/08</w:t>
            </w:r>
          </w:p>
        </w:tc>
        <w:tc>
          <w:tcPr>
            <w:tcW w:w="12322" w:type="dxa"/>
            <w:gridSpan w:val="2"/>
            <w:tcMar>
              <w:top w:w="29" w:type="dxa"/>
              <w:left w:w="115" w:type="dxa"/>
              <w:bottom w:w="29" w:type="dxa"/>
              <w:right w:w="115" w:type="dxa"/>
            </w:tcMar>
          </w:tcPr>
          <w:p w14:paraId="288DB070" w14:textId="36E8284B" w:rsidR="1521EEA3" w:rsidRDefault="1521EEA3" w:rsidP="2AC19007">
            <w:pPr>
              <w:jc w:val="both"/>
            </w:pPr>
            <w:r w:rsidRPr="2AC19007">
              <w:rPr>
                <w:sz w:val="20"/>
                <w:szCs w:val="20"/>
              </w:rPr>
              <w:t>. Britų kariuomenė rengiasi įgyvendinti Project Grayburn – programą, skirtą pirmą kartą per keturis dešimtmečius pakeisti šiuo metu naudojamus SA80 automatinius šautuvus. Planuojama įsigyti 150–180 tūkst. naujų šautuvų, o programos vertė, sektoriaus atstovų vertinimu, gali siekti apie 500 mln. eurų. Dėl būsimo kontrakto ketina konkuruoti Vokietijos ginklų gamintoja „Heckler &amp; Koch“, Belgijos „FN Browning Group“, Italijos „Beretta“ ir JAV „Sig Sauer“. „Heckler &amp; Koch“, jau turinti padalinį Notingame, šiais metais taip pat įsigijo UK ginklų komponentų gamintoją, siekdama sustiprinti savo galimybes dalį gamybos vykdyti UK.</w:t>
            </w:r>
          </w:p>
        </w:tc>
        <w:tc>
          <w:tcPr>
            <w:tcW w:w="2148" w:type="dxa"/>
            <w:tcMar>
              <w:top w:w="29" w:type="dxa"/>
              <w:left w:w="115" w:type="dxa"/>
              <w:bottom w:w="29" w:type="dxa"/>
              <w:right w:w="115" w:type="dxa"/>
            </w:tcMar>
          </w:tcPr>
          <w:p w14:paraId="7B2118E8" w14:textId="38C649BD" w:rsidR="1521EEA3" w:rsidRDefault="1521EEA3" w:rsidP="2AC19007">
            <w:pPr>
              <w:jc w:val="both"/>
            </w:pPr>
            <w:hyperlink r:id="rId81">
              <w:r w:rsidRPr="2AC19007">
                <w:rPr>
                  <w:rStyle w:val="Hyperlink"/>
                </w:rPr>
                <w:t>German gunmaker with loaded history sets sights on British army’s next rifle</w:t>
              </w:r>
            </w:hyperlink>
          </w:p>
        </w:tc>
      </w:tr>
      <w:tr w:rsidR="4954557E" w14:paraId="09B07FD5" w14:textId="77777777" w:rsidTr="2AC19007">
        <w:trPr>
          <w:trHeight w:val="420"/>
        </w:trPr>
        <w:tc>
          <w:tcPr>
            <w:tcW w:w="15246" w:type="dxa"/>
            <w:gridSpan w:val="4"/>
            <w:shd w:val="clear" w:color="auto" w:fill="DEEAF6"/>
            <w:tcMar>
              <w:top w:w="29" w:type="dxa"/>
              <w:left w:w="115" w:type="dxa"/>
              <w:bottom w:w="29" w:type="dxa"/>
              <w:right w:w="115" w:type="dxa"/>
            </w:tcMar>
          </w:tcPr>
          <w:p w14:paraId="69F48066" w14:textId="77777777" w:rsidR="002A5780" w:rsidRDefault="00D91955" w:rsidP="4954557E">
            <w:pPr>
              <w:spacing w:after="0"/>
              <w:jc w:val="both"/>
              <w:rPr>
                <w:b/>
                <w:bCs/>
              </w:rPr>
            </w:pPr>
            <w:r w:rsidRPr="4954557E">
              <w:rPr>
                <w:b/>
                <w:bCs/>
              </w:rPr>
              <w:t>Bendra ekonominė informacija</w:t>
            </w:r>
          </w:p>
        </w:tc>
      </w:tr>
      <w:tr w:rsidR="4954557E" w14:paraId="03721D17" w14:textId="77777777" w:rsidTr="2AC19007">
        <w:tc>
          <w:tcPr>
            <w:tcW w:w="776" w:type="dxa"/>
            <w:tcMar>
              <w:top w:w="29" w:type="dxa"/>
              <w:left w:w="115" w:type="dxa"/>
              <w:bottom w:w="29" w:type="dxa"/>
              <w:right w:w="115" w:type="dxa"/>
            </w:tcMar>
          </w:tcPr>
          <w:p w14:paraId="7EADD1EF" w14:textId="77777777" w:rsidR="4954557E" w:rsidRDefault="4954557E" w:rsidP="4954557E">
            <w:pPr>
              <w:spacing w:after="0"/>
              <w:jc w:val="both"/>
              <w:rPr>
                <w:sz w:val="20"/>
                <w:szCs w:val="20"/>
              </w:rPr>
            </w:pPr>
          </w:p>
        </w:tc>
        <w:tc>
          <w:tcPr>
            <w:tcW w:w="12322" w:type="dxa"/>
            <w:gridSpan w:val="2"/>
            <w:tcMar>
              <w:top w:w="29" w:type="dxa"/>
              <w:left w:w="115" w:type="dxa"/>
              <w:bottom w:w="29" w:type="dxa"/>
              <w:right w:w="115" w:type="dxa"/>
            </w:tcMar>
          </w:tcPr>
          <w:p w14:paraId="6D066A70" w14:textId="77777777" w:rsidR="002A5780" w:rsidRDefault="00D91955" w:rsidP="4954557E">
            <w:pPr>
              <w:spacing w:after="0"/>
              <w:jc w:val="both"/>
              <w:rPr>
                <w:b/>
                <w:bCs/>
                <w:sz w:val="20"/>
                <w:szCs w:val="20"/>
              </w:rPr>
            </w:pPr>
            <w:r w:rsidRPr="4954557E">
              <w:rPr>
                <w:b/>
                <w:bCs/>
                <w:sz w:val="20"/>
                <w:szCs w:val="20"/>
              </w:rPr>
              <w:t>JK ekonomikos prognozės: 2026 m. Liepa</w:t>
            </w:r>
          </w:p>
        </w:tc>
        <w:tc>
          <w:tcPr>
            <w:tcW w:w="2148" w:type="dxa"/>
            <w:tcMar>
              <w:top w:w="29" w:type="dxa"/>
              <w:left w:w="115" w:type="dxa"/>
              <w:bottom w:w="29" w:type="dxa"/>
              <w:right w:w="115" w:type="dxa"/>
            </w:tcMar>
          </w:tcPr>
          <w:p w14:paraId="68C07F3E" w14:textId="4377165D" w:rsidR="002A5780" w:rsidRDefault="00D91955" w:rsidP="4954557E">
            <w:pPr>
              <w:spacing w:after="0"/>
              <w:jc w:val="both"/>
              <w:rPr>
                <w:sz w:val="20"/>
                <w:szCs w:val="20"/>
              </w:rPr>
            </w:pPr>
            <w:hyperlink r:id="rId82">
              <w:r w:rsidRPr="2AC19007">
                <w:rPr>
                  <w:color w:val="1155CC"/>
                  <w:sz w:val="20"/>
                  <w:szCs w:val="20"/>
                  <w:u w:val="single"/>
                </w:rPr>
                <w:t xml:space="preserve">Forecasts for the UK economy: </w:t>
              </w:r>
              <w:r w:rsidR="161DFE2C" w:rsidRPr="2AC19007">
                <w:rPr>
                  <w:color w:val="1155CC"/>
                  <w:sz w:val="20"/>
                  <w:szCs w:val="20"/>
                  <w:u w:val="single"/>
                </w:rPr>
                <w:t>August</w:t>
              </w:r>
              <w:r w:rsidRPr="2AC19007">
                <w:rPr>
                  <w:color w:val="1155CC"/>
                  <w:sz w:val="20"/>
                  <w:szCs w:val="20"/>
                  <w:u w:val="single"/>
                </w:rPr>
                <w:t xml:space="preserve"> 2026 (GOV.UK)</w:t>
              </w:r>
            </w:hyperlink>
            <w:r w:rsidRPr="2AC19007">
              <w:rPr>
                <w:sz w:val="20"/>
                <w:szCs w:val="20"/>
              </w:rPr>
              <w:t xml:space="preserve"> </w:t>
            </w:r>
          </w:p>
        </w:tc>
      </w:tr>
      <w:tr w:rsidR="085EE119" w14:paraId="4D86D762" w14:textId="77777777" w:rsidTr="2AC19007">
        <w:trPr>
          <w:trHeight w:val="300"/>
        </w:trPr>
        <w:tc>
          <w:tcPr>
            <w:tcW w:w="776" w:type="dxa"/>
            <w:tcMar>
              <w:top w:w="29" w:type="dxa"/>
              <w:left w:w="115" w:type="dxa"/>
              <w:bottom w:w="29" w:type="dxa"/>
              <w:right w:w="115" w:type="dxa"/>
            </w:tcMar>
          </w:tcPr>
          <w:p w14:paraId="59D918AB" w14:textId="1C2F6854" w:rsidR="085EE119" w:rsidRDefault="085EE119" w:rsidP="085EE119">
            <w:pPr>
              <w:jc w:val="both"/>
              <w:rPr>
                <w:sz w:val="20"/>
                <w:szCs w:val="20"/>
              </w:rPr>
            </w:pPr>
          </w:p>
        </w:tc>
        <w:tc>
          <w:tcPr>
            <w:tcW w:w="12322" w:type="dxa"/>
            <w:gridSpan w:val="2"/>
            <w:tcMar>
              <w:top w:w="29" w:type="dxa"/>
              <w:left w:w="115" w:type="dxa"/>
              <w:bottom w:w="29" w:type="dxa"/>
              <w:right w:w="115" w:type="dxa"/>
            </w:tcMar>
          </w:tcPr>
          <w:p w14:paraId="0016F6A5" w14:textId="1ADC3F77" w:rsidR="142E4BA4" w:rsidRDefault="142E4BA4" w:rsidP="2AC19007">
            <w:pPr>
              <w:jc w:val="both"/>
              <w:rPr>
                <w:sz w:val="20"/>
                <w:szCs w:val="20"/>
              </w:rPr>
            </w:pPr>
            <w:r w:rsidRPr="2AC19007">
              <w:rPr>
                <w:sz w:val="20"/>
                <w:szCs w:val="20"/>
              </w:rPr>
              <w:t>Kiaulienos gamyba išlieka aukšta</w:t>
            </w:r>
          </w:p>
          <w:p w14:paraId="3B0910C0" w14:textId="60B48400" w:rsidR="142E4BA4" w:rsidRDefault="142E4BA4" w:rsidP="2AC19007">
            <w:pPr>
              <w:jc w:val="both"/>
              <w:rPr>
                <w:sz w:val="20"/>
                <w:szCs w:val="20"/>
              </w:rPr>
            </w:pPr>
            <w:r w:rsidRPr="2AC19007">
              <w:rPr>
                <w:sz w:val="20"/>
                <w:szCs w:val="20"/>
              </w:rPr>
              <w:t>JK kiaulienos gamyba antrąjį ketvirtį siekė 250,6 tūkst. t – 4,8 % daugiau nei prieš metus. Per visą pirmąjį pusmetį pagaminta 507,4 tūkst. t, arba 5,1 % daugiau nei 2025 m.</w:t>
            </w:r>
          </w:p>
          <w:p w14:paraId="42363ED6" w14:textId="7F85CC5B" w:rsidR="142E4BA4" w:rsidRDefault="142E4BA4" w:rsidP="2AC19007">
            <w:pPr>
              <w:jc w:val="both"/>
              <w:rPr>
                <w:sz w:val="20"/>
                <w:szCs w:val="20"/>
              </w:rPr>
            </w:pPr>
            <w:r w:rsidRPr="2AC19007">
              <w:rPr>
                <w:sz w:val="20"/>
                <w:szCs w:val="20"/>
              </w:rPr>
              <w:t>Tai reiškia gana gerą vietinės kiaulienos pasiūlą ir šiuo metu nesudaro tokios palankios importo situacijos kaip grūdų sektoriuje.</w:t>
            </w:r>
          </w:p>
          <w:p w14:paraId="54609A72" w14:textId="6052907C" w:rsidR="142E4BA4" w:rsidRDefault="142E4BA4" w:rsidP="2AC19007">
            <w:pPr>
              <w:jc w:val="both"/>
              <w:rPr>
                <w:sz w:val="20"/>
                <w:szCs w:val="20"/>
              </w:rPr>
            </w:pPr>
            <w:r w:rsidRPr="2AC19007">
              <w:rPr>
                <w:sz w:val="20"/>
                <w:szCs w:val="20"/>
              </w:rPr>
              <w:t>Aukštos jautienos kainos keičia vartotojų pasirinkimą</w:t>
            </w:r>
          </w:p>
          <w:p w14:paraId="3F333FC6" w14:textId="24E0BEFF" w:rsidR="142E4BA4" w:rsidRDefault="142E4BA4" w:rsidP="2AC19007">
            <w:pPr>
              <w:jc w:val="both"/>
              <w:rPr>
                <w:sz w:val="20"/>
                <w:szCs w:val="20"/>
              </w:rPr>
            </w:pPr>
            <w:r w:rsidRPr="2AC19007">
              <w:rPr>
                <w:sz w:val="20"/>
                <w:szCs w:val="20"/>
              </w:rPr>
              <w:t>Per 12 savaičių iki rugpjūčio 9 d. JK jautienos pardavimo apimtys sumažėjo 2 %, nors vartotojų išlaidos jautienai padidėjo 3,3 %. Ypač smarkiai – 7,8 % – sumažėjo maltos jautienos pardavimai, jos vidutinei kainai pakilus 7,6 %. Tuo metu kepsnių pardavimo apimtys dėl aktyvių akcijų išaugo 13,4 %.</w:t>
            </w:r>
          </w:p>
          <w:p w14:paraId="40FC13F3" w14:textId="06401A64" w:rsidR="142E4BA4" w:rsidRDefault="142E4BA4" w:rsidP="2AC19007">
            <w:pPr>
              <w:jc w:val="both"/>
              <w:rPr>
                <w:sz w:val="20"/>
                <w:szCs w:val="20"/>
              </w:rPr>
            </w:pPr>
            <w:r w:rsidRPr="2AC19007">
              <w:rPr>
                <w:sz w:val="20"/>
                <w:szCs w:val="20"/>
              </w:rPr>
              <w:lastRenderedPageBreak/>
              <w:t>Tai rodo didėjantį JK vartotojų jautrumą kainai ir stiprėjančią prekybos tinklų akcijų reikšmę.</w:t>
            </w:r>
          </w:p>
        </w:tc>
        <w:tc>
          <w:tcPr>
            <w:tcW w:w="2148" w:type="dxa"/>
            <w:tcMar>
              <w:top w:w="29" w:type="dxa"/>
              <w:left w:w="115" w:type="dxa"/>
              <w:bottom w:w="29" w:type="dxa"/>
              <w:right w:w="115" w:type="dxa"/>
            </w:tcMar>
          </w:tcPr>
          <w:p w14:paraId="2A751857" w14:textId="3D655520" w:rsidR="142E4BA4" w:rsidRDefault="142E4BA4" w:rsidP="085EE119">
            <w:pPr>
              <w:spacing w:before="195" w:after="195"/>
              <w:jc w:val="both"/>
            </w:pPr>
            <w:hyperlink r:id="rId83">
              <w:r w:rsidRPr="085EE119">
                <w:rPr>
                  <w:rStyle w:val="Hyperlink"/>
                </w:rPr>
                <w:t>Home | AHDB</w:t>
              </w:r>
            </w:hyperlink>
          </w:p>
          <w:p w14:paraId="7BE10112" w14:textId="3B746EFC" w:rsidR="085EE119" w:rsidRDefault="085EE119" w:rsidP="085EE119">
            <w:pPr>
              <w:jc w:val="both"/>
              <w:rPr>
                <w:color w:val="1155CC"/>
                <w:sz w:val="20"/>
                <w:szCs w:val="20"/>
                <w:u w:val="single"/>
              </w:rPr>
            </w:pPr>
          </w:p>
        </w:tc>
      </w:tr>
      <w:tr w:rsidR="085EE119" w14:paraId="3F603093" w14:textId="77777777" w:rsidTr="2AC19007">
        <w:trPr>
          <w:trHeight w:val="300"/>
        </w:trPr>
        <w:tc>
          <w:tcPr>
            <w:tcW w:w="776" w:type="dxa"/>
            <w:tcMar>
              <w:top w:w="29" w:type="dxa"/>
              <w:left w:w="115" w:type="dxa"/>
              <w:bottom w:w="29" w:type="dxa"/>
              <w:right w:w="115" w:type="dxa"/>
            </w:tcMar>
          </w:tcPr>
          <w:p w14:paraId="743A8E21" w14:textId="0A216874" w:rsidR="085EE119" w:rsidRDefault="085EE119" w:rsidP="085EE119">
            <w:pPr>
              <w:jc w:val="both"/>
              <w:rPr>
                <w:sz w:val="20"/>
                <w:szCs w:val="20"/>
              </w:rPr>
            </w:pPr>
          </w:p>
        </w:tc>
        <w:tc>
          <w:tcPr>
            <w:tcW w:w="12322" w:type="dxa"/>
            <w:gridSpan w:val="2"/>
            <w:tcMar>
              <w:top w:w="29" w:type="dxa"/>
              <w:left w:w="115" w:type="dxa"/>
              <w:bottom w:w="29" w:type="dxa"/>
              <w:right w:w="115" w:type="dxa"/>
            </w:tcMar>
          </w:tcPr>
          <w:p w14:paraId="547685FD" w14:textId="15205060" w:rsidR="085EE119" w:rsidRDefault="085EE119" w:rsidP="085EE119">
            <w:pPr>
              <w:jc w:val="both"/>
              <w:rPr>
                <w:sz w:val="20"/>
                <w:szCs w:val="20"/>
              </w:rPr>
            </w:pPr>
          </w:p>
        </w:tc>
        <w:tc>
          <w:tcPr>
            <w:tcW w:w="2148" w:type="dxa"/>
            <w:tcMar>
              <w:top w:w="29" w:type="dxa"/>
              <w:left w:w="115" w:type="dxa"/>
              <w:bottom w:w="29" w:type="dxa"/>
              <w:right w:w="115" w:type="dxa"/>
            </w:tcMar>
          </w:tcPr>
          <w:p w14:paraId="50F2DB4E" w14:textId="2BC7E275" w:rsidR="085EE119" w:rsidRDefault="085EE119" w:rsidP="085EE119">
            <w:pPr>
              <w:jc w:val="both"/>
              <w:rPr>
                <w:color w:val="1155CC"/>
                <w:sz w:val="20"/>
                <w:szCs w:val="20"/>
                <w:u w:val="single"/>
              </w:rPr>
            </w:pPr>
          </w:p>
        </w:tc>
      </w:tr>
      <w:tr w:rsidR="4954557E" w14:paraId="000CD223" w14:textId="77777777" w:rsidTr="2AC19007">
        <w:tc>
          <w:tcPr>
            <w:tcW w:w="776" w:type="dxa"/>
            <w:tcMar>
              <w:top w:w="29" w:type="dxa"/>
              <w:left w:w="115" w:type="dxa"/>
              <w:bottom w:w="29" w:type="dxa"/>
              <w:right w:w="115" w:type="dxa"/>
            </w:tcMar>
          </w:tcPr>
          <w:p w14:paraId="3E05B487" w14:textId="77777777" w:rsidR="002A5780" w:rsidRDefault="00D91955" w:rsidP="4954557E">
            <w:pPr>
              <w:spacing w:after="0"/>
              <w:jc w:val="both"/>
              <w:rPr>
                <w:sz w:val="20"/>
                <w:szCs w:val="20"/>
              </w:rPr>
            </w:pPr>
            <w:r w:rsidRPr="4954557E">
              <w:rPr>
                <w:sz w:val="20"/>
                <w:szCs w:val="20"/>
              </w:rPr>
              <w:t>10/07</w:t>
            </w:r>
          </w:p>
        </w:tc>
        <w:tc>
          <w:tcPr>
            <w:tcW w:w="12322" w:type="dxa"/>
            <w:gridSpan w:val="2"/>
            <w:tcMar>
              <w:top w:w="29" w:type="dxa"/>
              <w:left w:w="115" w:type="dxa"/>
              <w:bottom w:w="29" w:type="dxa"/>
              <w:right w:w="115" w:type="dxa"/>
            </w:tcMar>
          </w:tcPr>
          <w:p w14:paraId="6F68D62F" w14:textId="77777777" w:rsidR="002A5780" w:rsidRDefault="00D91955" w:rsidP="4954557E">
            <w:pPr>
              <w:spacing w:after="0"/>
              <w:jc w:val="both"/>
              <w:rPr>
                <w:sz w:val="20"/>
                <w:szCs w:val="20"/>
              </w:rPr>
            </w:pPr>
            <w:r w:rsidRPr="4954557E">
              <w:rPr>
                <w:sz w:val="20"/>
                <w:szCs w:val="20"/>
              </w:rPr>
              <w:t>2025 m. Jungtinės Karalystės aviacijos, gynybos, saugumo ir kosmoso sektoriai sugeneravo 109,9 mlrd. GBP apyvartą, 46,8 mlrd. GBP pridėtinę vertę, 50 mlrd. GBP eksporto ir tiesiogiai įdarbino 468 500 žmonių. Per pastarąjį dešimtmetį šių sektorių pridėtinė vertė išaugo 65 %, apyvarta – 68 %, eksportas – 68 %, o darbo našumas siekė 99,9 tūkst. GBP vienam darbuotojui, t. y. 24 % daugiau nei JK vidurkis.</w:t>
            </w:r>
          </w:p>
        </w:tc>
        <w:tc>
          <w:tcPr>
            <w:tcW w:w="2148" w:type="dxa"/>
            <w:tcMar>
              <w:top w:w="29" w:type="dxa"/>
              <w:left w:w="115" w:type="dxa"/>
              <w:bottom w:w="29" w:type="dxa"/>
              <w:right w:w="115" w:type="dxa"/>
            </w:tcMar>
          </w:tcPr>
          <w:p w14:paraId="33270176" w14:textId="77777777" w:rsidR="002A5780" w:rsidRDefault="00D91955" w:rsidP="4954557E">
            <w:pPr>
              <w:spacing w:after="0"/>
              <w:jc w:val="both"/>
              <w:rPr>
                <w:sz w:val="20"/>
                <w:szCs w:val="20"/>
              </w:rPr>
            </w:pPr>
            <w:hyperlink r:id="rId84">
              <w:r w:rsidRPr="085EE119">
                <w:rPr>
                  <w:color w:val="1155CC"/>
                  <w:sz w:val="20"/>
                  <w:szCs w:val="20"/>
                  <w:u w:val="single"/>
                </w:rPr>
                <w:t>ADS Facts &amp; Figures 2026</w:t>
              </w:r>
            </w:hyperlink>
          </w:p>
        </w:tc>
      </w:tr>
      <w:tr w:rsidR="4954557E" w14:paraId="5FFCE346" w14:textId="77777777" w:rsidTr="2AC19007">
        <w:trPr>
          <w:trHeight w:val="300"/>
        </w:trPr>
        <w:tc>
          <w:tcPr>
            <w:tcW w:w="776" w:type="dxa"/>
            <w:tcMar>
              <w:top w:w="29" w:type="dxa"/>
              <w:left w:w="115" w:type="dxa"/>
              <w:bottom w:w="29" w:type="dxa"/>
              <w:right w:w="115" w:type="dxa"/>
            </w:tcMar>
          </w:tcPr>
          <w:p w14:paraId="7FC64BFA" w14:textId="2013717E" w:rsidR="4E574210" w:rsidRDefault="4E574210" w:rsidP="4954557E">
            <w:pPr>
              <w:jc w:val="both"/>
            </w:pPr>
            <w:r w:rsidRPr="4954557E">
              <w:rPr>
                <w:sz w:val="20"/>
                <w:szCs w:val="20"/>
              </w:rPr>
              <w:t>01/08</w:t>
            </w:r>
          </w:p>
        </w:tc>
        <w:tc>
          <w:tcPr>
            <w:tcW w:w="12322" w:type="dxa"/>
            <w:gridSpan w:val="2"/>
            <w:tcMar>
              <w:top w:w="29" w:type="dxa"/>
              <w:left w:w="115" w:type="dxa"/>
              <w:bottom w:w="29" w:type="dxa"/>
              <w:right w:w="115" w:type="dxa"/>
            </w:tcMar>
          </w:tcPr>
          <w:p w14:paraId="1EA5B3F2" w14:textId="55A38EAC" w:rsidR="4E574210" w:rsidRDefault="4E574210" w:rsidP="4954557E">
            <w:pPr>
              <w:jc w:val="both"/>
            </w:pPr>
            <w:r w:rsidRPr="4954557E">
              <w:rPr>
                <w:sz w:val="20"/>
                <w:szCs w:val="20"/>
              </w:rPr>
              <w:t>JK vyriausybė pristatė strategiją „The New Model of Government“, kuria numatoma toliau decentralizuoti ekonominės politikos valdymą Anglijoje. Merijų valdžioms ketinama suteikti daugiau fiskalinių įgaliojimų ir perduoti dalį atsakomybės už inovacijų finansavimą, profesinį mokymą, užimtumo ir vietos energetikos politiką. Taip pat numatoma reformuoti savivaldybių finansavimo sistemą, o išsamesni pasiūlymai bus pateikti rudenį planuojamoje Baltojoje knygoje (White Paper).</w:t>
            </w:r>
          </w:p>
        </w:tc>
        <w:tc>
          <w:tcPr>
            <w:tcW w:w="2148" w:type="dxa"/>
            <w:tcMar>
              <w:top w:w="29" w:type="dxa"/>
              <w:left w:w="115" w:type="dxa"/>
              <w:bottom w:w="29" w:type="dxa"/>
              <w:right w:w="115" w:type="dxa"/>
            </w:tcMar>
          </w:tcPr>
          <w:p w14:paraId="25F7D5AD" w14:textId="419F8A3C" w:rsidR="4E574210" w:rsidRDefault="4E574210" w:rsidP="085EE119">
            <w:pPr>
              <w:jc w:val="both"/>
              <w:rPr>
                <w:u w:val="single"/>
              </w:rPr>
            </w:pPr>
            <w:hyperlink r:id="rId85">
              <w:r w:rsidRPr="085EE119">
                <w:rPr>
                  <w:rStyle w:val="Hyperlink"/>
                  <w:color w:val="1155CC"/>
                </w:rPr>
                <w:t>Burnham says devolution plan paves the way for a written UK constitution</w:t>
              </w:r>
            </w:hyperlink>
          </w:p>
        </w:tc>
      </w:tr>
      <w:tr w:rsidR="5CD04D43" w14:paraId="179FF3C0" w14:textId="77777777" w:rsidTr="2AC19007">
        <w:trPr>
          <w:trHeight w:val="300"/>
        </w:trPr>
        <w:tc>
          <w:tcPr>
            <w:tcW w:w="776" w:type="dxa"/>
            <w:tcMar>
              <w:top w:w="29" w:type="dxa"/>
              <w:left w:w="115" w:type="dxa"/>
              <w:bottom w:w="29" w:type="dxa"/>
              <w:right w:w="115" w:type="dxa"/>
            </w:tcMar>
          </w:tcPr>
          <w:p w14:paraId="433F54FB" w14:textId="40EFB56F" w:rsidR="373DBA3A" w:rsidRDefault="4E574210" w:rsidP="5CD04D43">
            <w:pPr>
              <w:jc w:val="both"/>
            </w:pPr>
            <w:r w:rsidRPr="4954557E">
              <w:rPr>
                <w:sz w:val="20"/>
                <w:szCs w:val="20"/>
              </w:rPr>
              <w:t>02/08</w:t>
            </w:r>
          </w:p>
        </w:tc>
        <w:tc>
          <w:tcPr>
            <w:tcW w:w="12322" w:type="dxa"/>
            <w:gridSpan w:val="2"/>
            <w:tcMar>
              <w:top w:w="29" w:type="dxa"/>
              <w:left w:w="115" w:type="dxa"/>
              <w:bottom w:w="29" w:type="dxa"/>
              <w:right w:w="115" w:type="dxa"/>
            </w:tcMar>
          </w:tcPr>
          <w:p w14:paraId="65AC703F" w14:textId="0E33A623" w:rsidR="373DBA3A" w:rsidRDefault="4E574210" w:rsidP="5CD04D43">
            <w:pPr>
              <w:jc w:val="both"/>
            </w:pPr>
            <w:r w:rsidRPr="4954557E">
              <w:rPr>
                <w:sz w:val="20"/>
                <w:szCs w:val="20"/>
              </w:rPr>
              <w:t>Užsienio investuotojai vis aktyviau siekia įsigyti Londono biržoje kotiruojamas bendroves, o 2026 m. antrąjį ketvirtį viešų nepageidautų perėmimo pasiūlymų vertė siekė 44 mlrd. GBP – didžiausią lygį nuo 2018 m. Bendra JK biržoje kotiruojamų bendrovių įsigijimų vertė šiemet pasiekė 116 mlrd. JAV dolerių, daugiausia nuo 2007 m. Ši tendencija rodo augantį užsienio investuotojų susidomėjimą santykinai nebrangiai vertinamomis JK bendrovėmis ir didėjantį spaudimą Londono kapitalo rinkų konkurencingumui.</w:t>
            </w:r>
          </w:p>
        </w:tc>
        <w:tc>
          <w:tcPr>
            <w:tcW w:w="2148" w:type="dxa"/>
            <w:tcMar>
              <w:top w:w="29" w:type="dxa"/>
              <w:left w:w="115" w:type="dxa"/>
              <w:bottom w:w="29" w:type="dxa"/>
              <w:right w:w="115" w:type="dxa"/>
            </w:tcMar>
          </w:tcPr>
          <w:p w14:paraId="03482AD7" w14:textId="694E9A33" w:rsidR="373DBA3A" w:rsidRDefault="4E574210" w:rsidP="085EE119">
            <w:pPr>
              <w:spacing w:after="0"/>
              <w:jc w:val="both"/>
              <w:rPr>
                <w:rFonts w:ascii="Times New Roman" w:eastAsia="Times New Roman" w:hAnsi="Times New Roman" w:cs="Times New Roman"/>
                <w:color w:val="1155CC"/>
                <w:sz w:val="24"/>
                <w:szCs w:val="24"/>
                <w:u w:val="single"/>
              </w:rPr>
            </w:pPr>
            <w:hyperlink r:id="rId86">
              <w:r w:rsidRPr="085EE119">
                <w:rPr>
                  <w:rStyle w:val="Hyperlink"/>
                  <w:color w:val="1155CC"/>
                </w:rPr>
                <w:t>Foreign bidders woo UK companies with ‘bear hug’ takeover offers</w:t>
              </w:r>
            </w:hyperlink>
          </w:p>
        </w:tc>
      </w:tr>
      <w:tr w:rsidR="4954557E" w14:paraId="35A22BA1" w14:textId="77777777" w:rsidTr="2AC19007">
        <w:trPr>
          <w:trHeight w:val="300"/>
        </w:trPr>
        <w:tc>
          <w:tcPr>
            <w:tcW w:w="776" w:type="dxa"/>
            <w:tcMar>
              <w:top w:w="29" w:type="dxa"/>
              <w:left w:w="115" w:type="dxa"/>
              <w:bottom w:w="29" w:type="dxa"/>
              <w:right w:w="115" w:type="dxa"/>
            </w:tcMar>
          </w:tcPr>
          <w:p w14:paraId="0DF29A6E" w14:textId="1364A11F" w:rsidR="4E574210" w:rsidRDefault="4E574210" w:rsidP="4954557E">
            <w:pPr>
              <w:jc w:val="both"/>
            </w:pPr>
            <w:r w:rsidRPr="4954557E">
              <w:rPr>
                <w:sz w:val="20"/>
                <w:szCs w:val="20"/>
              </w:rPr>
              <w:t>03/08</w:t>
            </w:r>
          </w:p>
        </w:tc>
        <w:tc>
          <w:tcPr>
            <w:tcW w:w="12322" w:type="dxa"/>
            <w:gridSpan w:val="2"/>
            <w:tcMar>
              <w:top w:w="29" w:type="dxa"/>
              <w:left w:w="115" w:type="dxa"/>
              <w:bottom w:w="29" w:type="dxa"/>
              <w:right w:w="115" w:type="dxa"/>
            </w:tcMar>
          </w:tcPr>
          <w:p w14:paraId="6A232AA0" w14:textId="36575A3C" w:rsidR="4E574210" w:rsidRDefault="4E574210" w:rsidP="4954557E">
            <w:r w:rsidRPr="4954557E">
              <w:t>„Indeed“ duomenimis, darbo skelbimų, skirtų naujiems ir neseniai studijas baigusiems absolventams, skaičius buvo apie 7 proc. mažesnis nei prieš metus ir pasiekė žemiausią lygį nuo 2020 m. Bendras darbo skelbimų skaičius JK nuo 2026 m. pradžios sumažėjo 11 proc. ir tebėra maždaug trečdaliu mažesnis nei prieš pandemiją, o tai rodo išliekantį darbo paklausos silpnumą.</w:t>
            </w:r>
          </w:p>
        </w:tc>
        <w:tc>
          <w:tcPr>
            <w:tcW w:w="2148" w:type="dxa"/>
            <w:tcMar>
              <w:top w:w="29" w:type="dxa"/>
              <w:left w:w="115" w:type="dxa"/>
              <w:bottom w:w="29" w:type="dxa"/>
              <w:right w:w="115" w:type="dxa"/>
            </w:tcMar>
          </w:tcPr>
          <w:p w14:paraId="42C2538C" w14:textId="2E43CD9B" w:rsidR="4E574210" w:rsidRDefault="4E574210" w:rsidP="4954557E">
            <w:pPr>
              <w:jc w:val="both"/>
            </w:pPr>
            <w:hyperlink r:id="rId87">
              <w:r w:rsidRPr="085EE119">
                <w:rPr>
                  <w:rStyle w:val="Hyperlink"/>
                  <w:color w:val="1155CC"/>
                </w:rPr>
                <w:t>UK graduate job openings fall to lowest level since pandemic</w:t>
              </w:r>
            </w:hyperlink>
          </w:p>
        </w:tc>
      </w:tr>
      <w:tr w:rsidR="5CD04D43" w14:paraId="3413A917" w14:textId="77777777" w:rsidTr="2AC19007">
        <w:trPr>
          <w:trHeight w:val="300"/>
        </w:trPr>
        <w:tc>
          <w:tcPr>
            <w:tcW w:w="776" w:type="dxa"/>
            <w:tcMar>
              <w:top w:w="29" w:type="dxa"/>
              <w:left w:w="115" w:type="dxa"/>
              <w:bottom w:w="29" w:type="dxa"/>
              <w:right w:w="115" w:type="dxa"/>
            </w:tcMar>
          </w:tcPr>
          <w:p w14:paraId="3D58EAE0" w14:textId="1802EA95" w:rsidR="1D2E5EE5" w:rsidRDefault="4E574210" w:rsidP="5CD04D43">
            <w:pPr>
              <w:jc w:val="both"/>
            </w:pPr>
            <w:r w:rsidRPr="4954557E">
              <w:rPr>
                <w:sz w:val="20"/>
                <w:szCs w:val="20"/>
              </w:rPr>
              <w:t>04/08</w:t>
            </w:r>
          </w:p>
        </w:tc>
        <w:tc>
          <w:tcPr>
            <w:tcW w:w="12322" w:type="dxa"/>
            <w:gridSpan w:val="2"/>
            <w:tcMar>
              <w:top w:w="29" w:type="dxa"/>
              <w:left w:w="115" w:type="dxa"/>
              <w:bottom w:w="29" w:type="dxa"/>
              <w:right w:w="115" w:type="dxa"/>
            </w:tcMar>
          </w:tcPr>
          <w:p w14:paraId="779E54B4" w14:textId="18B2334A" w:rsidR="1D2E5EE5" w:rsidRDefault="4E574210" w:rsidP="5CD04D43">
            <w:pPr>
              <w:jc w:val="both"/>
            </w:pPr>
            <w:r w:rsidRPr="4954557E">
              <w:rPr>
                <w:sz w:val="20"/>
                <w:szCs w:val="20"/>
              </w:rPr>
              <w:t>Vyriausybė supaprastins socialinės vertės reikalavimus centrinės valdžios viešuosiuose pirkimuose, kurių metinė vertė siekia apie 90 mlrd. GBP, daugiau dėmesio skirdama darbo vietų kūrimui, darbuotojų įgūdžių stiprinimui ir vietos ekonomikos augimui. Sutartyse, kurių vertė viršija 5 mln. GBP, socialinės vertės kriterijų svoris padidės nuo 10 % iki 20 %, o mažesnės nei 1 mln. GBP vertės sutartims bus taikomi paprastesni reikalavimai, siekiant sumažinti kliūtis mažoms ir vidutinėms įmonėms.</w:t>
            </w:r>
          </w:p>
        </w:tc>
        <w:tc>
          <w:tcPr>
            <w:tcW w:w="2148" w:type="dxa"/>
            <w:tcMar>
              <w:top w:w="29" w:type="dxa"/>
              <w:left w:w="115" w:type="dxa"/>
              <w:bottom w:w="29" w:type="dxa"/>
              <w:right w:w="115" w:type="dxa"/>
            </w:tcMar>
          </w:tcPr>
          <w:p w14:paraId="07445319" w14:textId="3B6A1569" w:rsidR="1D2E5EE5" w:rsidRDefault="4E574210" w:rsidP="085EE119">
            <w:pPr>
              <w:jc w:val="both"/>
              <w:rPr>
                <w:u w:val="single"/>
              </w:rPr>
            </w:pPr>
            <w:hyperlink r:id="rId88">
              <w:r w:rsidRPr="085EE119">
                <w:rPr>
                  <w:rStyle w:val="Hyperlink"/>
                  <w:color w:val="1155CC"/>
                </w:rPr>
                <w:t>UK to strip back procurement rules to focus on job creation</w:t>
              </w:r>
            </w:hyperlink>
          </w:p>
        </w:tc>
      </w:tr>
      <w:tr w:rsidR="5CD04D43" w14:paraId="0FBDC510" w14:textId="77777777" w:rsidTr="2AC19007">
        <w:tc>
          <w:tcPr>
            <w:tcW w:w="776" w:type="dxa"/>
            <w:tcMar>
              <w:top w:w="29" w:type="dxa"/>
              <w:left w:w="115" w:type="dxa"/>
              <w:bottom w:w="29" w:type="dxa"/>
              <w:right w:w="115" w:type="dxa"/>
            </w:tcMar>
          </w:tcPr>
          <w:p w14:paraId="618F9271" w14:textId="3E276B8E" w:rsidR="72351B1C" w:rsidRDefault="4E574210" w:rsidP="5CD04D43">
            <w:pPr>
              <w:spacing w:after="0"/>
              <w:jc w:val="both"/>
            </w:pPr>
            <w:r w:rsidRPr="4954557E">
              <w:rPr>
                <w:sz w:val="20"/>
                <w:szCs w:val="20"/>
              </w:rPr>
              <w:t>04/08</w:t>
            </w:r>
          </w:p>
        </w:tc>
        <w:tc>
          <w:tcPr>
            <w:tcW w:w="12322" w:type="dxa"/>
            <w:gridSpan w:val="2"/>
            <w:tcMar>
              <w:top w:w="29" w:type="dxa"/>
              <w:left w:w="115" w:type="dxa"/>
              <w:bottom w:w="29" w:type="dxa"/>
              <w:right w:w="115" w:type="dxa"/>
            </w:tcMar>
          </w:tcPr>
          <w:p w14:paraId="6E99228E" w14:textId="0C223781" w:rsidR="72351B1C" w:rsidRDefault="4E574210" w:rsidP="5CD04D43">
            <w:pPr>
              <w:spacing w:after="0"/>
              <w:jc w:val="both"/>
            </w:pPr>
            <w:r w:rsidRPr="4954557E">
              <w:rPr>
                <w:sz w:val="20"/>
                <w:szCs w:val="20"/>
              </w:rPr>
              <w:t>JK iždas svarsto pasinaudoti didesniu fiskalinių taisyklių lankstumu ir iki 2031 m. kasmet skirti daugiau kaip 9 mlrd. GBP papildomų viešųjų investicijų. Lėšos galėtų būti nukreiptos infrastruktūrai, būsto statybai, MTEP, JK startuoliams ir regioninėms investicijoms per valstybines finansų institucijas.</w:t>
            </w:r>
          </w:p>
        </w:tc>
        <w:tc>
          <w:tcPr>
            <w:tcW w:w="2148" w:type="dxa"/>
            <w:tcMar>
              <w:top w:w="29" w:type="dxa"/>
              <w:left w:w="115" w:type="dxa"/>
              <w:bottom w:w="29" w:type="dxa"/>
              <w:right w:w="115" w:type="dxa"/>
            </w:tcMar>
          </w:tcPr>
          <w:p w14:paraId="6112F937" w14:textId="2B523661" w:rsidR="72351B1C" w:rsidRDefault="4E574210" w:rsidP="085EE119">
            <w:pPr>
              <w:spacing w:after="0"/>
              <w:jc w:val="both"/>
              <w:rPr>
                <w:rFonts w:ascii="Times New Roman" w:eastAsia="Times New Roman" w:hAnsi="Times New Roman" w:cs="Times New Roman"/>
                <w:color w:val="1155CC"/>
                <w:sz w:val="24"/>
                <w:szCs w:val="24"/>
                <w:u w:val="single"/>
              </w:rPr>
            </w:pPr>
            <w:hyperlink r:id="rId89">
              <w:r w:rsidRPr="085EE119">
                <w:rPr>
                  <w:rStyle w:val="Hyperlink"/>
                  <w:color w:val="1155CC"/>
                </w:rPr>
                <w:t>Treasury seeks to kick-start economy with £9bn-a-year borrowing bonanza</w:t>
              </w:r>
            </w:hyperlink>
          </w:p>
          <w:p w14:paraId="3D6316CD" w14:textId="227D0BED" w:rsidR="72351B1C" w:rsidRDefault="72351B1C" w:rsidP="5CD04D43">
            <w:pPr>
              <w:spacing w:after="0"/>
              <w:jc w:val="both"/>
            </w:pPr>
          </w:p>
        </w:tc>
      </w:tr>
      <w:tr w:rsidR="5CD04D43" w14:paraId="3B507B2D" w14:textId="77777777" w:rsidTr="2AC19007">
        <w:trPr>
          <w:trHeight w:val="300"/>
        </w:trPr>
        <w:tc>
          <w:tcPr>
            <w:tcW w:w="776" w:type="dxa"/>
            <w:tcMar>
              <w:top w:w="29" w:type="dxa"/>
              <w:left w:w="115" w:type="dxa"/>
              <w:bottom w:w="29" w:type="dxa"/>
              <w:right w:w="115" w:type="dxa"/>
            </w:tcMar>
          </w:tcPr>
          <w:p w14:paraId="0258DA5B" w14:textId="2F6E6E55" w:rsidR="706ABD5B" w:rsidRDefault="155F601D" w:rsidP="5CD04D43">
            <w:pPr>
              <w:jc w:val="both"/>
            </w:pPr>
            <w:r w:rsidRPr="4954557E">
              <w:rPr>
                <w:sz w:val="20"/>
                <w:szCs w:val="20"/>
              </w:rPr>
              <w:lastRenderedPageBreak/>
              <w:t>05/08</w:t>
            </w:r>
          </w:p>
        </w:tc>
        <w:tc>
          <w:tcPr>
            <w:tcW w:w="12322" w:type="dxa"/>
            <w:gridSpan w:val="2"/>
            <w:tcMar>
              <w:top w:w="29" w:type="dxa"/>
              <w:left w:w="115" w:type="dxa"/>
              <w:bottom w:w="29" w:type="dxa"/>
              <w:right w:w="115" w:type="dxa"/>
            </w:tcMar>
          </w:tcPr>
          <w:p w14:paraId="2503C565" w14:textId="54FB3D0B" w:rsidR="706ABD5B" w:rsidRDefault="155F601D" w:rsidP="5CD04D43">
            <w:pPr>
              <w:jc w:val="both"/>
            </w:pPr>
            <w:r w:rsidRPr="4954557E">
              <w:rPr>
                <w:sz w:val="20"/>
                <w:szCs w:val="20"/>
              </w:rPr>
              <w:t>FTSE 100 kasybos grupė „Glencore“ planuoja antrinį akcijų kotiravimą Australijoje, išlaikydama pagrindinį kotiravimą Londone. Sprendimas atspindi stiprėjančią tarptautinę konkurenciją dėl stambių bendrovių kotiravimo ir išliekantį spaudimą Londono, kaip pasaulinio kapitalo rinkų centro, konkurencingumui.</w:t>
            </w:r>
          </w:p>
        </w:tc>
        <w:tc>
          <w:tcPr>
            <w:tcW w:w="2148" w:type="dxa"/>
            <w:tcMar>
              <w:top w:w="29" w:type="dxa"/>
              <w:left w:w="115" w:type="dxa"/>
              <w:bottom w:w="29" w:type="dxa"/>
              <w:right w:w="115" w:type="dxa"/>
            </w:tcMar>
          </w:tcPr>
          <w:p w14:paraId="3D9EC4A2" w14:textId="61B9B214" w:rsidR="706ABD5B" w:rsidRDefault="321F7AB0" w:rsidP="085EE119">
            <w:pPr>
              <w:spacing w:after="0"/>
              <w:jc w:val="both"/>
              <w:rPr>
                <w:rFonts w:ascii="Times New Roman" w:eastAsia="Times New Roman" w:hAnsi="Times New Roman" w:cs="Times New Roman"/>
                <w:color w:val="1155CC"/>
                <w:sz w:val="24"/>
                <w:szCs w:val="24"/>
                <w:u w:val="single"/>
              </w:rPr>
            </w:pPr>
            <w:hyperlink r:id="rId90">
              <w:r w:rsidRPr="085EE119">
                <w:rPr>
                  <w:rStyle w:val="Hyperlink"/>
                  <w:color w:val="1155CC"/>
                </w:rPr>
                <w:t>Glencore plans secondary listing in Australia</w:t>
              </w:r>
            </w:hyperlink>
          </w:p>
        </w:tc>
      </w:tr>
      <w:tr w:rsidR="4954557E" w14:paraId="0EDD696B" w14:textId="77777777" w:rsidTr="2AC19007">
        <w:tc>
          <w:tcPr>
            <w:tcW w:w="776" w:type="dxa"/>
            <w:tcMar>
              <w:top w:w="29" w:type="dxa"/>
              <w:left w:w="115" w:type="dxa"/>
              <w:bottom w:w="29" w:type="dxa"/>
              <w:right w:w="115" w:type="dxa"/>
            </w:tcMar>
          </w:tcPr>
          <w:p w14:paraId="1C146377" w14:textId="13C228E3" w:rsidR="321F7AB0" w:rsidRDefault="321F7AB0" w:rsidP="4954557E">
            <w:pPr>
              <w:spacing w:after="0"/>
              <w:jc w:val="both"/>
            </w:pPr>
            <w:r w:rsidRPr="4954557E">
              <w:rPr>
                <w:sz w:val="20"/>
                <w:szCs w:val="20"/>
              </w:rPr>
              <w:t>05/08</w:t>
            </w:r>
          </w:p>
        </w:tc>
        <w:tc>
          <w:tcPr>
            <w:tcW w:w="12322" w:type="dxa"/>
            <w:gridSpan w:val="2"/>
            <w:tcMar>
              <w:top w:w="29" w:type="dxa"/>
              <w:left w:w="115" w:type="dxa"/>
              <w:bottom w:w="29" w:type="dxa"/>
              <w:right w:w="115" w:type="dxa"/>
            </w:tcMar>
          </w:tcPr>
          <w:p w14:paraId="3247DFEF" w14:textId="5E76F679" w:rsidR="321F7AB0" w:rsidRDefault="321F7AB0" w:rsidP="4954557E">
            <w:pPr>
              <w:spacing w:after="0"/>
              <w:jc w:val="both"/>
            </w:pPr>
            <w:r w:rsidRPr="4954557E">
              <w:rPr>
                <w:sz w:val="20"/>
                <w:szCs w:val="20"/>
                <w:lang w:val="en-US"/>
              </w:rPr>
              <w:t>„Citigroup“ vadovė Jane Fraser įspėjo, kad didelė JK bankams tenkanti mokesčių našta gali silpninti Londono, kaip pasaulinio finansų centro, konkurencingumą. Bankams taikomas bendras mokesčių tarifas Londone siekia apie 48 proc., palyginti su 27 proc. Niujorke ir 28–29 proc. Dubline, o tai gali turėti įtakos tarptautinių bankų sprendimams dėl veiklos ir investicijų vietos.</w:t>
            </w:r>
          </w:p>
        </w:tc>
        <w:tc>
          <w:tcPr>
            <w:tcW w:w="2148" w:type="dxa"/>
            <w:tcMar>
              <w:top w:w="29" w:type="dxa"/>
              <w:left w:w="115" w:type="dxa"/>
              <w:bottom w:w="29" w:type="dxa"/>
              <w:right w:w="115" w:type="dxa"/>
            </w:tcMar>
          </w:tcPr>
          <w:p w14:paraId="69C835F0" w14:textId="14C1E079" w:rsidR="321F7AB0" w:rsidRDefault="321F7AB0" w:rsidP="085EE119">
            <w:pPr>
              <w:spacing w:after="0"/>
              <w:jc w:val="both"/>
              <w:rPr>
                <w:rFonts w:ascii="Times New Roman" w:eastAsia="Times New Roman" w:hAnsi="Times New Roman" w:cs="Times New Roman"/>
                <w:color w:val="1155CC"/>
                <w:sz w:val="24"/>
                <w:szCs w:val="24"/>
                <w:u w:val="single"/>
                <w:lang w:val="en-US"/>
              </w:rPr>
            </w:pPr>
            <w:hyperlink r:id="rId91">
              <w:r w:rsidRPr="085EE119">
                <w:rPr>
                  <w:rStyle w:val="Hyperlink"/>
                  <w:color w:val="1155CC"/>
                  <w:lang w:val="en-US"/>
                </w:rPr>
                <w:t>UK bank taxes could jeopardise investment, warns Citigroup boss</w:t>
              </w:r>
            </w:hyperlink>
          </w:p>
        </w:tc>
      </w:tr>
      <w:tr w:rsidR="002A5780" w14:paraId="3CF2D8B6" w14:textId="77777777" w:rsidTr="2AC19007">
        <w:tc>
          <w:tcPr>
            <w:tcW w:w="776" w:type="dxa"/>
            <w:tcMar>
              <w:top w:w="29" w:type="dxa"/>
              <w:left w:w="115" w:type="dxa"/>
              <w:bottom w:w="29" w:type="dxa"/>
              <w:right w:w="115" w:type="dxa"/>
            </w:tcMar>
          </w:tcPr>
          <w:p w14:paraId="000000E3" w14:textId="1BC65D9E" w:rsidR="002A5780" w:rsidRDefault="321F7AB0">
            <w:pPr>
              <w:spacing w:after="0"/>
              <w:jc w:val="both"/>
            </w:pPr>
            <w:r w:rsidRPr="4954557E">
              <w:rPr>
                <w:sz w:val="20"/>
                <w:szCs w:val="20"/>
              </w:rPr>
              <w:t>05/08</w:t>
            </w:r>
          </w:p>
        </w:tc>
        <w:tc>
          <w:tcPr>
            <w:tcW w:w="12322" w:type="dxa"/>
            <w:gridSpan w:val="2"/>
            <w:tcMar>
              <w:top w:w="29" w:type="dxa"/>
              <w:left w:w="115" w:type="dxa"/>
              <w:bottom w:w="29" w:type="dxa"/>
              <w:right w:w="115" w:type="dxa"/>
            </w:tcMar>
          </w:tcPr>
          <w:p w14:paraId="000000E4" w14:textId="6E02A839" w:rsidR="002A5780" w:rsidRDefault="321F7AB0">
            <w:pPr>
              <w:spacing w:after="0"/>
              <w:jc w:val="both"/>
            </w:pPr>
            <w:r w:rsidRPr="4954557E">
              <w:rPr>
                <w:sz w:val="20"/>
                <w:szCs w:val="20"/>
              </w:rPr>
              <w:t>Pasiūlymai įsigyti FTSE 250 inžinerijos bendrovę „Bodycote“ atspindi besitęsiančią JK biržoje kotiruojamų bendrovių įsigijimų tendenciją ir silpną IPO rinką. FCA taip pat toliau supaprastino kotiravimo taisykles, siekdama stiprinti Londono, kaip tarptautinio kapitalo rinkų centro, konkurencingumą</w:t>
            </w:r>
          </w:p>
        </w:tc>
        <w:tc>
          <w:tcPr>
            <w:tcW w:w="2148" w:type="dxa"/>
            <w:tcMar>
              <w:top w:w="29" w:type="dxa"/>
              <w:left w:w="115" w:type="dxa"/>
              <w:bottom w:w="29" w:type="dxa"/>
              <w:right w:w="115" w:type="dxa"/>
            </w:tcMar>
          </w:tcPr>
          <w:p w14:paraId="000000E6" w14:textId="08C5E831" w:rsidR="002A5780" w:rsidRDefault="321F7AB0" w:rsidP="085EE119">
            <w:pPr>
              <w:spacing w:after="0"/>
              <w:jc w:val="both"/>
              <w:rPr>
                <w:rFonts w:ascii="Times New Roman" w:eastAsia="Times New Roman" w:hAnsi="Times New Roman" w:cs="Times New Roman"/>
                <w:color w:val="1155CC"/>
                <w:sz w:val="24"/>
                <w:szCs w:val="24"/>
                <w:u w:val="single"/>
              </w:rPr>
            </w:pPr>
            <w:hyperlink r:id="rId92">
              <w:r w:rsidRPr="085EE119">
                <w:rPr>
                  <w:rStyle w:val="Hyperlink"/>
                  <w:color w:val="1155CC"/>
                </w:rPr>
                <w:t>Bodycote gets twin private equity bids as buyers feast on London market</w:t>
              </w:r>
            </w:hyperlink>
          </w:p>
        </w:tc>
      </w:tr>
      <w:tr w:rsidR="5CD04D43" w14:paraId="2A76E46C" w14:textId="77777777" w:rsidTr="2AC19007">
        <w:tc>
          <w:tcPr>
            <w:tcW w:w="776" w:type="dxa"/>
            <w:tcMar>
              <w:top w:w="29" w:type="dxa"/>
              <w:left w:w="115" w:type="dxa"/>
              <w:bottom w:w="29" w:type="dxa"/>
              <w:right w:w="115" w:type="dxa"/>
            </w:tcMar>
          </w:tcPr>
          <w:p w14:paraId="24BCA636" w14:textId="387AF70B" w:rsidR="4D363E8B" w:rsidRDefault="321F7AB0" w:rsidP="5CD04D43">
            <w:pPr>
              <w:spacing w:after="0"/>
              <w:jc w:val="both"/>
            </w:pPr>
            <w:r w:rsidRPr="4954557E">
              <w:rPr>
                <w:sz w:val="20"/>
                <w:szCs w:val="20"/>
              </w:rPr>
              <w:t>06/08</w:t>
            </w:r>
          </w:p>
        </w:tc>
        <w:tc>
          <w:tcPr>
            <w:tcW w:w="12322" w:type="dxa"/>
            <w:gridSpan w:val="2"/>
            <w:tcMar>
              <w:top w:w="29" w:type="dxa"/>
              <w:left w:w="115" w:type="dxa"/>
              <w:bottom w:w="29" w:type="dxa"/>
              <w:right w:w="115" w:type="dxa"/>
            </w:tcMar>
          </w:tcPr>
          <w:p w14:paraId="1FB1177C" w14:textId="0112586B" w:rsidR="4D363E8B" w:rsidRDefault="321F7AB0" w:rsidP="5CD04D43">
            <w:pPr>
              <w:spacing w:after="0"/>
              <w:jc w:val="both"/>
            </w:pPr>
            <w:r w:rsidRPr="4954557E">
              <w:rPr>
                <w:sz w:val="20"/>
                <w:szCs w:val="20"/>
              </w:rPr>
              <w:t>BP planuoja parduoti savo veiklą Šiaurės jūroje ir taip užbaigti daugiau kaip šešis dešimtmečius trukusią veiklą regione. Sprendimas sustiprino diskusijas dėl JK naftos ir dujų sektoriaus konkurencingumo ir investicinės aplinkos, įskaitant apmokestinimo ir leidimų išdavimo tvarką, Vyriausybei siekiant derinti energetinį saugumą ir energetikos pertvarką.</w:t>
            </w:r>
          </w:p>
        </w:tc>
        <w:tc>
          <w:tcPr>
            <w:tcW w:w="2148" w:type="dxa"/>
            <w:tcMar>
              <w:top w:w="29" w:type="dxa"/>
              <w:left w:w="115" w:type="dxa"/>
              <w:bottom w:w="29" w:type="dxa"/>
              <w:right w:w="115" w:type="dxa"/>
            </w:tcMar>
          </w:tcPr>
          <w:p w14:paraId="2B96098D" w14:textId="29636FAE" w:rsidR="4D363E8B" w:rsidRDefault="321F7AB0" w:rsidP="085EE119">
            <w:pPr>
              <w:spacing w:after="0"/>
              <w:jc w:val="both"/>
              <w:rPr>
                <w:rFonts w:ascii="Times New Roman" w:eastAsia="Times New Roman" w:hAnsi="Times New Roman" w:cs="Times New Roman"/>
                <w:color w:val="1155CC"/>
                <w:sz w:val="24"/>
                <w:szCs w:val="24"/>
                <w:u w:val="single"/>
              </w:rPr>
            </w:pPr>
            <w:hyperlink r:id="rId93">
              <w:r w:rsidRPr="085EE119">
                <w:rPr>
                  <w:rStyle w:val="Hyperlink"/>
                  <w:color w:val="1155CC"/>
                </w:rPr>
                <w:t>BP North Sea exit presents wake-up call on Scottish energy</w:t>
              </w:r>
            </w:hyperlink>
          </w:p>
        </w:tc>
      </w:tr>
      <w:tr w:rsidR="002A5780" w14:paraId="0FB78278" w14:textId="77777777" w:rsidTr="2AC19007">
        <w:tc>
          <w:tcPr>
            <w:tcW w:w="776" w:type="dxa"/>
            <w:tcMar>
              <w:top w:w="29" w:type="dxa"/>
              <w:left w:w="115" w:type="dxa"/>
              <w:bottom w:w="29" w:type="dxa"/>
              <w:right w:w="115" w:type="dxa"/>
            </w:tcMar>
          </w:tcPr>
          <w:p w14:paraId="000000E7" w14:textId="7576E3F0" w:rsidR="002A5780" w:rsidRDefault="321F7AB0">
            <w:pPr>
              <w:spacing w:after="0"/>
              <w:jc w:val="both"/>
            </w:pPr>
            <w:r w:rsidRPr="4954557E">
              <w:rPr>
                <w:sz w:val="20"/>
                <w:szCs w:val="20"/>
              </w:rPr>
              <w:t>07/08</w:t>
            </w:r>
          </w:p>
        </w:tc>
        <w:tc>
          <w:tcPr>
            <w:tcW w:w="12322" w:type="dxa"/>
            <w:gridSpan w:val="2"/>
            <w:tcMar>
              <w:top w:w="29" w:type="dxa"/>
              <w:left w:w="115" w:type="dxa"/>
              <w:bottom w:w="29" w:type="dxa"/>
              <w:right w:w="115" w:type="dxa"/>
            </w:tcMar>
          </w:tcPr>
          <w:p w14:paraId="000000E8" w14:textId="36C2D863" w:rsidR="002A5780" w:rsidRDefault="321F7AB0">
            <w:pPr>
              <w:spacing w:after="0"/>
              <w:jc w:val="both"/>
            </w:pPr>
            <w:r w:rsidRPr="4954557E">
              <w:rPr>
                <w:sz w:val="20"/>
                <w:szCs w:val="20"/>
              </w:rPr>
              <w:t>Lėtas produktyvumo augimas ir gerai apmokamų, aukštos pridėtinės vertės darbo vietų trūkumas riboja darbo užmokesčio augimą ir ekonominę švietimo grąžą JK. Atsižvelgus į pragyvenimo išlaidų skirtumus, gamybos sektoriaus darbuotojai Vokietijoje uždirba apie 50 proc., o JAV – apie 60 proc. daugiau nei JK, todėl vien profesinio rengimo reformų nepakaks – būtinas spartesnis produktyvumo augimas ir daugiau aukštos pridėtinės vertės darbo vietų.</w:t>
            </w:r>
          </w:p>
        </w:tc>
        <w:tc>
          <w:tcPr>
            <w:tcW w:w="2148" w:type="dxa"/>
            <w:tcMar>
              <w:top w:w="29" w:type="dxa"/>
              <w:left w:w="115" w:type="dxa"/>
              <w:bottom w:w="29" w:type="dxa"/>
              <w:right w:w="115" w:type="dxa"/>
            </w:tcMar>
          </w:tcPr>
          <w:p w14:paraId="000000EA" w14:textId="37E3CA55" w:rsidR="002A5780" w:rsidRDefault="321F7AB0" w:rsidP="085EE119">
            <w:pPr>
              <w:spacing w:after="0"/>
              <w:jc w:val="both"/>
              <w:rPr>
                <w:u w:val="single"/>
              </w:rPr>
            </w:pPr>
            <w:hyperlink r:id="rId94">
              <w:r w:rsidRPr="085EE119">
                <w:rPr>
                  <w:rStyle w:val="Hyperlink"/>
                  <w:color w:val="1155CC"/>
                </w:rPr>
                <w:t>To fix education, fix the economy first</w:t>
              </w:r>
            </w:hyperlink>
          </w:p>
        </w:tc>
      </w:tr>
      <w:tr w:rsidR="002A5780" w14:paraId="1FC39945" w14:textId="77777777" w:rsidTr="2AC19007">
        <w:tc>
          <w:tcPr>
            <w:tcW w:w="776" w:type="dxa"/>
            <w:tcMar>
              <w:top w:w="29" w:type="dxa"/>
              <w:left w:w="115" w:type="dxa"/>
              <w:bottom w:w="29" w:type="dxa"/>
              <w:right w:w="115" w:type="dxa"/>
            </w:tcMar>
          </w:tcPr>
          <w:p w14:paraId="000000EB" w14:textId="3000DDC3" w:rsidR="002A5780" w:rsidRDefault="321F7AB0">
            <w:pPr>
              <w:spacing w:after="0"/>
              <w:jc w:val="both"/>
            </w:pPr>
            <w:r w:rsidRPr="4954557E">
              <w:rPr>
                <w:sz w:val="20"/>
                <w:szCs w:val="20"/>
              </w:rPr>
              <w:t>07/08</w:t>
            </w:r>
          </w:p>
        </w:tc>
        <w:tc>
          <w:tcPr>
            <w:tcW w:w="12322" w:type="dxa"/>
            <w:gridSpan w:val="2"/>
            <w:tcMar>
              <w:top w:w="29" w:type="dxa"/>
              <w:left w:w="115" w:type="dxa"/>
              <w:bottom w:w="29" w:type="dxa"/>
              <w:right w:w="115" w:type="dxa"/>
            </w:tcMar>
          </w:tcPr>
          <w:p w14:paraId="000000EC" w14:textId="5F497082" w:rsidR="002A5780" w:rsidRDefault="321F7AB0">
            <w:pPr>
              <w:spacing w:after="0"/>
              <w:jc w:val="both"/>
            </w:pPr>
            <w:r w:rsidRPr="4954557E">
              <w:rPr>
                <w:sz w:val="20"/>
                <w:szCs w:val="20"/>
              </w:rPr>
              <w:t>JK valdomo turto vertė 2025 m. padidėjo 11 proc. iki 11,1 trln. GBP, o JK išliko antru pagal dydį investicijų valdymo centru pasaulyje po JAV. Užsienio klientams valdomo turto vertė išaugo 15 proc. iki rekordinių 5,9 trln. GBP ir sudarė 53 proc. viso valdomo turto, o Europos klientams valdomo turto vertė padidėjo 500 mlrd. GBP iki 3,5 trln. GBP.</w:t>
            </w:r>
          </w:p>
        </w:tc>
        <w:tc>
          <w:tcPr>
            <w:tcW w:w="2148" w:type="dxa"/>
            <w:tcMar>
              <w:top w:w="29" w:type="dxa"/>
              <w:left w:w="115" w:type="dxa"/>
              <w:bottom w:w="29" w:type="dxa"/>
              <w:right w:w="115" w:type="dxa"/>
            </w:tcMar>
          </w:tcPr>
          <w:p w14:paraId="000000EE" w14:textId="1EDC1967" w:rsidR="002A5780" w:rsidRDefault="321F7AB0" w:rsidP="085EE119">
            <w:pPr>
              <w:spacing w:after="0"/>
              <w:jc w:val="both"/>
              <w:rPr>
                <w:rFonts w:ascii="Times New Roman" w:eastAsia="Times New Roman" w:hAnsi="Times New Roman" w:cs="Times New Roman"/>
                <w:color w:val="1155CC"/>
                <w:sz w:val="24"/>
                <w:szCs w:val="24"/>
                <w:u w:val="single"/>
                <w:lang w:val="en-US"/>
              </w:rPr>
            </w:pPr>
            <w:hyperlink r:id="rId95">
              <w:r w:rsidRPr="085EE119">
                <w:rPr>
                  <w:rStyle w:val="Hyperlink"/>
                  <w:color w:val="1155CC"/>
                  <w:lang w:val="en-US"/>
                </w:rPr>
                <w:t>UK manages record share of assets on behalf of overseas clients</w:t>
              </w:r>
            </w:hyperlink>
          </w:p>
        </w:tc>
      </w:tr>
      <w:tr w:rsidR="5CD04D43" w14:paraId="1917B947" w14:textId="77777777" w:rsidTr="2AC19007">
        <w:tc>
          <w:tcPr>
            <w:tcW w:w="776" w:type="dxa"/>
            <w:tcMar>
              <w:top w:w="29" w:type="dxa"/>
              <w:left w:w="115" w:type="dxa"/>
              <w:bottom w:w="29" w:type="dxa"/>
              <w:right w:w="115" w:type="dxa"/>
            </w:tcMar>
          </w:tcPr>
          <w:p w14:paraId="75AEF874" w14:textId="7F84C5D8" w:rsidR="4FFB730F" w:rsidRDefault="321F7AB0" w:rsidP="5CD04D43">
            <w:pPr>
              <w:spacing w:after="0"/>
              <w:jc w:val="both"/>
            </w:pPr>
            <w:r w:rsidRPr="4954557E">
              <w:rPr>
                <w:sz w:val="20"/>
                <w:szCs w:val="20"/>
              </w:rPr>
              <w:t>07/08</w:t>
            </w:r>
          </w:p>
        </w:tc>
        <w:tc>
          <w:tcPr>
            <w:tcW w:w="12322" w:type="dxa"/>
            <w:gridSpan w:val="2"/>
            <w:tcMar>
              <w:top w:w="29" w:type="dxa"/>
              <w:left w:w="115" w:type="dxa"/>
              <w:bottom w:w="29" w:type="dxa"/>
              <w:right w:w="115" w:type="dxa"/>
            </w:tcMar>
          </w:tcPr>
          <w:p w14:paraId="62EA58F3" w14:textId="6B74AAB9" w:rsidR="4FFB730F" w:rsidRDefault="321F7AB0" w:rsidP="5CD04D43">
            <w:pPr>
              <w:spacing w:after="0"/>
              <w:jc w:val="both"/>
            </w:pPr>
            <w:r w:rsidRPr="4954557E">
              <w:rPr>
                <w:sz w:val="20"/>
                <w:szCs w:val="20"/>
              </w:rPr>
              <w:t>Liepą JK būsto kainos nepakito, o metinis jų augimas sulėtėjo iki 0,1 proc. – žemiausio lygio nuo 2023 m. lapkričio. Birželį patvirtintų būsto paskolų skaičius padidėjo 2,9 proc. iki 58,2 tūkst., tačiau buvo 10 proc. mažesnis nei prieš metus ir gerokai mažesnis už 10 metų vidurkį, o rinkos aktyvumą toliau ribojo būsto įperkamumo problemos ir aukštos būsto paskolų palūkanos.</w:t>
            </w:r>
          </w:p>
        </w:tc>
        <w:tc>
          <w:tcPr>
            <w:tcW w:w="2148" w:type="dxa"/>
            <w:tcMar>
              <w:top w:w="29" w:type="dxa"/>
              <w:left w:w="115" w:type="dxa"/>
              <w:bottom w:w="29" w:type="dxa"/>
              <w:right w:w="115" w:type="dxa"/>
            </w:tcMar>
          </w:tcPr>
          <w:p w14:paraId="7ABBB477" w14:textId="39810364" w:rsidR="4FFB730F" w:rsidRDefault="321F7AB0" w:rsidP="085EE119">
            <w:pPr>
              <w:spacing w:after="0"/>
              <w:jc w:val="both"/>
              <w:rPr>
                <w:rFonts w:ascii="Times New Roman" w:eastAsia="Times New Roman" w:hAnsi="Times New Roman" w:cs="Times New Roman"/>
                <w:color w:val="1155CC"/>
                <w:sz w:val="24"/>
                <w:szCs w:val="24"/>
                <w:u w:val="single"/>
                <w:lang w:val="en-US"/>
              </w:rPr>
            </w:pPr>
            <w:hyperlink r:id="rId96">
              <w:r w:rsidRPr="085EE119">
                <w:rPr>
                  <w:rStyle w:val="Hyperlink"/>
                  <w:color w:val="1155CC"/>
                  <w:lang w:val="en-US"/>
                </w:rPr>
                <w:t>UK housing market in ‘suspended animation</w:t>
              </w:r>
            </w:hyperlink>
          </w:p>
        </w:tc>
      </w:tr>
      <w:tr w:rsidR="002A5780" w14:paraId="34CE0A41" w14:textId="77777777" w:rsidTr="2AC19007">
        <w:tc>
          <w:tcPr>
            <w:tcW w:w="776" w:type="dxa"/>
            <w:tcMar>
              <w:top w:w="29" w:type="dxa"/>
              <w:left w:w="115" w:type="dxa"/>
              <w:bottom w:w="29" w:type="dxa"/>
              <w:right w:w="115" w:type="dxa"/>
            </w:tcMar>
          </w:tcPr>
          <w:p w14:paraId="000000F3" w14:textId="64F9A48B" w:rsidR="002A5780" w:rsidRDefault="321F7AB0">
            <w:pPr>
              <w:spacing w:after="0"/>
              <w:jc w:val="both"/>
            </w:pPr>
            <w:r w:rsidRPr="4954557E">
              <w:rPr>
                <w:sz w:val="20"/>
                <w:szCs w:val="20"/>
              </w:rPr>
              <w:t>08/08</w:t>
            </w:r>
          </w:p>
        </w:tc>
        <w:tc>
          <w:tcPr>
            <w:tcW w:w="12322" w:type="dxa"/>
            <w:gridSpan w:val="2"/>
            <w:tcMar>
              <w:top w:w="29" w:type="dxa"/>
              <w:left w:w="115" w:type="dxa"/>
              <w:bottom w:w="29" w:type="dxa"/>
              <w:right w:w="115" w:type="dxa"/>
            </w:tcMar>
          </w:tcPr>
          <w:p w14:paraId="000000F4" w14:textId="06F1ED8F" w:rsidR="002A5780" w:rsidRDefault="321F7AB0" w:rsidP="5CD04D43">
            <w:pPr>
              <w:spacing w:after="0"/>
              <w:jc w:val="both"/>
            </w:pPr>
            <w:r w:rsidRPr="4954557E">
              <w:rPr>
                <w:color w:val="000000" w:themeColor="text1"/>
                <w:sz w:val="20"/>
                <w:szCs w:val="20"/>
              </w:rPr>
              <w:t>Per pastaruosius 50 metų JK vidutiniškai buvo pastatoma mažiau nei 200 tūkst. būstų per metus, palyginti su daugiau nei 250 tūkst. per metus 1950-1975 m. Buvusio Bank of England vyriausiojo ekonomisto Andy Haldane vertinimu, papildomų 300 tūkst. būstų statyba galėtų padidinti JK BVP 0,3–0,4 proc., tačiau tam reikėtų spręsti finansavimo ir savivaldybių pajėgumų problemas.</w:t>
            </w:r>
          </w:p>
        </w:tc>
        <w:tc>
          <w:tcPr>
            <w:tcW w:w="2148" w:type="dxa"/>
            <w:tcMar>
              <w:top w:w="29" w:type="dxa"/>
              <w:left w:w="115" w:type="dxa"/>
              <w:bottom w:w="29" w:type="dxa"/>
              <w:right w:w="115" w:type="dxa"/>
            </w:tcMar>
          </w:tcPr>
          <w:p w14:paraId="000000F6" w14:textId="6F9F9C82" w:rsidR="002A5780" w:rsidRDefault="321F7AB0" w:rsidP="4954557E">
            <w:pPr>
              <w:spacing w:after="0"/>
              <w:jc w:val="both"/>
              <w:rPr>
                <w:rFonts w:ascii="Times New Roman" w:eastAsia="Times New Roman" w:hAnsi="Times New Roman" w:cs="Times New Roman"/>
                <w:color w:val="1155CC"/>
                <w:sz w:val="24"/>
                <w:szCs w:val="24"/>
              </w:rPr>
            </w:pPr>
            <w:hyperlink r:id="rId97">
              <w:r w:rsidRPr="085EE119">
                <w:rPr>
                  <w:rStyle w:val="Hyperlink"/>
                  <w:color w:val="1155CC"/>
                </w:rPr>
                <w:t>How to fix Britain’s housing crisis</w:t>
              </w:r>
            </w:hyperlink>
          </w:p>
        </w:tc>
      </w:tr>
      <w:tr w:rsidR="002A5780" w14:paraId="08CE6F91" w14:textId="77777777" w:rsidTr="2AC19007">
        <w:tc>
          <w:tcPr>
            <w:tcW w:w="776" w:type="dxa"/>
            <w:tcMar>
              <w:top w:w="29" w:type="dxa"/>
              <w:left w:w="115" w:type="dxa"/>
              <w:bottom w:w="29" w:type="dxa"/>
              <w:right w:w="115" w:type="dxa"/>
            </w:tcMar>
          </w:tcPr>
          <w:p w14:paraId="00000117" w14:textId="4F23AA83" w:rsidR="002A5780" w:rsidRDefault="321F7AB0">
            <w:pPr>
              <w:spacing w:after="0"/>
              <w:jc w:val="both"/>
            </w:pPr>
            <w:r w:rsidRPr="4954557E">
              <w:rPr>
                <w:sz w:val="20"/>
                <w:szCs w:val="20"/>
              </w:rPr>
              <w:t>09/08</w:t>
            </w:r>
          </w:p>
        </w:tc>
        <w:tc>
          <w:tcPr>
            <w:tcW w:w="12322" w:type="dxa"/>
            <w:gridSpan w:val="2"/>
            <w:tcMar>
              <w:top w:w="29" w:type="dxa"/>
              <w:left w:w="115" w:type="dxa"/>
              <w:bottom w:w="29" w:type="dxa"/>
              <w:right w:w="115" w:type="dxa"/>
            </w:tcMar>
          </w:tcPr>
          <w:p w14:paraId="00000118" w14:textId="2FA44624" w:rsidR="002A5780" w:rsidRDefault="321F7AB0">
            <w:pPr>
              <w:spacing w:after="0"/>
              <w:jc w:val="both"/>
            </w:pPr>
            <w:r w:rsidRPr="4954557E">
              <w:rPr>
                <w:sz w:val="20"/>
                <w:szCs w:val="20"/>
              </w:rPr>
              <w:t>Vyriausybė planuoja reformuoti apie 90 mlrd. GBP per metus apimančią centrinės valdžios viešųjų pirkimų sistemą, daugiau dėmesio skirdama darbo vietų kūrimui ir darbuotojų įgūdžių ugdymui. Sutartyse, kurių vertė viršija 5 mln. GBP, „socialinės vertės“ kriterijaus svoris bus padidintas nuo 10 iki 20 proc., daugiau dėmesio skiriant įmonėms, prisidedančioms prie didesnio darbo užmokesčio, mokymo ir pameistrystės galimybių, siekiant viešuosius pirkimus aktyviau panaudoti užimtumui, įgūdžiams ir regionų ekonomikos augimui skatinti.</w:t>
            </w:r>
          </w:p>
        </w:tc>
        <w:tc>
          <w:tcPr>
            <w:tcW w:w="2148" w:type="dxa"/>
            <w:tcMar>
              <w:top w:w="29" w:type="dxa"/>
              <w:left w:w="115" w:type="dxa"/>
              <w:bottom w:w="29" w:type="dxa"/>
              <w:right w:w="115" w:type="dxa"/>
            </w:tcMar>
          </w:tcPr>
          <w:p w14:paraId="0000011A" w14:textId="68E4A21F" w:rsidR="002A5780" w:rsidRDefault="321F7AB0" w:rsidP="085EE119">
            <w:pPr>
              <w:spacing w:after="0"/>
              <w:jc w:val="both"/>
              <w:rPr>
                <w:rFonts w:ascii="Times New Roman" w:eastAsia="Times New Roman" w:hAnsi="Times New Roman" w:cs="Times New Roman"/>
                <w:color w:val="1155CC"/>
                <w:sz w:val="24"/>
                <w:szCs w:val="24"/>
                <w:u w:val="single"/>
              </w:rPr>
            </w:pPr>
            <w:hyperlink r:id="rId98">
              <w:r w:rsidRPr="085EE119">
                <w:rPr>
                  <w:rStyle w:val="Hyperlink"/>
                  <w:color w:val="1155CC"/>
                </w:rPr>
                <w:t xml:space="preserve">Andy Burnham promises to tackle ‘rip-off’ discounts and ‘subscription </w:t>
              </w:r>
              <w:r w:rsidRPr="085EE119">
                <w:rPr>
                  <w:rStyle w:val="Hyperlink"/>
                  <w:color w:val="1155CC"/>
                </w:rPr>
                <w:lastRenderedPageBreak/>
                <w:t>traps’</w:t>
              </w:r>
            </w:hyperlink>
            <w:r w:rsidRPr="085EE119">
              <w:rPr>
                <w:rFonts w:ascii="Times New Roman" w:eastAsia="Times New Roman" w:hAnsi="Times New Roman" w:cs="Times New Roman"/>
                <w:color w:val="000000" w:themeColor="text1"/>
                <w:sz w:val="24"/>
                <w:szCs w:val="24"/>
                <w:u w:val="single"/>
              </w:rPr>
              <w:t xml:space="preserve"> - </w:t>
            </w:r>
            <w:hyperlink r:id="rId99">
              <w:r w:rsidRPr="085EE119">
                <w:rPr>
                  <w:rStyle w:val="Hyperlink"/>
                  <w:color w:val="1155CC"/>
                </w:rPr>
                <w:t>Andy Burnham promises to ban fake discounts and ‘subscription traps</w:t>
              </w:r>
            </w:hyperlink>
          </w:p>
        </w:tc>
      </w:tr>
      <w:tr w:rsidR="002A5780" w14:paraId="61CDCEAD" w14:textId="77777777" w:rsidTr="2AC19007">
        <w:tc>
          <w:tcPr>
            <w:tcW w:w="776" w:type="dxa"/>
            <w:tcMar>
              <w:top w:w="29" w:type="dxa"/>
              <w:left w:w="115" w:type="dxa"/>
              <w:bottom w:w="29" w:type="dxa"/>
              <w:right w:w="115" w:type="dxa"/>
            </w:tcMar>
          </w:tcPr>
          <w:p w14:paraId="0000011B" w14:textId="0326CF35" w:rsidR="002A5780" w:rsidRDefault="321F7AB0">
            <w:pPr>
              <w:spacing w:after="0"/>
              <w:jc w:val="both"/>
            </w:pPr>
            <w:r w:rsidRPr="4954557E">
              <w:rPr>
                <w:sz w:val="20"/>
                <w:szCs w:val="20"/>
              </w:rPr>
              <w:lastRenderedPageBreak/>
              <w:t>10/08</w:t>
            </w:r>
          </w:p>
        </w:tc>
        <w:tc>
          <w:tcPr>
            <w:tcW w:w="12322" w:type="dxa"/>
            <w:gridSpan w:val="2"/>
            <w:tcMar>
              <w:top w:w="29" w:type="dxa"/>
              <w:left w:w="115" w:type="dxa"/>
              <w:bottom w:w="29" w:type="dxa"/>
              <w:right w:w="115" w:type="dxa"/>
            </w:tcMar>
          </w:tcPr>
          <w:p w14:paraId="0000011C" w14:textId="7DDC95EB" w:rsidR="002A5780" w:rsidRDefault="321F7AB0">
            <w:pPr>
              <w:spacing w:after="0"/>
              <w:jc w:val="both"/>
            </w:pPr>
            <w:r w:rsidRPr="4954557E">
              <w:rPr>
                <w:sz w:val="20"/>
                <w:szCs w:val="20"/>
              </w:rPr>
              <w:t>„Financial Times“ analizėje raginama daugiau dėmesio skirti Bank of England kiekybinio skatinimo (QE) ir kiekybinio griežtinimo (QT) fiskalinėms sąnaudoms. Vertinama, kad su turto supirkimo programa susiję nuostoliai JK mokesčių mokėtojams kainavo daugiau kaip 5 proc. BVP, o aktyvus valstybės obligacijų pardavimas vykdant QT gali didinti valstybės skolinimosi kaštus.</w:t>
            </w:r>
          </w:p>
        </w:tc>
        <w:tc>
          <w:tcPr>
            <w:tcW w:w="2148" w:type="dxa"/>
            <w:tcMar>
              <w:top w:w="29" w:type="dxa"/>
              <w:left w:w="115" w:type="dxa"/>
              <w:bottom w:w="29" w:type="dxa"/>
              <w:right w:w="115" w:type="dxa"/>
            </w:tcMar>
          </w:tcPr>
          <w:p w14:paraId="40DCECAC" w14:textId="77717B68" w:rsidR="002A5780" w:rsidRDefault="321F7AB0" w:rsidP="085EE119">
            <w:pPr>
              <w:spacing w:after="0"/>
              <w:jc w:val="both"/>
              <w:rPr>
                <w:rFonts w:ascii="Times New Roman" w:eastAsia="Times New Roman" w:hAnsi="Times New Roman" w:cs="Times New Roman"/>
                <w:color w:val="1155CC"/>
                <w:sz w:val="24"/>
                <w:szCs w:val="24"/>
                <w:u w:val="single"/>
              </w:rPr>
            </w:pPr>
            <w:hyperlink r:id="rId100">
              <w:r w:rsidRPr="085EE119">
                <w:rPr>
                  <w:rStyle w:val="Hyperlink"/>
                  <w:color w:val="1155CC"/>
                </w:rPr>
                <w:t>Lessons in letter writing for the Bank of England</w:t>
              </w:r>
            </w:hyperlink>
          </w:p>
          <w:p w14:paraId="0000011E" w14:textId="29BF9609" w:rsidR="002A5780" w:rsidRDefault="002A5780">
            <w:pPr>
              <w:spacing w:after="0"/>
              <w:jc w:val="both"/>
              <w:rPr>
                <w:sz w:val="20"/>
                <w:szCs w:val="20"/>
              </w:rPr>
            </w:pPr>
          </w:p>
        </w:tc>
      </w:tr>
      <w:tr w:rsidR="4954557E" w14:paraId="2523B919" w14:textId="77777777" w:rsidTr="2AC19007">
        <w:trPr>
          <w:trHeight w:val="300"/>
        </w:trPr>
        <w:tc>
          <w:tcPr>
            <w:tcW w:w="776" w:type="dxa"/>
            <w:tcMar>
              <w:top w:w="29" w:type="dxa"/>
              <w:left w:w="115" w:type="dxa"/>
              <w:bottom w:w="29" w:type="dxa"/>
              <w:right w:w="115" w:type="dxa"/>
            </w:tcMar>
          </w:tcPr>
          <w:p w14:paraId="4CB3B4CB" w14:textId="5B06CA4E" w:rsidR="321F7AB0" w:rsidRDefault="321F7AB0" w:rsidP="4954557E">
            <w:pPr>
              <w:jc w:val="both"/>
            </w:pPr>
            <w:r w:rsidRPr="4954557E">
              <w:rPr>
                <w:sz w:val="20"/>
                <w:szCs w:val="20"/>
              </w:rPr>
              <w:t>10/08</w:t>
            </w:r>
          </w:p>
        </w:tc>
        <w:tc>
          <w:tcPr>
            <w:tcW w:w="12322" w:type="dxa"/>
            <w:gridSpan w:val="2"/>
            <w:tcMar>
              <w:top w:w="29" w:type="dxa"/>
              <w:left w:w="115" w:type="dxa"/>
              <w:bottom w:w="29" w:type="dxa"/>
              <w:right w:w="115" w:type="dxa"/>
            </w:tcMar>
          </w:tcPr>
          <w:p w14:paraId="1F8FF414" w14:textId="14D31317" w:rsidR="321F7AB0" w:rsidRDefault="321F7AB0" w:rsidP="4954557E">
            <w:pPr>
              <w:jc w:val="both"/>
            </w:pPr>
            <w:r w:rsidRPr="4954557E">
              <w:rPr>
                <w:sz w:val="20"/>
                <w:szCs w:val="20"/>
              </w:rPr>
              <w:t>„Capital Economics“ vertinimu, dėl didesnių išlaidų gynybai ir paramos gyventojams Vyriausybei rudens biudžete gali tekti mokesčius padidinti 20–25 mlrd. GBP, jei papildomos išlaidos siektų 30–40 mlrd. GBP. 25 mlrd. GBP mokesčių padidinimas bendrą mokestinę naštą padidintų iki rekordinio 39 proc. BVP; didesnė našta galėtų tekti kapitalui, turtui ir gyventojų pajamoms.</w:t>
            </w:r>
          </w:p>
        </w:tc>
        <w:tc>
          <w:tcPr>
            <w:tcW w:w="2148" w:type="dxa"/>
            <w:tcMar>
              <w:top w:w="29" w:type="dxa"/>
              <w:left w:w="115" w:type="dxa"/>
              <w:bottom w:w="29" w:type="dxa"/>
              <w:right w:w="115" w:type="dxa"/>
            </w:tcMar>
          </w:tcPr>
          <w:p w14:paraId="5E677005" w14:textId="33EE3096" w:rsidR="321F7AB0" w:rsidRDefault="321F7AB0" w:rsidP="085EE119">
            <w:pPr>
              <w:spacing w:after="0"/>
              <w:jc w:val="both"/>
              <w:rPr>
                <w:rFonts w:ascii="Times New Roman" w:eastAsia="Times New Roman" w:hAnsi="Times New Roman" w:cs="Times New Roman"/>
                <w:color w:val="1155CC"/>
                <w:sz w:val="24"/>
                <w:szCs w:val="24"/>
                <w:u w:val="single"/>
              </w:rPr>
            </w:pPr>
            <w:hyperlink r:id="rId101">
              <w:r w:rsidRPr="085EE119">
                <w:rPr>
                  <w:rStyle w:val="Hyperlink"/>
                  <w:color w:val="1155CC"/>
                </w:rPr>
                <w:t>Andy Burnham ‘may raise taxes by £25bn’ to fund pledges</w:t>
              </w:r>
            </w:hyperlink>
          </w:p>
        </w:tc>
      </w:tr>
      <w:tr w:rsidR="4954557E" w14:paraId="56AFFBF2" w14:textId="77777777" w:rsidTr="2AC19007">
        <w:trPr>
          <w:trHeight w:val="300"/>
        </w:trPr>
        <w:tc>
          <w:tcPr>
            <w:tcW w:w="776" w:type="dxa"/>
            <w:tcMar>
              <w:top w:w="29" w:type="dxa"/>
              <w:left w:w="115" w:type="dxa"/>
              <w:bottom w:w="29" w:type="dxa"/>
              <w:right w:w="115" w:type="dxa"/>
            </w:tcMar>
          </w:tcPr>
          <w:p w14:paraId="6D2FDF32" w14:textId="6B91BEB4" w:rsidR="321F7AB0" w:rsidRDefault="321F7AB0" w:rsidP="4954557E">
            <w:pPr>
              <w:jc w:val="both"/>
            </w:pPr>
            <w:r w:rsidRPr="4954557E">
              <w:rPr>
                <w:sz w:val="20"/>
                <w:szCs w:val="20"/>
              </w:rPr>
              <w:t>11/08</w:t>
            </w:r>
          </w:p>
        </w:tc>
        <w:tc>
          <w:tcPr>
            <w:tcW w:w="12322" w:type="dxa"/>
            <w:gridSpan w:val="2"/>
            <w:tcMar>
              <w:top w:w="29" w:type="dxa"/>
              <w:left w:w="115" w:type="dxa"/>
              <w:bottom w:w="29" w:type="dxa"/>
              <w:right w:w="115" w:type="dxa"/>
            </w:tcMar>
          </w:tcPr>
          <w:p w14:paraId="18A89DDE" w14:textId="691B7AD3" w:rsidR="321F7AB0" w:rsidRDefault="321F7AB0" w:rsidP="4954557E">
            <w:pPr>
              <w:jc w:val="both"/>
            </w:pPr>
            <w:r w:rsidRPr="4954557E">
              <w:rPr>
                <w:sz w:val="20"/>
                <w:szCs w:val="20"/>
              </w:rPr>
              <w:t>Pirminiai naujos ONS darbo rinkos apklausos rezultatai rodo, kad dėl ilgalaikių sveikatos problemų ekonomiškai neaktyvių gyventojų gali būti mažiau, nei manyta iki šiol. Dabartinės apklausos atsakymų lygis 2026 m. I ketv. sumažėjo iki 25 proc., todėl oficialūs duomenys galėjo rodyti prastesnę JK darbo rinkos padėtį, nei yra iš tikrųjų; ONS tikslaus skirtumo kol kas nepateikė</w:t>
            </w:r>
          </w:p>
        </w:tc>
        <w:tc>
          <w:tcPr>
            <w:tcW w:w="2148" w:type="dxa"/>
            <w:tcMar>
              <w:top w:w="29" w:type="dxa"/>
              <w:left w:w="115" w:type="dxa"/>
              <w:bottom w:w="29" w:type="dxa"/>
              <w:right w:w="115" w:type="dxa"/>
            </w:tcMar>
          </w:tcPr>
          <w:p w14:paraId="0D5DD9B4" w14:textId="1583C350" w:rsidR="321F7AB0" w:rsidRDefault="321F7AB0" w:rsidP="085EE119">
            <w:pPr>
              <w:spacing w:after="0"/>
              <w:jc w:val="both"/>
              <w:rPr>
                <w:rFonts w:ascii="Times New Roman" w:eastAsia="Times New Roman" w:hAnsi="Times New Roman" w:cs="Times New Roman"/>
                <w:color w:val="1155CC"/>
                <w:sz w:val="24"/>
                <w:szCs w:val="24"/>
                <w:u w:val="single"/>
              </w:rPr>
            </w:pPr>
            <w:hyperlink r:id="rId102">
              <w:r w:rsidRPr="085EE119">
                <w:rPr>
                  <w:rStyle w:val="Hyperlink"/>
                  <w:color w:val="1155CC"/>
                </w:rPr>
                <w:t>Long-term sickness may be smaller problem for UK than thought, says ONS</w:t>
              </w:r>
            </w:hyperlink>
          </w:p>
        </w:tc>
      </w:tr>
      <w:tr w:rsidR="4954557E" w14:paraId="15E3A2AD" w14:textId="77777777" w:rsidTr="2AC19007">
        <w:trPr>
          <w:trHeight w:val="300"/>
        </w:trPr>
        <w:tc>
          <w:tcPr>
            <w:tcW w:w="776" w:type="dxa"/>
            <w:tcMar>
              <w:top w:w="29" w:type="dxa"/>
              <w:left w:w="115" w:type="dxa"/>
              <w:bottom w:w="29" w:type="dxa"/>
              <w:right w:w="115" w:type="dxa"/>
            </w:tcMar>
          </w:tcPr>
          <w:p w14:paraId="5987787E" w14:textId="755DBF0C" w:rsidR="321F7AB0" w:rsidRDefault="321F7AB0" w:rsidP="4954557E">
            <w:pPr>
              <w:jc w:val="both"/>
            </w:pPr>
            <w:r w:rsidRPr="4954557E">
              <w:rPr>
                <w:sz w:val="20"/>
                <w:szCs w:val="20"/>
              </w:rPr>
              <w:t>12/08</w:t>
            </w:r>
          </w:p>
        </w:tc>
        <w:tc>
          <w:tcPr>
            <w:tcW w:w="12322" w:type="dxa"/>
            <w:gridSpan w:val="2"/>
            <w:tcMar>
              <w:top w:w="29" w:type="dxa"/>
              <w:left w:w="115" w:type="dxa"/>
              <w:bottom w:w="29" w:type="dxa"/>
              <w:right w:w="115" w:type="dxa"/>
            </w:tcMar>
          </w:tcPr>
          <w:p w14:paraId="00C4CE42" w14:textId="1D16B07F" w:rsidR="321F7AB0" w:rsidRDefault="321F7AB0" w:rsidP="4954557E">
            <w:pPr>
              <w:jc w:val="both"/>
            </w:pPr>
            <w:r w:rsidRPr="4954557E">
              <w:rPr>
                <w:sz w:val="20"/>
                <w:szCs w:val="20"/>
              </w:rPr>
              <w:t>Vyriausybės vertinimu, pagal Employment Rights Act numatyti nulinio valandų skaičiaus sutarčių apribojimai JK įmonėms gali kainuoti 350 mln. 2,9 mlrd. GBP per metus, tačiau dėl didesnio dalyvavimo darbo rinkoje ir produktyvumo ekonomikai galėtų suteikti iki 10 mlrd. GBP naudos. Verslo organizacijos perspėja, kad kartu su didesniu minimaliu darbo užmokesčiu ir darbdavių National Insurance įmokomis reformos gali didinti darbuotojų samdymo sąnaudas, ypač jaunų ir laikinų darbuotojų.</w:t>
            </w:r>
          </w:p>
        </w:tc>
        <w:tc>
          <w:tcPr>
            <w:tcW w:w="2148" w:type="dxa"/>
            <w:tcMar>
              <w:top w:w="29" w:type="dxa"/>
              <w:left w:w="115" w:type="dxa"/>
              <w:bottom w:w="29" w:type="dxa"/>
              <w:right w:w="115" w:type="dxa"/>
            </w:tcMar>
          </w:tcPr>
          <w:p w14:paraId="52EFF969" w14:textId="6BF121DB" w:rsidR="321F7AB0" w:rsidRDefault="321F7AB0" w:rsidP="4954557E">
            <w:pPr>
              <w:spacing w:after="0"/>
              <w:jc w:val="both"/>
              <w:rPr>
                <w:rFonts w:ascii="Times New Roman" w:eastAsia="Times New Roman" w:hAnsi="Times New Roman" w:cs="Times New Roman"/>
                <w:color w:val="1155CC"/>
                <w:sz w:val="24"/>
                <w:szCs w:val="24"/>
              </w:rPr>
            </w:pPr>
            <w:hyperlink r:id="rId103">
              <w:r w:rsidRPr="085EE119">
                <w:rPr>
                  <w:rStyle w:val="Hyperlink"/>
                  <w:color w:val="1155CC"/>
                </w:rPr>
                <w:t>Crackdown on zero-hours contracts could cost UK groups up to £3bn per year</w:t>
              </w:r>
            </w:hyperlink>
          </w:p>
        </w:tc>
      </w:tr>
      <w:tr w:rsidR="4954557E" w14:paraId="38B1207B" w14:textId="77777777" w:rsidTr="2AC19007">
        <w:trPr>
          <w:trHeight w:val="300"/>
        </w:trPr>
        <w:tc>
          <w:tcPr>
            <w:tcW w:w="776" w:type="dxa"/>
            <w:tcMar>
              <w:top w:w="29" w:type="dxa"/>
              <w:left w:w="115" w:type="dxa"/>
              <w:bottom w:w="29" w:type="dxa"/>
              <w:right w:w="115" w:type="dxa"/>
            </w:tcMar>
          </w:tcPr>
          <w:p w14:paraId="30E71637" w14:textId="39F22B6A" w:rsidR="321F7AB0" w:rsidRDefault="321F7AB0" w:rsidP="4954557E">
            <w:pPr>
              <w:jc w:val="both"/>
            </w:pPr>
            <w:r w:rsidRPr="4954557E">
              <w:rPr>
                <w:sz w:val="20"/>
                <w:szCs w:val="20"/>
              </w:rPr>
              <w:t>13/08</w:t>
            </w:r>
          </w:p>
        </w:tc>
        <w:tc>
          <w:tcPr>
            <w:tcW w:w="12322" w:type="dxa"/>
            <w:gridSpan w:val="2"/>
            <w:tcMar>
              <w:top w:w="29" w:type="dxa"/>
              <w:left w:w="115" w:type="dxa"/>
              <w:bottom w:w="29" w:type="dxa"/>
              <w:right w:w="115" w:type="dxa"/>
            </w:tcMar>
          </w:tcPr>
          <w:p w14:paraId="24F64227" w14:textId="628C40A6" w:rsidR="321F7AB0" w:rsidRDefault="321F7AB0" w:rsidP="4954557E">
            <w:pPr>
              <w:jc w:val="both"/>
            </w:pPr>
            <w:r w:rsidRPr="4954557E">
              <w:rPr>
                <w:sz w:val="20"/>
                <w:szCs w:val="20"/>
              </w:rPr>
              <w:t>JK ekonomika 2026 m. II ketvirtį augo 0,4 proc., palyginti su 0,6 proc. I ketvirtį; augimą palaikė paslaugų sektorius (+0,5 proc.), verslo investicijos (+1,7 proc.) ir namų ūkių vartojimas (+0,3 proc.). Bank of England prognozuoja 1,1 proc. BVP augimą 2026 m. ir infliacijos padidėjimą nuo 2,6 proc. iki 3,2 proc. metų pabaigoje, o pagrindinėmis rizikomis išlieka didesnės energijos kainos ir konfliktas Artimuosiuose Rytuose.</w:t>
            </w:r>
          </w:p>
        </w:tc>
        <w:tc>
          <w:tcPr>
            <w:tcW w:w="2148" w:type="dxa"/>
            <w:tcMar>
              <w:top w:w="29" w:type="dxa"/>
              <w:left w:w="115" w:type="dxa"/>
              <w:bottom w:w="29" w:type="dxa"/>
              <w:right w:w="115" w:type="dxa"/>
            </w:tcMar>
          </w:tcPr>
          <w:p w14:paraId="1B7C9C3A" w14:textId="744BB52E" w:rsidR="321F7AB0" w:rsidRDefault="321F7AB0" w:rsidP="085EE119">
            <w:pPr>
              <w:spacing w:after="0"/>
              <w:jc w:val="both"/>
              <w:rPr>
                <w:rFonts w:ascii="Times New Roman" w:eastAsia="Times New Roman" w:hAnsi="Times New Roman" w:cs="Times New Roman"/>
                <w:color w:val="1155CC"/>
                <w:sz w:val="24"/>
                <w:szCs w:val="24"/>
                <w:u w:val="single"/>
              </w:rPr>
            </w:pPr>
            <w:hyperlink r:id="rId104">
              <w:r w:rsidRPr="085EE119">
                <w:rPr>
                  <w:rStyle w:val="Hyperlink"/>
                  <w:color w:val="1155CC"/>
                </w:rPr>
                <w:t>UK economy grows 0.4% in second quarter</w:t>
              </w:r>
            </w:hyperlink>
          </w:p>
        </w:tc>
      </w:tr>
      <w:tr w:rsidR="4954557E" w14:paraId="0D1BB36D" w14:textId="77777777" w:rsidTr="2AC19007">
        <w:trPr>
          <w:trHeight w:val="300"/>
        </w:trPr>
        <w:tc>
          <w:tcPr>
            <w:tcW w:w="776" w:type="dxa"/>
            <w:tcMar>
              <w:top w:w="29" w:type="dxa"/>
              <w:left w:w="115" w:type="dxa"/>
              <w:bottom w:w="29" w:type="dxa"/>
              <w:right w:w="115" w:type="dxa"/>
            </w:tcMar>
          </w:tcPr>
          <w:p w14:paraId="29A29AC5" w14:textId="2833152D" w:rsidR="321F7AB0" w:rsidRDefault="321F7AB0" w:rsidP="4954557E">
            <w:pPr>
              <w:jc w:val="both"/>
            </w:pPr>
            <w:r w:rsidRPr="4954557E">
              <w:rPr>
                <w:sz w:val="20"/>
                <w:szCs w:val="20"/>
              </w:rPr>
              <w:t>14/08</w:t>
            </w:r>
          </w:p>
        </w:tc>
        <w:tc>
          <w:tcPr>
            <w:tcW w:w="12322" w:type="dxa"/>
            <w:gridSpan w:val="2"/>
            <w:tcMar>
              <w:top w:w="29" w:type="dxa"/>
              <w:left w:w="115" w:type="dxa"/>
              <w:bottom w:w="29" w:type="dxa"/>
              <w:right w:w="115" w:type="dxa"/>
            </w:tcMar>
          </w:tcPr>
          <w:p w14:paraId="354DBD0F" w14:textId="6CCA0F32" w:rsidR="321F7AB0" w:rsidRDefault="321F7AB0" w:rsidP="4954557E">
            <w:pPr>
              <w:jc w:val="both"/>
            </w:pPr>
            <w:r w:rsidRPr="4954557E">
              <w:rPr>
                <w:sz w:val="20"/>
                <w:szCs w:val="20"/>
              </w:rPr>
              <w:t>JK mažins oficialią paramą vystymuisi nuo 0,5 proc. iki 0,3 proc. bendrųjų nacionalinių pajamų, daugiau lėšų nukreipdama gynybai. Dvišalė parama 2024–2025 m. ir 2028–2029 m. turėtų sumažėti 43 proc. – nuo 3,14 mlrd. iki 1,79 mlrd. GBP, o finansavimas per daugiašales organizacijas bus santykinai labiau apsaugotas.</w:t>
            </w:r>
          </w:p>
        </w:tc>
        <w:tc>
          <w:tcPr>
            <w:tcW w:w="2148" w:type="dxa"/>
            <w:tcMar>
              <w:top w:w="29" w:type="dxa"/>
              <w:left w:w="115" w:type="dxa"/>
              <w:bottom w:w="29" w:type="dxa"/>
              <w:right w:w="115" w:type="dxa"/>
            </w:tcMar>
          </w:tcPr>
          <w:p w14:paraId="0623544B" w14:textId="7E1CC595" w:rsidR="321F7AB0" w:rsidRDefault="321F7AB0" w:rsidP="4954557E">
            <w:pPr>
              <w:spacing w:after="0"/>
              <w:jc w:val="both"/>
              <w:rPr>
                <w:rFonts w:ascii="Times New Roman" w:eastAsia="Times New Roman" w:hAnsi="Times New Roman" w:cs="Times New Roman"/>
                <w:color w:val="1155CC"/>
                <w:sz w:val="24"/>
                <w:szCs w:val="24"/>
                <w:u w:val="single"/>
              </w:rPr>
            </w:pPr>
            <w:hyperlink r:id="rId105">
              <w:r w:rsidRPr="4954557E">
                <w:rPr>
                  <w:rStyle w:val="Hyperlink"/>
                  <w:color w:val="1155CC"/>
                </w:rPr>
                <w:t>Fragile states in Africa and Middle East hit by more than 40% cut in UK direct aid</w:t>
              </w:r>
            </w:hyperlink>
          </w:p>
        </w:tc>
      </w:tr>
      <w:tr w:rsidR="4954557E" w14:paraId="03E723D6" w14:textId="77777777" w:rsidTr="2AC19007">
        <w:trPr>
          <w:trHeight w:val="300"/>
        </w:trPr>
        <w:tc>
          <w:tcPr>
            <w:tcW w:w="776" w:type="dxa"/>
            <w:tcMar>
              <w:top w:w="29" w:type="dxa"/>
              <w:left w:w="115" w:type="dxa"/>
              <w:bottom w:w="29" w:type="dxa"/>
              <w:right w:w="115" w:type="dxa"/>
            </w:tcMar>
          </w:tcPr>
          <w:p w14:paraId="26BAEEC1" w14:textId="4354BFFB" w:rsidR="321F7AB0" w:rsidRDefault="321F7AB0" w:rsidP="4954557E">
            <w:pPr>
              <w:jc w:val="both"/>
            </w:pPr>
            <w:r w:rsidRPr="4954557E">
              <w:rPr>
                <w:sz w:val="20"/>
                <w:szCs w:val="20"/>
              </w:rPr>
              <w:t>14/08</w:t>
            </w:r>
          </w:p>
        </w:tc>
        <w:tc>
          <w:tcPr>
            <w:tcW w:w="12322" w:type="dxa"/>
            <w:gridSpan w:val="2"/>
            <w:tcMar>
              <w:top w:w="29" w:type="dxa"/>
              <w:left w:w="115" w:type="dxa"/>
              <w:bottom w:w="29" w:type="dxa"/>
              <w:right w:w="115" w:type="dxa"/>
            </w:tcMar>
          </w:tcPr>
          <w:p w14:paraId="2BAFC648" w14:textId="5A652CC8" w:rsidR="321F7AB0" w:rsidRDefault="321F7AB0" w:rsidP="4954557E">
            <w:pPr>
              <w:jc w:val="both"/>
            </w:pPr>
            <w:r w:rsidRPr="4954557E">
              <w:rPr>
                <w:sz w:val="20"/>
                <w:szCs w:val="20"/>
              </w:rPr>
              <w:t>Išaugusios energijos kainos ir atsinaujinusi JAV ir Irano įtampa sustiprino infliacijos riziką ir padidino JK apsikeitimo sandorių palūkanų normas, kartu didindamos būsto paskolų kainą. Vidutinė penkerių metų fiksuota būsto paskolų palūkanų norma liepą padidėjo iki 5,66 proc., o vidutinė mėnesio įmoka nuo metų pradžios išaugo 103 GBP, Londone – 201 GBP. Liepą sutartų būsto pardavimo sandorių buvo beveik 10 proc. mažiau nei prieš metus.</w:t>
            </w:r>
          </w:p>
        </w:tc>
        <w:tc>
          <w:tcPr>
            <w:tcW w:w="2148" w:type="dxa"/>
            <w:tcMar>
              <w:top w:w="29" w:type="dxa"/>
              <w:left w:w="115" w:type="dxa"/>
              <w:bottom w:w="29" w:type="dxa"/>
              <w:right w:w="115" w:type="dxa"/>
            </w:tcMar>
          </w:tcPr>
          <w:p w14:paraId="10D9C344" w14:textId="6E1FC975" w:rsidR="321F7AB0" w:rsidRDefault="321F7AB0" w:rsidP="4954557E">
            <w:pPr>
              <w:spacing w:after="0"/>
              <w:jc w:val="both"/>
              <w:rPr>
                <w:rFonts w:ascii="Times New Roman" w:eastAsia="Times New Roman" w:hAnsi="Times New Roman" w:cs="Times New Roman"/>
                <w:color w:val="1155CC"/>
                <w:sz w:val="24"/>
                <w:szCs w:val="24"/>
                <w:u w:val="single"/>
              </w:rPr>
            </w:pPr>
            <w:hyperlink r:id="rId106">
              <w:r w:rsidRPr="4954557E">
                <w:rPr>
                  <w:rStyle w:val="Hyperlink"/>
                  <w:color w:val="1155CC"/>
                </w:rPr>
                <w:t>Mortgage costs pushed higher by US stand-off with Iran</w:t>
              </w:r>
            </w:hyperlink>
          </w:p>
        </w:tc>
      </w:tr>
      <w:tr w:rsidR="4954557E" w14:paraId="2BFD8A9B" w14:textId="77777777" w:rsidTr="2AC19007">
        <w:trPr>
          <w:trHeight w:val="300"/>
        </w:trPr>
        <w:tc>
          <w:tcPr>
            <w:tcW w:w="776" w:type="dxa"/>
            <w:tcMar>
              <w:top w:w="29" w:type="dxa"/>
              <w:left w:w="115" w:type="dxa"/>
              <w:bottom w:w="29" w:type="dxa"/>
              <w:right w:w="115" w:type="dxa"/>
            </w:tcMar>
          </w:tcPr>
          <w:p w14:paraId="331E4B7C" w14:textId="16CF061E" w:rsidR="321F7AB0" w:rsidRDefault="321F7AB0" w:rsidP="4954557E">
            <w:pPr>
              <w:jc w:val="both"/>
            </w:pPr>
            <w:r w:rsidRPr="4954557E">
              <w:rPr>
                <w:sz w:val="20"/>
                <w:szCs w:val="20"/>
              </w:rPr>
              <w:lastRenderedPageBreak/>
              <w:t>16/08</w:t>
            </w:r>
          </w:p>
        </w:tc>
        <w:tc>
          <w:tcPr>
            <w:tcW w:w="12322" w:type="dxa"/>
            <w:gridSpan w:val="2"/>
            <w:tcMar>
              <w:top w:w="29" w:type="dxa"/>
              <w:left w:w="115" w:type="dxa"/>
              <w:bottom w:w="29" w:type="dxa"/>
              <w:right w:w="115" w:type="dxa"/>
            </w:tcMar>
          </w:tcPr>
          <w:p w14:paraId="5D4E2313" w14:textId="4186045C" w:rsidR="321F7AB0" w:rsidRDefault="321F7AB0" w:rsidP="4954557E">
            <w:pPr>
              <w:jc w:val="both"/>
            </w:pPr>
            <w:r w:rsidRPr="4954557E">
              <w:rPr>
                <w:sz w:val="20"/>
                <w:szCs w:val="20"/>
              </w:rPr>
              <w:t>Vyriausybė paskelbė Anglijos teritorijų planavimo sistemos pakeitimus, kuriais siekiama paspartinti būsto statybą, įskaitant palankesnes sąlygas statyboms šalia gerą susisiekimą užtikrinančių traukinių, tramvajų ir metro stočių bei mažesnius konsultavimosi reikalavimus. Reformomis siekiama prisidėti prie Vyriausybės tikslo pastatyti 1,5 mln. naujų būstų; 2026 m. I ketvirtį privačiojo sektoriaus būsto projektų patvirtinimų skaičius sumažėjo 17 proc. per metus iki 1 220  žemiausio lygio per 20 metų.</w:t>
            </w:r>
          </w:p>
        </w:tc>
        <w:tc>
          <w:tcPr>
            <w:tcW w:w="2148" w:type="dxa"/>
            <w:tcMar>
              <w:top w:w="29" w:type="dxa"/>
              <w:left w:w="115" w:type="dxa"/>
              <w:bottom w:w="29" w:type="dxa"/>
              <w:right w:w="115" w:type="dxa"/>
            </w:tcMar>
          </w:tcPr>
          <w:p w14:paraId="222AEA70" w14:textId="10FCA911" w:rsidR="321F7AB0" w:rsidRDefault="321F7AB0" w:rsidP="4954557E">
            <w:pPr>
              <w:spacing w:after="0"/>
              <w:jc w:val="both"/>
              <w:rPr>
                <w:rFonts w:ascii="Times New Roman" w:eastAsia="Times New Roman" w:hAnsi="Times New Roman" w:cs="Times New Roman"/>
                <w:color w:val="1155CC"/>
                <w:sz w:val="24"/>
                <w:szCs w:val="24"/>
                <w:u w:val="single"/>
              </w:rPr>
            </w:pPr>
            <w:hyperlink r:id="rId107">
              <w:r w:rsidRPr="4954557E">
                <w:rPr>
                  <w:rStyle w:val="Hyperlink"/>
                  <w:color w:val="1155CC"/>
                </w:rPr>
                <w:t>Angela Rayner reforms planning to protect England’s pubs and boost housebuilding</w:t>
              </w:r>
            </w:hyperlink>
          </w:p>
        </w:tc>
      </w:tr>
      <w:tr w:rsidR="4954557E" w14:paraId="0AF0DD8F" w14:textId="77777777" w:rsidTr="2AC19007">
        <w:trPr>
          <w:trHeight w:val="300"/>
        </w:trPr>
        <w:tc>
          <w:tcPr>
            <w:tcW w:w="776" w:type="dxa"/>
            <w:tcMar>
              <w:top w:w="29" w:type="dxa"/>
              <w:left w:w="115" w:type="dxa"/>
              <w:bottom w:w="29" w:type="dxa"/>
              <w:right w:w="115" w:type="dxa"/>
            </w:tcMar>
          </w:tcPr>
          <w:p w14:paraId="2477531D" w14:textId="4C87B3D0" w:rsidR="321F7AB0" w:rsidRDefault="321F7AB0" w:rsidP="4954557E">
            <w:pPr>
              <w:jc w:val="both"/>
            </w:pPr>
            <w:r w:rsidRPr="4954557E">
              <w:rPr>
                <w:sz w:val="20"/>
                <w:szCs w:val="20"/>
              </w:rPr>
              <w:t>16/08</w:t>
            </w:r>
          </w:p>
        </w:tc>
        <w:tc>
          <w:tcPr>
            <w:tcW w:w="12322" w:type="dxa"/>
            <w:gridSpan w:val="2"/>
            <w:tcMar>
              <w:top w:w="29" w:type="dxa"/>
              <w:left w:w="115" w:type="dxa"/>
              <w:bottom w:w="29" w:type="dxa"/>
              <w:right w:w="115" w:type="dxa"/>
            </w:tcMar>
          </w:tcPr>
          <w:p w14:paraId="1F808C2D" w14:textId="29AB7FCB" w:rsidR="321F7AB0" w:rsidRDefault="321F7AB0" w:rsidP="4954557E">
            <w:pPr>
              <w:jc w:val="both"/>
            </w:pPr>
            <w:r w:rsidRPr="4954557E">
              <w:rPr>
                <w:sz w:val="20"/>
                <w:szCs w:val="20"/>
              </w:rPr>
              <w:t>Prieš spalio mėn. biudžetą JPMorgan vadovas Jamie Dimon paragino Vyriausybę nedidinti bankams taikomų mokesčių, įspėdamas, kad didesnė mokestinė našta gali paskatinti darbo vietų ir investicijų perkėlimą iš JK. Diskusijos gali turėti įtakos JPMorgan planuojamai 3 mlrd. GBP investicijai į naują būstinę Canary Wharf, kurios įgyvendinimą bankas sieja su palankios verslo aplinkos JK išlaikymu.</w:t>
            </w:r>
          </w:p>
        </w:tc>
        <w:tc>
          <w:tcPr>
            <w:tcW w:w="2148" w:type="dxa"/>
            <w:tcMar>
              <w:top w:w="29" w:type="dxa"/>
              <w:left w:w="115" w:type="dxa"/>
              <w:bottom w:w="29" w:type="dxa"/>
              <w:right w:w="115" w:type="dxa"/>
            </w:tcMar>
          </w:tcPr>
          <w:p w14:paraId="733B2B4C" w14:textId="66425799" w:rsidR="321F7AB0" w:rsidRDefault="321F7AB0" w:rsidP="4954557E">
            <w:pPr>
              <w:spacing w:after="0"/>
              <w:jc w:val="both"/>
              <w:rPr>
                <w:rFonts w:ascii="Times New Roman" w:eastAsia="Times New Roman" w:hAnsi="Times New Roman" w:cs="Times New Roman"/>
                <w:color w:val="1155CC"/>
                <w:sz w:val="24"/>
                <w:szCs w:val="24"/>
              </w:rPr>
            </w:pPr>
            <w:hyperlink r:id="rId108">
              <w:r w:rsidRPr="4954557E">
                <w:rPr>
                  <w:rStyle w:val="Hyperlink"/>
                  <w:color w:val="1155CC"/>
                  <w:u w:val="none"/>
                </w:rPr>
                <w:t>J</w:t>
              </w:r>
              <w:r w:rsidRPr="4954557E">
                <w:rPr>
                  <w:rStyle w:val="Hyperlink"/>
                  <w:color w:val="1155CC"/>
                </w:rPr>
                <w:t>amie Dimon warns UK chancellor against higher bank taxes</w:t>
              </w:r>
            </w:hyperlink>
          </w:p>
        </w:tc>
      </w:tr>
      <w:tr w:rsidR="4954557E" w14:paraId="23F9F463" w14:textId="77777777" w:rsidTr="2AC19007">
        <w:trPr>
          <w:trHeight w:val="300"/>
        </w:trPr>
        <w:tc>
          <w:tcPr>
            <w:tcW w:w="776" w:type="dxa"/>
            <w:tcMar>
              <w:top w:w="29" w:type="dxa"/>
              <w:left w:w="115" w:type="dxa"/>
              <w:bottom w:w="29" w:type="dxa"/>
              <w:right w:w="115" w:type="dxa"/>
            </w:tcMar>
          </w:tcPr>
          <w:p w14:paraId="3B35BADE" w14:textId="4D261F26" w:rsidR="321F7AB0" w:rsidRDefault="321F7AB0" w:rsidP="4954557E">
            <w:pPr>
              <w:jc w:val="both"/>
            </w:pPr>
            <w:r w:rsidRPr="4954557E">
              <w:rPr>
                <w:sz w:val="20"/>
                <w:szCs w:val="20"/>
              </w:rPr>
              <w:t>17/08</w:t>
            </w:r>
          </w:p>
        </w:tc>
        <w:tc>
          <w:tcPr>
            <w:tcW w:w="12322" w:type="dxa"/>
            <w:gridSpan w:val="2"/>
            <w:tcMar>
              <w:top w:w="29" w:type="dxa"/>
              <w:left w:w="115" w:type="dxa"/>
              <w:bottom w:w="29" w:type="dxa"/>
              <w:right w:w="115" w:type="dxa"/>
            </w:tcMar>
          </w:tcPr>
          <w:p w14:paraId="7287D631" w14:textId="52DF7EEE" w:rsidR="321F7AB0" w:rsidRDefault="321F7AB0" w:rsidP="4954557E">
            <w:pPr>
              <w:jc w:val="both"/>
            </w:pPr>
            <w:r w:rsidRPr="4954557E">
              <w:rPr>
                <w:sz w:val="20"/>
                <w:szCs w:val="20"/>
              </w:rPr>
              <w:t>JK vyriausybė sudarė iki 456 mln. GBP vertės sutartis su KPMG ir EY dėl valstybės tarnautojų mokymų 2026–2028 m., įskaitant DI naudojimo įgūdžių ugdymą, nors yra įsipareigojusi perpus sumažinti išlaidas konsultavimo paslaugoms. 2024–2025 finansiniais metais šios išlaidos sumažėjo tik 14 proc. Vyriausybė pabrėžia, kad sutartys skirtos mokymams, o ne konsultavimo paslaugoms, ir planuoja jas pakeisti vidine mokymo sistema, kuri iki 2028–2029 m. turėtų leisti kasmet sutaupyti 700 mln. GBP.</w:t>
            </w:r>
          </w:p>
        </w:tc>
        <w:tc>
          <w:tcPr>
            <w:tcW w:w="2148" w:type="dxa"/>
            <w:tcMar>
              <w:top w:w="29" w:type="dxa"/>
              <w:left w:w="115" w:type="dxa"/>
              <w:bottom w:w="29" w:type="dxa"/>
              <w:right w:w="115" w:type="dxa"/>
            </w:tcMar>
          </w:tcPr>
          <w:p w14:paraId="09BA509D" w14:textId="08FA3CFA" w:rsidR="321F7AB0" w:rsidRDefault="321F7AB0" w:rsidP="4954557E">
            <w:pPr>
              <w:spacing w:after="0"/>
              <w:jc w:val="both"/>
              <w:rPr>
                <w:rFonts w:ascii="Times New Roman" w:eastAsia="Times New Roman" w:hAnsi="Times New Roman" w:cs="Times New Roman"/>
                <w:color w:val="1155CC"/>
                <w:sz w:val="24"/>
                <w:szCs w:val="24"/>
                <w:u w:val="single"/>
              </w:rPr>
            </w:pPr>
            <w:hyperlink r:id="rId109">
              <w:r w:rsidRPr="4954557E">
                <w:rPr>
                  <w:rStyle w:val="Hyperlink"/>
                  <w:color w:val="1155CC"/>
                </w:rPr>
                <w:t>UK government to pay KPMG and EY up to £456mn to train civil servants</w:t>
              </w:r>
            </w:hyperlink>
          </w:p>
        </w:tc>
      </w:tr>
      <w:tr w:rsidR="4954557E" w14:paraId="7BE09A32" w14:textId="77777777" w:rsidTr="2AC19007">
        <w:trPr>
          <w:trHeight w:val="300"/>
        </w:trPr>
        <w:tc>
          <w:tcPr>
            <w:tcW w:w="776" w:type="dxa"/>
            <w:tcMar>
              <w:top w:w="29" w:type="dxa"/>
              <w:left w:w="115" w:type="dxa"/>
              <w:bottom w:w="29" w:type="dxa"/>
              <w:right w:w="115" w:type="dxa"/>
            </w:tcMar>
          </w:tcPr>
          <w:p w14:paraId="7F91E0B8" w14:textId="5F0BE1C8" w:rsidR="321F7AB0" w:rsidRDefault="321F7AB0" w:rsidP="4954557E">
            <w:pPr>
              <w:jc w:val="both"/>
            </w:pPr>
            <w:r w:rsidRPr="4954557E">
              <w:rPr>
                <w:sz w:val="20"/>
                <w:szCs w:val="20"/>
              </w:rPr>
              <w:t>18/08</w:t>
            </w:r>
          </w:p>
        </w:tc>
        <w:tc>
          <w:tcPr>
            <w:tcW w:w="12322" w:type="dxa"/>
            <w:gridSpan w:val="2"/>
            <w:tcMar>
              <w:top w:w="29" w:type="dxa"/>
              <w:left w:w="115" w:type="dxa"/>
              <w:bottom w:w="29" w:type="dxa"/>
              <w:right w:w="115" w:type="dxa"/>
            </w:tcMar>
          </w:tcPr>
          <w:p w14:paraId="1638E4B4" w14:textId="3A57334B" w:rsidR="321F7AB0" w:rsidRDefault="321F7AB0" w:rsidP="4954557E">
            <w:pPr>
              <w:jc w:val="both"/>
            </w:pPr>
            <w:r w:rsidRPr="4954557E">
              <w:rPr>
                <w:sz w:val="20"/>
                <w:szCs w:val="20"/>
              </w:rPr>
              <w:t>Prieš rudenį numatomą JK ir EU aukščiausiojo lygio susitikimą išlieka nesutarimų dėl siūlomos jaunimo mobilumo programos, ypač dėl metinės dalyvių ribos ir studijų mokesčio EU studentams JK. Tačiau derybos dėl prekybos maisto produktais ir gėrimais kliūčių mažinimo bei JK ir EU apyvartinių taršos leidimų prekybos sistemų susiejimo juda į priekį, rodydamos pažangą platesniuose JK ir EU ekonominiuose santykiuose.</w:t>
            </w:r>
          </w:p>
        </w:tc>
        <w:tc>
          <w:tcPr>
            <w:tcW w:w="2148" w:type="dxa"/>
            <w:tcMar>
              <w:top w:w="29" w:type="dxa"/>
              <w:left w:w="115" w:type="dxa"/>
              <w:bottom w:w="29" w:type="dxa"/>
              <w:right w:w="115" w:type="dxa"/>
            </w:tcMar>
          </w:tcPr>
          <w:p w14:paraId="75E2BB4F" w14:textId="4F482218" w:rsidR="321F7AB0" w:rsidRDefault="321F7AB0" w:rsidP="4954557E">
            <w:pPr>
              <w:jc w:val="both"/>
              <w:rPr>
                <w:u w:val="single"/>
              </w:rPr>
            </w:pPr>
            <w:hyperlink r:id="rId110">
              <w:r w:rsidRPr="4954557E">
                <w:rPr>
                  <w:rStyle w:val="Hyperlink"/>
                  <w:color w:val="1155CC"/>
                </w:rPr>
                <w:t>Andy Burnham faces EU clash over youth scheme as summit looms</w:t>
              </w:r>
            </w:hyperlink>
          </w:p>
        </w:tc>
      </w:tr>
      <w:tr w:rsidR="4954557E" w14:paraId="360CC693" w14:textId="77777777" w:rsidTr="2AC19007">
        <w:trPr>
          <w:trHeight w:val="300"/>
        </w:trPr>
        <w:tc>
          <w:tcPr>
            <w:tcW w:w="776" w:type="dxa"/>
            <w:tcMar>
              <w:top w:w="29" w:type="dxa"/>
              <w:left w:w="115" w:type="dxa"/>
              <w:bottom w:w="29" w:type="dxa"/>
              <w:right w:w="115" w:type="dxa"/>
            </w:tcMar>
          </w:tcPr>
          <w:p w14:paraId="4ACE6ABB" w14:textId="090EE5ED" w:rsidR="321F7AB0" w:rsidRDefault="321F7AB0" w:rsidP="4954557E">
            <w:pPr>
              <w:jc w:val="both"/>
            </w:pPr>
            <w:r w:rsidRPr="4954557E">
              <w:rPr>
                <w:sz w:val="20"/>
                <w:szCs w:val="20"/>
              </w:rPr>
              <w:t>18/08</w:t>
            </w:r>
          </w:p>
        </w:tc>
        <w:tc>
          <w:tcPr>
            <w:tcW w:w="12322" w:type="dxa"/>
            <w:gridSpan w:val="2"/>
            <w:tcMar>
              <w:top w:w="29" w:type="dxa"/>
              <w:left w:w="115" w:type="dxa"/>
              <w:bottom w:w="29" w:type="dxa"/>
              <w:right w:w="115" w:type="dxa"/>
            </w:tcMar>
          </w:tcPr>
          <w:p w14:paraId="1541EB6E" w14:textId="66AAD47C" w:rsidR="321F7AB0" w:rsidRDefault="321F7AB0" w:rsidP="4954557E">
            <w:pPr>
              <w:jc w:val="both"/>
            </w:pPr>
            <w:r w:rsidRPr="4954557E">
              <w:rPr>
                <w:sz w:val="20"/>
                <w:szCs w:val="20"/>
              </w:rPr>
              <w:t>JK darbo rinka toliau silpnėjo: birželį darbuotojų skaičius sumažėjo 13 tūkst., o preliminarūs liepos duomenys rodo dar 13 tūkst. sumažėjimą. Nedarbo lygis antrąjį ketvirtį pakilo iki 4,9 proc., o laisvų darbo vietų skaičius sumažėjo iki 707 tūkst. – žemiausio lygio nuo 2014 m., neįskaitant pandemijos laikotarpio. Reguliaraus darbo užmokesčio augimas privačiajame sektoriuje sulėtėjo iki 2,8 proc., mažindamas infliacinį spaudimą ir artimiausio Anglijos banko palūkanų normų didinimo tikimybę.</w:t>
            </w:r>
          </w:p>
        </w:tc>
        <w:tc>
          <w:tcPr>
            <w:tcW w:w="2148" w:type="dxa"/>
            <w:tcMar>
              <w:top w:w="29" w:type="dxa"/>
              <w:left w:w="115" w:type="dxa"/>
              <w:bottom w:w="29" w:type="dxa"/>
              <w:right w:w="115" w:type="dxa"/>
            </w:tcMar>
          </w:tcPr>
          <w:p w14:paraId="01AF86A1" w14:textId="295E34CC" w:rsidR="321F7AB0" w:rsidRDefault="321F7AB0" w:rsidP="4954557E">
            <w:pPr>
              <w:spacing w:after="0"/>
              <w:jc w:val="both"/>
              <w:rPr>
                <w:rFonts w:ascii="Times New Roman" w:eastAsia="Times New Roman" w:hAnsi="Times New Roman" w:cs="Times New Roman"/>
                <w:color w:val="1155CC"/>
                <w:sz w:val="24"/>
                <w:szCs w:val="24"/>
                <w:u w:val="single"/>
              </w:rPr>
            </w:pPr>
            <w:hyperlink r:id="rId111">
              <w:r w:rsidRPr="4954557E">
                <w:rPr>
                  <w:rStyle w:val="Hyperlink"/>
                  <w:color w:val="1155CC"/>
                </w:rPr>
                <w:t>UK employers shed jobs as labour market weakens further</w:t>
              </w:r>
            </w:hyperlink>
          </w:p>
        </w:tc>
      </w:tr>
      <w:tr w:rsidR="4954557E" w14:paraId="123F98C5" w14:textId="77777777" w:rsidTr="2AC19007">
        <w:trPr>
          <w:trHeight w:val="300"/>
        </w:trPr>
        <w:tc>
          <w:tcPr>
            <w:tcW w:w="776" w:type="dxa"/>
            <w:tcMar>
              <w:top w:w="29" w:type="dxa"/>
              <w:left w:w="115" w:type="dxa"/>
              <w:bottom w:w="29" w:type="dxa"/>
              <w:right w:w="115" w:type="dxa"/>
            </w:tcMar>
          </w:tcPr>
          <w:p w14:paraId="05CB8E9B" w14:textId="071B4D35" w:rsidR="6404EAA5" w:rsidRDefault="6404EAA5" w:rsidP="4954557E">
            <w:pPr>
              <w:jc w:val="both"/>
            </w:pPr>
            <w:r w:rsidRPr="4954557E">
              <w:rPr>
                <w:sz w:val="20"/>
                <w:szCs w:val="20"/>
              </w:rPr>
              <w:t>18/08</w:t>
            </w:r>
          </w:p>
        </w:tc>
        <w:tc>
          <w:tcPr>
            <w:tcW w:w="12322" w:type="dxa"/>
            <w:gridSpan w:val="2"/>
            <w:tcMar>
              <w:top w:w="29" w:type="dxa"/>
              <w:left w:w="115" w:type="dxa"/>
              <w:bottom w:w="29" w:type="dxa"/>
              <w:right w:w="115" w:type="dxa"/>
            </w:tcMar>
          </w:tcPr>
          <w:p w14:paraId="09EBA7B6" w14:textId="4707266A" w:rsidR="6A5366F7" w:rsidRDefault="6A5366F7" w:rsidP="4954557E">
            <w:pPr>
              <w:jc w:val="both"/>
            </w:pPr>
            <w:r w:rsidRPr="4954557E">
              <w:rPr>
                <w:sz w:val="20"/>
                <w:szCs w:val="20"/>
              </w:rPr>
              <w:t>JK ir ES ekonominiai santykiai. Prieš rudenį numatomą JK ir ES aukščiausiojo lygio susitikimą vyksta pažanga derybose dėl prekybos maisto produktais ir gėrimais kliūčių mažinimo bei JK ir ES apyvartinių taršos leidimų prekybos sistemų susiejimo. Vis dėlto išlieka nesutarimų dėl siūlomos jaunimo mobilumo programos: ES valstybės narės siekia, kad metinė dalyvių riba viršytų 100 tūkst. ir kad ES studentams JK universitetuose būtų taikomas toks pats studijų mokestis kaip vietos studentams. JK anksčiau siūlė nustatyti maždaug 50 tūkst. dalyvių ribą ir laikosi pozicijos, kad programa turėtų būti terminuota ir turėti aiškiai nustatytą dalyvių skaičiaus ribą.</w:t>
            </w:r>
          </w:p>
        </w:tc>
        <w:tc>
          <w:tcPr>
            <w:tcW w:w="2148" w:type="dxa"/>
            <w:tcMar>
              <w:top w:w="29" w:type="dxa"/>
              <w:left w:w="115" w:type="dxa"/>
              <w:bottom w:w="29" w:type="dxa"/>
              <w:right w:w="115" w:type="dxa"/>
            </w:tcMar>
          </w:tcPr>
          <w:p w14:paraId="63CFAA18" w14:textId="175CE432" w:rsidR="6A5366F7" w:rsidRDefault="6A5366F7" w:rsidP="4954557E">
            <w:pPr>
              <w:jc w:val="both"/>
            </w:pPr>
            <w:hyperlink r:id="rId112">
              <w:r w:rsidRPr="4954557E">
                <w:rPr>
                  <w:rStyle w:val="Hyperlink"/>
                </w:rPr>
                <w:t>Andy Burnham faces EU clash over youth scheme as summit looms</w:t>
              </w:r>
            </w:hyperlink>
          </w:p>
        </w:tc>
      </w:tr>
      <w:tr w:rsidR="4954557E" w14:paraId="2254BD2A" w14:textId="77777777" w:rsidTr="2AC19007">
        <w:trPr>
          <w:trHeight w:val="300"/>
        </w:trPr>
        <w:tc>
          <w:tcPr>
            <w:tcW w:w="776" w:type="dxa"/>
            <w:tcMar>
              <w:top w:w="29" w:type="dxa"/>
              <w:left w:w="115" w:type="dxa"/>
              <w:bottom w:w="29" w:type="dxa"/>
              <w:right w:w="115" w:type="dxa"/>
            </w:tcMar>
          </w:tcPr>
          <w:p w14:paraId="0391229B" w14:textId="3B6218C2" w:rsidR="42542CBD" w:rsidRDefault="42542CBD" w:rsidP="4954557E">
            <w:pPr>
              <w:jc w:val="both"/>
            </w:pPr>
            <w:r w:rsidRPr="4954557E">
              <w:rPr>
                <w:sz w:val="20"/>
                <w:szCs w:val="20"/>
              </w:rPr>
              <w:t>19/08</w:t>
            </w:r>
          </w:p>
        </w:tc>
        <w:tc>
          <w:tcPr>
            <w:tcW w:w="12322" w:type="dxa"/>
            <w:gridSpan w:val="2"/>
            <w:tcMar>
              <w:top w:w="29" w:type="dxa"/>
              <w:left w:w="115" w:type="dxa"/>
              <w:bottom w:w="29" w:type="dxa"/>
              <w:right w:w="115" w:type="dxa"/>
            </w:tcMar>
          </w:tcPr>
          <w:p w14:paraId="16E48535" w14:textId="55EDA3F3" w:rsidR="42542CBD" w:rsidRDefault="42542CBD" w:rsidP="4954557E">
            <w:pPr>
              <w:jc w:val="both"/>
            </w:pPr>
            <w:r w:rsidRPr="4954557E">
              <w:rPr>
                <w:sz w:val="20"/>
                <w:szCs w:val="20"/>
              </w:rPr>
              <w:t>JK metinė infliacija liepą padidėjo nuo 2,6 proc. iki 2,9 proc., daugiausia dėl išaugusių energijos kainų, „Ofgem“ 13 proc. padidinus energijos kainų viršutinę ribą. Infliacija išliko aukštesnė už Anglijos banko 2 proc. tikslą, tačiau bazinė infliacija siekė 2,6 proc., o paslaugų infliacija sumažėjo nuo 3,6 proc. iki 3,4 proc. Silpnėjanti darbo rinka ir lėtėjantis darbo užmokesčio augimas privačiajame sektoriuje mažina vidaus infliacinį spaudimą, todėl rinkose tikimasi, kad Anglijos bankas rugsėjį bazinę 3,75 proc. palūkanų normą paliks nepakeistą.</w:t>
            </w:r>
          </w:p>
        </w:tc>
        <w:tc>
          <w:tcPr>
            <w:tcW w:w="2148" w:type="dxa"/>
            <w:tcMar>
              <w:top w:w="29" w:type="dxa"/>
              <w:left w:w="115" w:type="dxa"/>
              <w:bottom w:w="29" w:type="dxa"/>
              <w:right w:w="115" w:type="dxa"/>
            </w:tcMar>
          </w:tcPr>
          <w:p w14:paraId="2C2B9821" w14:textId="696F335E" w:rsidR="42542CBD" w:rsidRDefault="42542CBD" w:rsidP="4954557E">
            <w:pPr>
              <w:jc w:val="both"/>
            </w:pPr>
            <w:hyperlink r:id="rId113">
              <w:r w:rsidRPr="4954557E">
                <w:rPr>
                  <w:rStyle w:val="Hyperlink"/>
                </w:rPr>
                <w:t>UK inflation accelerates to 2.9% in July amid Middle East energy shock</w:t>
              </w:r>
            </w:hyperlink>
          </w:p>
        </w:tc>
      </w:tr>
      <w:tr w:rsidR="4954557E" w14:paraId="25FE198D" w14:textId="77777777" w:rsidTr="2AC19007">
        <w:trPr>
          <w:trHeight w:val="300"/>
        </w:trPr>
        <w:tc>
          <w:tcPr>
            <w:tcW w:w="776" w:type="dxa"/>
            <w:tcMar>
              <w:top w:w="29" w:type="dxa"/>
              <w:left w:w="115" w:type="dxa"/>
              <w:bottom w:w="29" w:type="dxa"/>
              <w:right w:w="115" w:type="dxa"/>
            </w:tcMar>
          </w:tcPr>
          <w:p w14:paraId="72D7FE31" w14:textId="7099C871" w:rsidR="42542CBD" w:rsidRDefault="42542CBD" w:rsidP="4954557E">
            <w:pPr>
              <w:jc w:val="both"/>
            </w:pPr>
            <w:r w:rsidRPr="4954557E">
              <w:rPr>
                <w:sz w:val="20"/>
                <w:szCs w:val="20"/>
              </w:rPr>
              <w:lastRenderedPageBreak/>
              <w:t>19/08</w:t>
            </w:r>
          </w:p>
        </w:tc>
        <w:tc>
          <w:tcPr>
            <w:tcW w:w="12322" w:type="dxa"/>
            <w:gridSpan w:val="2"/>
            <w:tcMar>
              <w:top w:w="29" w:type="dxa"/>
              <w:left w:w="115" w:type="dxa"/>
              <w:bottom w:w="29" w:type="dxa"/>
              <w:right w:w="115" w:type="dxa"/>
            </w:tcMar>
          </w:tcPr>
          <w:p w14:paraId="0B6B8329" w14:textId="2A5390BC" w:rsidR="42542CBD" w:rsidRDefault="42542CBD" w:rsidP="4954557E">
            <w:pPr>
              <w:jc w:val="both"/>
            </w:pPr>
            <w:r w:rsidRPr="4954557E">
              <w:rPr>
                <w:sz w:val="20"/>
                <w:szCs w:val="20"/>
              </w:rPr>
              <w:t>Nuo 2021 m. bendras vartotojų kainų lygis JK pakilo 27,5 proc., o mažmeninių kainų indeksas (RPI), į kurį įtraukiamos būsto paskolų palūkanų sąnaudos, - 36 proc., palyginti su 29 proc. nominaliojo darbo užmokesčio augimu. Ypač smarkiai - 152 proc. - išaugo būsto paskolų palūkanų sąnaudos, dujos pabrango 87 proc., o elektra - 46 proc. Iš 192 į vartotojų kainų indeksą įtraukiamų prekių ir paslaugų kategorijų nuo 2021 m. atpigo vos 13, todėl per pastaruosius penkerius metus susikaupęs kainų augimas ir toliau reikšmingai veikia JK namų ūkių išlaidas.</w:t>
            </w:r>
          </w:p>
        </w:tc>
        <w:tc>
          <w:tcPr>
            <w:tcW w:w="2148" w:type="dxa"/>
            <w:tcMar>
              <w:top w:w="29" w:type="dxa"/>
              <w:left w:w="115" w:type="dxa"/>
              <w:bottom w:w="29" w:type="dxa"/>
              <w:right w:w="115" w:type="dxa"/>
            </w:tcMar>
          </w:tcPr>
          <w:p w14:paraId="4E054DCB" w14:textId="229AA15B" w:rsidR="42542CBD" w:rsidRDefault="42542CBD" w:rsidP="4954557E">
            <w:pPr>
              <w:jc w:val="both"/>
            </w:pPr>
            <w:hyperlink r:id="rId114">
              <w:r w:rsidRPr="4954557E">
                <w:rPr>
                  <w:rStyle w:val="Hyperlink"/>
                </w:rPr>
                <w:t>Price of olive oil doubles in five years: how UK inflation has hit shoppers</w:t>
              </w:r>
            </w:hyperlink>
          </w:p>
        </w:tc>
      </w:tr>
      <w:tr w:rsidR="4954557E" w14:paraId="6CC86107" w14:textId="77777777" w:rsidTr="2AC19007">
        <w:trPr>
          <w:trHeight w:val="300"/>
        </w:trPr>
        <w:tc>
          <w:tcPr>
            <w:tcW w:w="776" w:type="dxa"/>
            <w:tcMar>
              <w:top w:w="29" w:type="dxa"/>
              <w:left w:w="115" w:type="dxa"/>
              <w:bottom w:w="29" w:type="dxa"/>
              <w:right w:w="115" w:type="dxa"/>
            </w:tcMar>
          </w:tcPr>
          <w:p w14:paraId="3DCCD4AE" w14:textId="219C74C5" w:rsidR="42542CBD" w:rsidRDefault="42542CBD" w:rsidP="4954557E">
            <w:pPr>
              <w:jc w:val="both"/>
            </w:pPr>
            <w:r w:rsidRPr="4954557E">
              <w:rPr>
                <w:sz w:val="20"/>
                <w:szCs w:val="20"/>
              </w:rPr>
              <w:t>20/08</w:t>
            </w:r>
          </w:p>
        </w:tc>
        <w:tc>
          <w:tcPr>
            <w:tcW w:w="12322" w:type="dxa"/>
            <w:gridSpan w:val="2"/>
            <w:tcMar>
              <w:top w:w="29" w:type="dxa"/>
              <w:left w:w="115" w:type="dxa"/>
              <w:bottom w:w="29" w:type="dxa"/>
              <w:right w:w="115" w:type="dxa"/>
            </w:tcMar>
          </w:tcPr>
          <w:p w14:paraId="32D44DFB" w14:textId="59EAE84F" w:rsidR="42542CBD" w:rsidRDefault="42542CBD" w:rsidP="4954557E">
            <w:pPr>
              <w:jc w:val="both"/>
            </w:pPr>
            <w:r w:rsidRPr="4954557E">
              <w:rPr>
                <w:sz w:val="20"/>
                <w:szCs w:val="20"/>
              </w:rPr>
              <w:t>JK privataus sektoriaus produktyvumas 2026 m. II ketvirtį per metus išaugo 1,8 proc., palyginti su 1,2 proc. ankstesnį ketvirtį, ir toliau spartėjo nuo 2024 m. Kai kurie ekonomistai šį pagerėjimą iš dalies sieja su didėjančiu DI naudojimu, kuris, šiai tendencijai išliekant, galėtų paskatinti ekonomikos ir gyventojų pajamų augimą bei sumažinti spaudimą viešiesiems finansams. Vis dėlto dalį produktyvumo augimo gali lemti mažėjantis užimtumas, įmonėms dėl išaugusių darbo sąnaudų ribojant darbuotojų samdymą, ypač jaunų ir žemesnės kvalifikacijos darbuotojų. Todėl dar per anksti spręsti, ar produktyvumo augimas rodo ilgalaikį struktūrinį JK ekonomikos pokytį.</w:t>
            </w:r>
          </w:p>
        </w:tc>
        <w:tc>
          <w:tcPr>
            <w:tcW w:w="2148" w:type="dxa"/>
            <w:tcMar>
              <w:top w:w="29" w:type="dxa"/>
              <w:left w:w="115" w:type="dxa"/>
              <w:bottom w:w="29" w:type="dxa"/>
              <w:right w:w="115" w:type="dxa"/>
            </w:tcMar>
          </w:tcPr>
          <w:p w14:paraId="74F01DB0" w14:textId="18D8B68B" w:rsidR="42542CBD" w:rsidRDefault="42542CBD" w:rsidP="4954557E">
            <w:pPr>
              <w:jc w:val="both"/>
            </w:pPr>
            <w:hyperlink r:id="rId115">
              <w:r w:rsidRPr="4954557E">
                <w:rPr>
                  <w:rStyle w:val="Hyperlink"/>
                </w:rPr>
                <w:t>UK finally showing signs of productivity growth, say economists</w:t>
              </w:r>
            </w:hyperlink>
          </w:p>
        </w:tc>
      </w:tr>
      <w:tr w:rsidR="4954557E" w14:paraId="52E20E9A" w14:textId="77777777" w:rsidTr="2AC19007">
        <w:trPr>
          <w:trHeight w:val="300"/>
        </w:trPr>
        <w:tc>
          <w:tcPr>
            <w:tcW w:w="776" w:type="dxa"/>
            <w:tcMar>
              <w:top w:w="29" w:type="dxa"/>
              <w:left w:w="115" w:type="dxa"/>
              <w:bottom w:w="29" w:type="dxa"/>
              <w:right w:w="115" w:type="dxa"/>
            </w:tcMar>
          </w:tcPr>
          <w:p w14:paraId="7AF66306" w14:textId="1A666D46" w:rsidR="42542CBD" w:rsidRDefault="42542CBD" w:rsidP="4954557E">
            <w:pPr>
              <w:jc w:val="both"/>
            </w:pPr>
            <w:r w:rsidRPr="4954557E">
              <w:rPr>
                <w:sz w:val="20"/>
                <w:szCs w:val="20"/>
              </w:rPr>
              <w:t>20/08</w:t>
            </w:r>
          </w:p>
        </w:tc>
        <w:tc>
          <w:tcPr>
            <w:tcW w:w="12322" w:type="dxa"/>
            <w:gridSpan w:val="2"/>
            <w:tcMar>
              <w:top w:w="29" w:type="dxa"/>
              <w:left w:w="115" w:type="dxa"/>
              <w:bottom w:w="29" w:type="dxa"/>
              <w:right w:w="115" w:type="dxa"/>
            </w:tcMar>
          </w:tcPr>
          <w:p w14:paraId="38A81578" w14:textId="4526D895" w:rsidR="1A61A8FE" w:rsidRDefault="1A61A8FE" w:rsidP="4954557E">
            <w:pPr>
              <w:jc w:val="both"/>
            </w:pPr>
            <w:r w:rsidRPr="4954557E">
              <w:rPr>
                <w:sz w:val="20"/>
                <w:szCs w:val="20"/>
              </w:rPr>
              <w:t>Anglijoje ir Velse 87 proc. 2025 m. IV ketvirtį pardavimui pasiūlytų leasehold butų po šešių mėnesių vis dar buvo neparduoti – tai aukščiausias rodiklis per penkerius metus. Paklausą mažina aukštos būsto paskolų palūkanos, dideli aptarnavimo mokesčiai ir neapibrėžtumas dėl leasehold sistemos; vidutinis metinis aptarnavimo mokestis siekia 1 900 GBP, o Londone – 2 500 GBP. Vyriausybė rengia reformą, pagal kurią commonhold taptų pagrindiniu naujų butų nuosavybės modeliu, o žemės nuomos mokestis būtų apribotas iki 250 GBP.</w:t>
            </w:r>
          </w:p>
        </w:tc>
        <w:tc>
          <w:tcPr>
            <w:tcW w:w="2148" w:type="dxa"/>
            <w:tcMar>
              <w:top w:w="29" w:type="dxa"/>
              <w:left w:w="115" w:type="dxa"/>
              <w:bottom w:w="29" w:type="dxa"/>
              <w:right w:w="115" w:type="dxa"/>
            </w:tcMar>
          </w:tcPr>
          <w:p w14:paraId="51AAACB3" w14:textId="2D976956" w:rsidR="42542CBD" w:rsidRDefault="42542CBD" w:rsidP="4954557E">
            <w:pPr>
              <w:jc w:val="both"/>
            </w:pPr>
            <w:hyperlink r:id="rId116">
              <w:r w:rsidRPr="4954557E">
                <w:rPr>
                  <w:rStyle w:val="Hyperlink"/>
                  <w:lang w:val="en-US"/>
                </w:rPr>
                <w:t>Nearly nine in 10 leasehold flats still on the market after six months</w:t>
              </w:r>
            </w:hyperlink>
          </w:p>
        </w:tc>
      </w:tr>
      <w:tr w:rsidR="085EE119" w14:paraId="7B9AE9B1" w14:textId="77777777" w:rsidTr="2AC19007">
        <w:trPr>
          <w:trHeight w:val="300"/>
        </w:trPr>
        <w:tc>
          <w:tcPr>
            <w:tcW w:w="776" w:type="dxa"/>
            <w:tcMar>
              <w:top w:w="29" w:type="dxa"/>
              <w:left w:w="115" w:type="dxa"/>
              <w:bottom w:w="29" w:type="dxa"/>
              <w:right w:w="115" w:type="dxa"/>
            </w:tcMar>
          </w:tcPr>
          <w:p w14:paraId="145C1F25" w14:textId="34E93554" w:rsidR="04930FBF" w:rsidRDefault="04930FBF" w:rsidP="085EE119">
            <w:pPr>
              <w:jc w:val="both"/>
            </w:pPr>
            <w:r w:rsidRPr="085EE119">
              <w:rPr>
                <w:sz w:val="20"/>
                <w:szCs w:val="20"/>
              </w:rPr>
              <w:t>21/08</w:t>
            </w:r>
          </w:p>
        </w:tc>
        <w:tc>
          <w:tcPr>
            <w:tcW w:w="12322" w:type="dxa"/>
            <w:gridSpan w:val="2"/>
            <w:tcMar>
              <w:top w:w="29" w:type="dxa"/>
              <w:left w:w="115" w:type="dxa"/>
              <w:bottom w:w="29" w:type="dxa"/>
              <w:right w:w="115" w:type="dxa"/>
            </w:tcMar>
          </w:tcPr>
          <w:p w14:paraId="4BD4C4C1" w14:textId="3C14E91C" w:rsidR="04930FBF" w:rsidRDefault="04930FBF" w:rsidP="085EE119">
            <w:pPr>
              <w:jc w:val="both"/>
            </w:pPr>
            <w:r w:rsidRPr="085EE119">
              <w:rPr>
                <w:sz w:val="20"/>
                <w:szCs w:val="20"/>
              </w:rPr>
              <w:t>JK vartotojų pasitikėjimas rugpjūtį pakilo iki aukščiausio lygio per dvejus metus – GfK indeksas padidėjo trimis punktais iki –14 ir viršijo ekonomistų prognozuotą –18 rodiklį. Pagerėjimą daugiausia lėmė optimistiškesni lūkesčiai dėl JK ekonomikos per ateinančius 12 mėnesių ir palankesnis požiūris į didesnius pirkinius. Vis dėlto vartotojų pasitikėjimas tebėra neigiamas, o liepą iki 2,9 proc. padidėjusi infliacija ir geopolitinis neapibrėžtumas gali riboti tolesnį jo augimą.</w:t>
            </w:r>
          </w:p>
        </w:tc>
        <w:tc>
          <w:tcPr>
            <w:tcW w:w="2148" w:type="dxa"/>
            <w:tcMar>
              <w:top w:w="29" w:type="dxa"/>
              <w:left w:w="115" w:type="dxa"/>
              <w:bottom w:w="29" w:type="dxa"/>
              <w:right w:w="115" w:type="dxa"/>
            </w:tcMar>
          </w:tcPr>
          <w:p w14:paraId="48F4BD8B" w14:textId="193524CA" w:rsidR="04930FBF" w:rsidRDefault="04930FBF" w:rsidP="085EE119">
            <w:pPr>
              <w:jc w:val="both"/>
            </w:pPr>
            <w:hyperlink r:id="rId117">
              <w:r w:rsidRPr="085EE119">
                <w:rPr>
                  <w:rStyle w:val="Hyperlink"/>
                </w:rPr>
                <w:t>UK consumer confidence rises to highest level for two years</w:t>
              </w:r>
            </w:hyperlink>
          </w:p>
        </w:tc>
      </w:tr>
      <w:tr w:rsidR="085EE119" w14:paraId="367C365E" w14:textId="77777777" w:rsidTr="2AC19007">
        <w:trPr>
          <w:trHeight w:val="300"/>
        </w:trPr>
        <w:tc>
          <w:tcPr>
            <w:tcW w:w="776" w:type="dxa"/>
            <w:tcMar>
              <w:top w:w="29" w:type="dxa"/>
              <w:left w:w="115" w:type="dxa"/>
              <w:bottom w:w="29" w:type="dxa"/>
              <w:right w:w="115" w:type="dxa"/>
            </w:tcMar>
          </w:tcPr>
          <w:p w14:paraId="03B8862F" w14:textId="4411F312" w:rsidR="5DCCA30F" w:rsidRDefault="5DCCA30F" w:rsidP="085EE119">
            <w:pPr>
              <w:jc w:val="both"/>
            </w:pPr>
            <w:r w:rsidRPr="085EE119">
              <w:rPr>
                <w:sz w:val="20"/>
                <w:szCs w:val="20"/>
              </w:rPr>
              <w:t>21/08</w:t>
            </w:r>
          </w:p>
        </w:tc>
        <w:tc>
          <w:tcPr>
            <w:tcW w:w="12322" w:type="dxa"/>
            <w:gridSpan w:val="2"/>
            <w:tcMar>
              <w:top w:w="29" w:type="dxa"/>
              <w:left w:w="115" w:type="dxa"/>
              <w:bottom w:w="29" w:type="dxa"/>
              <w:right w:w="115" w:type="dxa"/>
            </w:tcMar>
          </w:tcPr>
          <w:p w14:paraId="66A742E5" w14:textId="6A7EFD3D" w:rsidR="5DCCA30F" w:rsidRDefault="5DCCA30F" w:rsidP="085EE119">
            <w:pPr>
              <w:jc w:val="both"/>
            </w:pPr>
            <w:r w:rsidRPr="085EE119">
              <w:rPr>
                <w:sz w:val="20"/>
                <w:szCs w:val="20"/>
              </w:rPr>
              <w:t>Liepą JK užfiksuotas netikėtas 1,8 mlrd. svarų sterlingų biudžeto deficitas – 700 mln. svarų didesnis nei prieš metus ir 2,3 mlrd. svarų viršijęs OBR prognozę. Valstybės skola per metus padidėjo 96 mlrd. svarų sterlingų ir pasiekė 2,985 trln. svarų, arba 94 proc. BVP. Kartu didėjančios skolinimosi sąnaudos ir įtampa pasaulio obligacijų rinkose mažina vyriausybės fiskalinę atsargą prieš spalio 28 d. biudžetą – ekonomistų vertinimu, nuo kovą siekusių beveik 24 mlrd. svarų sterlingų ji galėjo sumažėti iki maždaug 10–17 mlrd. svarų. Tai riboja vyriausybės galimybes didinti išlaidas ar papildomai skolintis, kartu laikantis fiskalinių taisyklių.</w:t>
            </w:r>
          </w:p>
        </w:tc>
        <w:tc>
          <w:tcPr>
            <w:tcW w:w="2148" w:type="dxa"/>
            <w:tcMar>
              <w:top w:w="29" w:type="dxa"/>
              <w:left w:w="115" w:type="dxa"/>
              <w:bottom w:w="29" w:type="dxa"/>
              <w:right w:w="115" w:type="dxa"/>
            </w:tcMar>
          </w:tcPr>
          <w:p w14:paraId="6AB29072" w14:textId="1F64469D" w:rsidR="5DCCA30F" w:rsidRDefault="5DCCA30F" w:rsidP="085EE119">
            <w:pPr>
              <w:jc w:val="both"/>
            </w:pPr>
            <w:hyperlink r:id="rId118">
              <w:r w:rsidRPr="085EE119">
                <w:rPr>
                  <w:rStyle w:val="Hyperlink"/>
                </w:rPr>
                <w:t>UK posts unexpected budget deficit of £1.8bn in July</w:t>
              </w:r>
            </w:hyperlink>
          </w:p>
          <w:p w14:paraId="03CEF65F" w14:textId="0C15CE22" w:rsidR="5DCCA30F" w:rsidRDefault="5DCCA30F" w:rsidP="085EE119">
            <w:pPr>
              <w:jc w:val="both"/>
            </w:pPr>
            <w:hyperlink r:id="rId119">
              <w:r w:rsidRPr="085EE119">
                <w:rPr>
                  <w:rStyle w:val="Hyperlink"/>
                </w:rPr>
                <w:t>Andy Burnham hit by fiscal challenges as Jim O’Neill declines government role</w:t>
              </w:r>
            </w:hyperlink>
          </w:p>
        </w:tc>
      </w:tr>
      <w:tr w:rsidR="4954557E" w14:paraId="7BA7FF97" w14:textId="77777777" w:rsidTr="2AC19007">
        <w:trPr>
          <w:trHeight w:val="300"/>
        </w:trPr>
        <w:tc>
          <w:tcPr>
            <w:tcW w:w="776" w:type="dxa"/>
            <w:tcMar>
              <w:top w:w="29" w:type="dxa"/>
              <w:left w:w="115" w:type="dxa"/>
              <w:bottom w:w="29" w:type="dxa"/>
              <w:right w:w="115" w:type="dxa"/>
            </w:tcMar>
          </w:tcPr>
          <w:p w14:paraId="1F7A2F85" w14:textId="429F5F76" w:rsidR="4954557E" w:rsidRDefault="4DD771E5" w:rsidP="4954557E">
            <w:pPr>
              <w:jc w:val="both"/>
            </w:pPr>
            <w:r w:rsidRPr="085EE119">
              <w:rPr>
                <w:sz w:val="20"/>
                <w:szCs w:val="20"/>
              </w:rPr>
              <w:t>23/08</w:t>
            </w:r>
          </w:p>
        </w:tc>
        <w:tc>
          <w:tcPr>
            <w:tcW w:w="12322" w:type="dxa"/>
            <w:gridSpan w:val="2"/>
            <w:tcMar>
              <w:top w:w="29" w:type="dxa"/>
              <w:left w:w="115" w:type="dxa"/>
              <w:bottom w:w="29" w:type="dxa"/>
              <w:right w:w="115" w:type="dxa"/>
            </w:tcMar>
          </w:tcPr>
          <w:p w14:paraId="0027C58F" w14:textId="69E9C12B" w:rsidR="4954557E" w:rsidRDefault="4DD771E5" w:rsidP="4954557E">
            <w:pPr>
              <w:jc w:val="both"/>
            </w:pPr>
            <w:r w:rsidRPr="085EE119">
              <w:rPr>
                <w:sz w:val="20"/>
                <w:szCs w:val="20"/>
              </w:rPr>
              <w:t>Plėsdama keleivinių geležinkelių tinklą, vyriausybė svarsto galimybes panaudoti esamą istorinių geležinkelių infrastruktūrą reguliariems keleiviniams maršrutams atkurti kai kuriose Anglijos vietovėse. Rugpjūtį „Severn Valley Railway“ pradėjo bandomuosius reisus, kuriais pirmą kartą nuo 1970 m. atkurtas Bewdley susisiekimas geležinkeliu su Birmingamu, o atskiram Rossendale ir Didžiojo Mančesterio susisiekimo projektui reikėtų apie 80 mln. svarų sterlingų investicijų į infrastruktūrą. Esamų geležinkelio linijų panaudojimas galėtų būti ekonomiškesnis būdas gerinti regioninį susisiekimą, tačiau ankstesni bandymai rodo, kad kai kurie maršrutai be valstybės paramos gali būti komerciškai neperspektyvūs.</w:t>
            </w:r>
          </w:p>
        </w:tc>
        <w:tc>
          <w:tcPr>
            <w:tcW w:w="2148" w:type="dxa"/>
            <w:tcMar>
              <w:top w:w="29" w:type="dxa"/>
              <w:left w:w="115" w:type="dxa"/>
              <w:bottom w:w="29" w:type="dxa"/>
              <w:right w:w="115" w:type="dxa"/>
            </w:tcMar>
          </w:tcPr>
          <w:p w14:paraId="7876C9F4" w14:textId="04B9215E" w:rsidR="4954557E" w:rsidRDefault="4DD771E5" w:rsidP="4954557E">
            <w:pPr>
              <w:jc w:val="both"/>
            </w:pPr>
            <w:hyperlink r:id="rId120">
              <w:r w:rsidRPr="085EE119">
                <w:rPr>
                  <w:rStyle w:val="Hyperlink"/>
                </w:rPr>
                <w:t>Railway enthusiasts split over plan to restore train services in rural areas</w:t>
              </w:r>
            </w:hyperlink>
          </w:p>
        </w:tc>
      </w:tr>
      <w:tr w:rsidR="4954557E" w14:paraId="5A47384E" w14:textId="77777777" w:rsidTr="2AC19007">
        <w:trPr>
          <w:trHeight w:val="300"/>
        </w:trPr>
        <w:tc>
          <w:tcPr>
            <w:tcW w:w="776" w:type="dxa"/>
            <w:tcMar>
              <w:top w:w="29" w:type="dxa"/>
              <w:left w:w="115" w:type="dxa"/>
              <w:bottom w:w="29" w:type="dxa"/>
              <w:right w:w="115" w:type="dxa"/>
            </w:tcMar>
          </w:tcPr>
          <w:p w14:paraId="7E0D81AB" w14:textId="32A06FE1" w:rsidR="4954557E" w:rsidRDefault="24D9AFC7" w:rsidP="4954557E">
            <w:pPr>
              <w:jc w:val="both"/>
            </w:pPr>
            <w:r w:rsidRPr="085EE119">
              <w:rPr>
                <w:sz w:val="20"/>
                <w:szCs w:val="20"/>
              </w:rPr>
              <w:lastRenderedPageBreak/>
              <w:t>23/08</w:t>
            </w:r>
          </w:p>
        </w:tc>
        <w:tc>
          <w:tcPr>
            <w:tcW w:w="12322" w:type="dxa"/>
            <w:gridSpan w:val="2"/>
            <w:tcMar>
              <w:top w:w="29" w:type="dxa"/>
              <w:left w:w="115" w:type="dxa"/>
              <w:bottom w:w="29" w:type="dxa"/>
              <w:right w:w="115" w:type="dxa"/>
            </w:tcMar>
          </w:tcPr>
          <w:p w14:paraId="5D32B34A" w14:textId="483F6830" w:rsidR="4954557E" w:rsidRDefault="24D9AFC7" w:rsidP="4954557E">
            <w:pPr>
              <w:jc w:val="both"/>
            </w:pPr>
            <w:r w:rsidRPr="085EE119">
              <w:rPr>
                <w:sz w:val="20"/>
                <w:szCs w:val="20"/>
              </w:rPr>
              <w:t>JK vyriausybė rengiasi rudenį vyksiančioms deryboms su EU dėl glaudesnio ekonominio bendradarbiavimo. Vienas pagrindinių JK prioritetų – užtikrinti palankesnes sąlygas JK įmonėms pagal planuojamą EU „Made in Europe“ sistemą ir sumažinti naujų EU plieno prekybos apribojimų poveikį JK gamintojams, ypač automobilių ir plieno sektoriams. Mainais derybose svarstomi jaunimo mobilumo ir EU studentų studijų įmokų klausimai. Andy Burnham vyriausybė šiuo metu peržiūri ankstesnės vyriausybės derybinę poziciją prieš planuojamą JK–EU aukščiausiojo lygio susitikimą.</w:t>
            </w:r>
          </w:p>
        </w:tc>
        <w:tc>
          <w:tcPr>
            <w:tcW w:w="2148" w:type="dxa"/>
            <w:tcMar>
              <w:top w:w="29" w:type="dxa"/>
              <w:left w:w="115" w:type="dxa"/>
              <w:bottom w:w="29" w:type="dxa"/>
              <w:right w:w="115" w:type="dxa"/>
            </w:tcMar>
          </w:tcPr>
          <w:p w14:paraId="4D1315BB" w14:textId="08B441C0" w:rsidR="4954557E" w:rsidRDefault="24D9AFC7" w:rsidP="4954557E">
            <w:pPr>
              <w:jc w:val="both"/>
            </w:pPr>
            <w:hyperlink r:id="rId121">
              <w:r w:rsidRPr="085EE119">
                <w:rPr>
                  <w:rStyle w:val="Hyperlink"/>
                </w:rPr>
                <w:t>Keir Starmer considered letting 100,000 young Europeans come to UK every year</w:t>
              </w:r>
            </w:hyperlink>
          </w:p>
        </w:tc>
      </w:tr>
      <w:tr w:rsidR="085EE119" w14:paraId="20125FAC" w14:textId="77777777" w:rsidTr="2AC19007">
        <w:trPr>
          <w:trHeight w:val="300"/>
        </w:trPr>
        <w:tc>
          <w:tcPr>
            <w:tcW w:w="776" w:type="dxa"/>
            <w:tcMar>
              <w:top w:w="29" w:type="dxa"/>
              <w:left w:w="115" w:type="dxa"/>
              <w:bottom w:w="29" w:type="dxa"/>
              <w:right w:w="115" w:type="dxa"/>
            </w:tcMar>
          </w:tcPr>
          <w:p w14:paraId="347A14F4" w14:textId="1BBF8DA2" w:rsidR="23B0A8E0" w:rsidRDefault="23B0A8E0" w:rsidP="085EE119">
            <w:pPr>
              <w:jc w:val="both"/>
            </w:pPr>
            <w:r w:rsidRPr="085EE119">
              <w:rPr>
                <w:sz w:val="20"/>
                <w:szCs w:val="20"/>
              </w:rPr>
              <w:t>23/08</w:t>
            </w:r>
          </w:p>
        </w:tc>
        <w:tc>
          <w:tcPr>
            <w:tcW w:w="12322" w:type="dxa"/>
            <w:gridSpan w:val="2"/>
            <w:tcMar>
              <w:top w:w="29" w:type="dxa"/>
              <w:left w:w="115" w:type="dxa"/>
              <w:bottom w:w="29" w:type="dxa"/>
              <w:right w:w="115" w:type="dxa"/>
            </w:tcMar>
          </w:tcPr>
          <w:p w14:paraId="2DC66171" w14:textId="5332BA29" w:rsidR="23B0A8E0" w:rsidRDefault="23B0A8E0" w:rsidP="085EE119">
            <w:pPr>
              <w:jc w:val="both"/>
            </w:pPr>
            <w:r w:rsidRPr="085EE119">
              <w:rPr>
                <w:sz w:val="20"/>
                <w:szCs w:val="20"/>
              </w:rPr>
              <w:t>JK vyriausybė planuoja išplėsti Anglijos regionų merų įgaliojimus teritorijų planavimo srityje, suteikiant jiems galimybę įsitraukti į sprendimus dėl stambių būsto ir komercinės plėtros projektų bei iš anksto suteikti leidimus tam tikrai plėtrai. Merams už Londono ribų taip pat būtų suteikta teisė taikyti plėtros mokestį dideliems infrastruktūros projektams finansuoti. Pokyčiais siekiama spartinti investicijas ir būsto statybą bei skatinti regionų ekonomikos augimą.</w:t>
            </w:r>
          </w:p>
        </w:tc>
        <w:tc>
          <w:tcPr>
            <w:tcW w:w="2148" w:type="dxa"/>
            <w:tcMar>
              <w:top w:w="29" w:type="dxa"/>
              <w:left w:w="115" w:type="dxa"/>
              <w:bottom w:w="29" w:type="dxa"/>
              <w:right w:w="115" w:type="dxa"/>
            </w:tcMar>
          </w:tcPr>
          <w:p w14:paraId="31C23BCF" w14:textId="7D1F1A6B" w:rsidR="23B0A8E0" w:rsidRDefault="23B0A8E0" w:rsidP="085EE119">
            <w:pPr>
              <w:jc w:val="both"/>
            </w:pPr>
            <w:hyperlink r:id="rId122">
              <w:r w:rsidRPr="085EE119">
                <w:rPr>
                  <w:rStyle w:val="Hyperlink"/>
                </w:rPr>
                <w:t>Burnham to allow English mayors to ‘call in’ big local planning decisions</w:t>
              </w:r>
            </w:hyperlink>
          </w:p>
        </w:tc>
      </w:tr>
      <w:tr w:rsidR="085EE119" w14:paraId="00F60D50" w14:textId="77777777" w:rsidTr="2AC19007">
        <w:trPr>
          <w:trHeight w:val="300"/>
        </w:trPr>
        <w:tc>
          <w:tcPr>
            <w:tcW w:w="776" w:type="dxa"/>
            <w:tcMar>
              <w:top w:w="29" w:type="dxa"/>
              <w:left w:w="115" w:type="dxa"/>
              <w:bottom w:w="29" w:type="dxa"/>
              <w:right w:w="115" w:type="dxa"/>
            </w:tcMar>
          </w:tcPr>
          <w:p w14:paraId="30E41FA6" w14:textId="6F4FB56B" w:rsidR="50D17508" w:rsidRDefault="50D17508" w:rsidP="085EE119">
            <w:pPr>
              <w:jc w:val="both"/>
            </w:pPr>
            <w:r w:rsidRPr="085EE119">
              <w:rPr>
                <w:sz w:val="20"/>
                <w:szCs w:val="20"/>
              </w:rPr>
              <w:t>24/08</w:t>
            </w:r>
          </w:p>
        </w:tc>
        <w:tc>
          <w:tcPr>
            <w:tcW w:w="12322" w:type="dxa"/>
            <w:gridSpan w:val="2"/>
            <w:tcMar>
              <w:top w:w="29" w:type="dxa"/>
              <w:left w:w="115" w:type="dxa"/>
              <w:bottom w:w="29" w:type="dxa"/>
              <w:right w:w="115" w:type="dxa"/>
            </w:tcMar>
          </w:tcPr>
          <w:p w14:paraId="410AD77C" w14:textId="62515D0E" w:rsidR="50D17508" w:rsidRDefault="50D17508" w:rsidP="085EE119">
            <w:pPr>
              <w:jc w:val="both"/>
            </w:pPr>
            <w:r w:rsidRPr="085EE119">
              <w:rPr>
                <w:sz w:val="20"/>
                <w:szCs w:val="20"/>
              </w:rPr>
              <w:t>JK Iždas pradėjo barams ir viešbučiams taikomo komercinio nekilnojamojo turto mokesčio (business rates) apskaičiavimo peržiūrą, sektoriaus atstovams teigiant, kad po 2026 m. turto vertės perskaičiavimo mokestinė našta neproporcingai išaugo. Vyriausybė taip pat numato nuo 2027 m. balandžio 20 proc. sumažinti šį mokestį barams, socialiniams klubams ir muzikos renginių vietoms. Šiomis priemonėmis siekiama sumažinti svetingumo sektoriaus sąnaudas ir prisidėti prie miestų centrų atgaivinimo.</w:t>
            </w:r>
          </w:p>
        </w:tc>
        <w:tc>
          <w:tcPr>
            <w:tcW w:w="2148" w:type="dxa"/>
            <w:tcMar>
              <w:top w:w="29" w:type="dxa"/>
              <w:left w:w="115" w:type="dxa"/>
              <w:bottom w:w="29" w:type="dxa"/>
              <w:right w:w="115" w:type="dxa"/>
            </w:tcMar>
          </w:tcPr>
          <w:p w14:paraId="77E5CBD2" w14:textId="0250CD84" w:rsidR="50D17508" w:rsidRDefault="50D17508" w:rsidP="085EE119">
            <w:pPr>
              <w:jc w:val="both"/>
            </w:pPr>
            <w:hyperlink r:id="rId123">
              <w:r w:rsidRPr="085EE119">
                <w:rPr>
                  <w:rStyle w:val="Hyperlink"/>
                </w:rPr>
                <w:t>Treasury brings in expert to review business rates for UK pubs and hotels</w:t>
              </w:r>
            </w:hyperlink>
          </w:p>
        </w:tc>
      </w:tr>
      <w:tr w:rsidR="085EE119" w14:paraId="083E4439" w14:textId="77777777" w:rsidTr="2AC19007">
        <w:trPr>
          <w:trHeight w:val="300"/>
        </w:trPr>
        <w:tc>
          <w:tcPr>
            <w:tcW w:w="776" w:type="dxa"/>
            <w:tcMar>
              <w:top w:w="29" w:type="dxa"/>
              <w:left w:w="115" w:type="dxa"/>
              <w:bottom w:w="29" w:type="dxa"/>
              <w:right w:w="115" w:type="dxa"/>
            </w:tcMar>
          </w:tcPr>
          <w:p w14:paraId="64B8109F" w14:textId="25AB00E7" w:rsidR="1F9D984C" w:rsidRDefault="1F9D984C" w:rsidP="085EE119">
            <w:pPr>
              <w:jc w:val="both"/>
            </w:pPr>
            <w:r w:rsidRPr="085EE119">
              <w:rPr>
                <w:sz w:val="20"/>
                <w:szCs w:val="20"/>
              </w:rPr>
              <w:t>24/08</w:t>
            </w:r>
          </w:p>
        </w:tc>
        <w:tc>
          <w:tcPr>
            <w:tcW w:w="12322" w:type="dxa"/>
            <w:gridSpan w:val="2"/>
            <w:tcMar>
              <w:top w:w="29" w:type="dxa"/>
              <w:left w:w="115" w:type="dxa"/>
              <w:bottom w:w="29" w:type="dxa"/>
              <w:right w:w="115" w:type="dxa"/>
            </w:tcMar>
          </w:tcPr>
          <w:p w14:paraId="2CAFC64F" w14:textId="08F92EF4" w:rsidR="1F9D984C" w:rsidRDefault="1F9D984C" w:rsidP="085EE119">
            <w:pPr>
              <w:jc w:val="both"/>
            </w:pPr>
            <w:r w:rsidRPr="085EE119">
              <w:rPr>
                <w:sz w:val="20"/>
                <w:szCs w:val="20"/>
              </w:rPr>
              <w:t>Škotijos nacionalinis investicijų bankas (SNIB) 2025–2026 m. patyrė 138 mln. svarų sterlingų grynąjį nuostolį, daugiausia dėl nesėkmingų investicijų ir investicijų portfelio vertės sumažėjimo. Nepaisant to, per metus bankas Škotijos įmonėms ir projektams skyrė rekordinę 374 mln. svarų sterlingų sumą ir pritraukė dar 445 mln. svarų sterlingų kitų investuotojų lėšų. Reaguodamas į patirtus nuostolius, SNIB sugriežtino investavimo kriterijus ir daugiau dėmesio skiria energetiniam saugumui, elektros tinklams bei energijos kaupimo projektams.</w:t>
            </w:r>
          </w:p>
        </w:tc>
        <w:tc>
          <w:tcPr>
            <w:tcW w:w="2148" w:type="dxa"/>
            <w:tcMar>
              <w:top w:w="29" w:type="dxa"/>
              <w:left w:w="115" w:type="dxa"/>
              <w:bottom w:w="29" w:type="dxa"/>
              <w:right w:w="115" w:type="dxa"/>
            </w:tcMar>
          </w:tcPr>
          <w:p w14:paraId="3CB8DFD6" w14:textId="05EEA52C" w:rsidR="1F9D984C" w:rsidRDefault="1F9D984C" w:rsidP="085EE119">
            <w:pPr>
              <w:jc w:val="both"/>
            </w:pPr>
            <w:hyperlink r:id="rId124">
              <w:r w:rsidRPr="085EE119">
                <w:rPr>
                  <w:rStyle w:val="Hyperlink"/>
                </w:rPr>
                <w:t>Scottish state bank records £138mn loss on back of failed investments</w:t>
              </w:r>
            </w:hyperlink>
          </w:p>
        </w:tc>
      </w:tr>
      <w:tr w:rsidR="085EE119" w14:paraId="5B3A6F69" w14:textId="77777777" w:rsidTr="2AC19007">
        <w:trPr>
          <w:trHeight w:val="300"/>
        </w:trPr>
        <w:tc>
          <w:tcPr>
            <w:tcW w:w="776" w:type="dxa"/>
            <w:tcMar>
              <w:top w:w="29" w:type="dxa"/>
              <w:left w:w="115" w:type="dxa"/>
              <w:bottom w:w="29" w:type="dxa"/>
              <w:right w:w="115" w:type="dxa"/>
            </w:tcMar>
          </w:tcPr>
          <w:p w14:paraId="251791C5" w14:textId="1B3E202A" w:rsidR="161A217F" w:rsidRDefault="161A217F" w:rsidP="085EE119">
            <w:pPr>
              <w:jc w:val="both"/>
            </w:pPr>
            <w:r w:rsidRPr="085EE119">
              <w:rPr>
                <w:sz w:val="20"/>
                <w:szCs w:val="20"/>
              </w:rPr>
              <w:t>24/08</w:t>
            </w:r>
          </w:p>
        </w:tc>
        <w:tc>
          <w:tcPr>
            <w:tcW w:w="12322" w:type="dxa"/>
            <w:gridSpan w:val="2"/>
            <w:tcMar>
              <w:top w:w="29" w:type="dxa"/>
              <w:left w:w="115" w:type="dxa"/>
              <w:bottom w:w="29" w:type="dxa"/>
              <w:right w:w="115" w:type="dxa"/>
            </w:tcMar>
          </w:tcPr>
          <w:p w14:paraId="474E4680" w14:textId="749EBCFA" w:rsidR="161A217F" w:rsidRDefault="161A217F" w:rsidP="085EE119">
            <w:pPr>
              <w:jc w:val="both"/>
            </w:pPr>
            <w:r w:rsidRPr="085EE119">
              <w:rPr>
                <w:sz w:val="20"/>
                <w:szCs w:val="20"/>
              </w:rPr>
              <w:t>Nauji duomenys rodo, kad „Plan 2“ studentų paskolas grąžinantys Russell Group universitetų absolventai vidutiniškai yra skolingi 52 412 svarų sterlingų, palyginti su 45 498 svarų sterlingų vidurkiu tarp visų aukštojo mokslo įstaigų absolventų. Didesnę skolą iš dalies lemia ilgesnė studijų trukmė ir didesnės pragyvenimo išlaidos, tačiau įtakos turi ir paskoloms taikomos palūkanos, kurios didėja augant absolventų pajamoms. Vyriausybė svarsto „Plan 2“ sistemos pakeitimus, tačiau Iždo vertinimu, jos reforma galėtų kainuoti daugiau kaip 5 mlrd. svarų sterlingų.</w:t>
            </w:r>
          </w:p>
        </w:tc>
        <w:tc>
          <w:tcPr>
            <w:tcW w:w="2148" w:type="dxa"/>
            <w:tcMar>
              <w:top w:w="29" w:type="dxa"/>
              <w:left w:w="115" w:type="dxa"/>
              <w:bottom w:w="29" w:type="dxa"/>
              <w:right w:w="115" w:type="dxa"/>
            </w:tcMar>
          </w:tcPr>
          <w:p w14:paraId="2D7678E2" w14:textId="68A114BC" w:rsidR="161A217F" w:rsidRDefault="161A217F" w:rsidP="085EE119">
            <w:pPr>
              <w:jc w:val="both"/>
            </w:pPr>
            <w:hyperlink r:id="rId125">
              <w:r w:rsidRPr="085EE119">
                <w:rPr>
                  <w:rStyle w:val="Hyperlink"/>
                  <w:lang w:val="en-US"/>
                </w:rPr>
                <w:t>Top UK university graduates owe the most in student loans</w:t>
              </w:r>
            </w:hyperlink>
          </w:p>
        </w:tc>
      </w:tr>
      <w:tr w:rsidR="085EE119" w14:paraId="7143158E" w14:textId="77777777" w:rsidTr="2AC19007">
        <w:trPr>
          <w:trHeight w:val="300"/>
        </w:trPr>
        <w:tc>
          <w:tcPr>
            <w:tcW w:w="776" w:type="dxa"/>
            <w:tcMar>
              <w:top w:w="29" w:type="dxa"/>
              <w:left w:w="115" w:type="dxa"/>
              <w:bottom w:w="29" w:type="dxa"/>
              <w:right w:w="115" w:type="dxa"/>
            </w:tcMar>
          </w:tcPr>
          <w:p w14:paraId="4AABA432" w14:textId="1CBC6CCB" w:rsidR="782A4958" w:rsidRDefault="782A4958" w:rsidP="085EE119">
            <w:pPr>
              <w:jc w:val="both"/>
            </w:pPr>
            <w:r w:rsidRPr="085EE119">
              <w:rPr>
                <w:sz w:val="20"/>
                <w:szCs w:val="20"/>
              </w:rPr>
              <w:t>25/08</w:t>
            </w:r>
          </w:p>
        </w:tc>
        <w:tc>
          <w:tcPr>
            <w:tcW w:w="12322" w:type="dxa"/>
            <w:gridSpan w:val="2"/>
            <w:tcMar>
              <w:top w:w="29" w:type="dxa"/>
              <w:left w:w="115" w:type="dxa"/>
              <w:bottom w:w="29" w:type="dxa"/>
              <w:right w:w="115" w:type="dxa"/>
            </w:tcMar>
          </w:tcPr>
          <w:p w14:paraId="0D6A4FA3" w14:textId="42B87D9D" w:rsidR="782A4958" w:rsidRDefault="782A4958" w:rsidP="085EE119">
            <w:pPr>
              <w:jc w:val="both"/>
            </w:pPr>
            <w:r w:rsidRPr="085EE119">
              <w:rPr>
                <w:sz w:val="20"/>
                <w:szCs w:val="20"/>
              </w:rPr>
              <w:t>JK viešiesiems finansams išlieka struktūrinis spaudimas dėl lėto ekonomikos augimo, didėjančių skolos aptarnavimo sąnaudų ir augančių išlaidų sveikatos apsaugai bei senėjančiai visuomenei. Nors mokesčių našta yra rekordiškai didelė, po 2008–2009 m. finansų krizės vykdytas viešųjų išlaidų mažinimas susiaurino dalies valstybės teikiamų paslaugų apimtį. FT analizėje pažymima, kad ilgainiui JK gali tekti spręsti, ar didinti mokesčius platesnei visuomenės daliai, ar didinti privataus finansavimo vaidmenį, ypač sveikatos apsaugos srityje.</w:t>
            </w:r>
          </w:p>
        </w:tc>
        <w:tc>
          <w:tcPr>
            <w:tcW w:w="2148" w:type="dxa"/>
            <w:tcMar>
              <w:top w:w="29" w:type="dxa"/>
              <w:left w:w="115" w:type="dxa"/>
              <w:bottom w:w="29" w:type="dxa"/>
              <w:right w:w="115" w:type="dxa"/>
            </w:tcMar>
          </w:tcPr>
          <w:p w14:paraId="13180D42" w14:textId="0903C165" w:rsidR="782A4958" w:rsidRDefault="782A4958" w:rsidP="085EE119">
            <w:pPr>
              <w:jc w:val="both"/>
            </w:pPr>
            <w:hyperlink r:id="rId126">
              <w:r w:rsidRPr="085EE119">
                <w:rPr>
                  <w:rStyle w:val="Hyperlink"/>
                </w:rPr>
                <w:t>Austerity denial and the mystery of Britain’s shrunken state</w:t>
              </w:r>
            </w:hyperlink>
          </w:p>
        </w:tc>
      </w:tr>
      <w:tr w:rsidR="085EE119" w14:paraId="160A34F7" w14:textId="77777777" w:rsidTr="2AC19007">
        <w:trPr>
          <w:trHeight w:val="300"/>
        </w:trPr>
        <w:tc>
          <w:tcPr>
            <w:tcW w:w="776" w:type="dxa"/>
            <w:tcMar>
              <w:top w:w="29" w:type="dxa"/>
              <w:left w:w="115" w:type="dxa"/>
              <w:bottom w:w="29" w:type="dxa"/>
              <w:right w:w="115" w:type="dxa"/>
            </w:tcMar>
          </w:tcPr>
          <w:p w14:paraId="2ACA3BB4" w14:textId="286DCEE5" w:rsidR="6DF31688" w:rsidRDefault="6DF31688" w:rsidP="085EE119">
            <w:pPr>
              <w:jc w:val="both"/>
            </w:pPr>
            <w:r w:rsidRPr="085EE119">
              <w:rPr>
                <w:sz w:val="20"/>
                <w:szCs w:val="20"/>
              </w:rPr>
              <w:t>26/08</w:t>
            </w:r>
          </w:p>
        </w:tc>
        <w:tc>
          <w:tcPr>
            <w:tcW w:w="12322" w:type="dxa"/>
            <w:gridSpan w:val="2"/>
            <w:tcMar>
              <w:top w:w="29" w:type="dxa"/>
              <w:left w:w="115" w:type="dxa"/>
              <w:bottom w:w="29" w:type="dxa"/>
              <w:right w:w="115" w:type="dxa"/>
            </w:tcMar>
          </w:tcPr>
          <w:p w14:paraId="02CB924A" w14:textId="48BC4E78" w:rsidR="6DF31688" w:rsidRDefault="6DF31688" w:rsidP="085EE119">
            <w:pPr>
              <w:jc w:val="both"/>
            </w:pPr>
            <w:r w:rsidRPr="085EE119">
              <w:rPr>
                <w:sz w:val="20"/>
                <w:szCs w:val="20"/>
              </w:rPr>
              <w:t xml:space="preserve">Valstybinis British Business Bank (BBB) nuo 2022 m. pagal Growth Guarantee Scheme padėjo mažosioms ir vidutinėms įmonėms (MVĮ) gauti 4 mlrd. svarų sterlingų paskolų - iš viso pagal šią schemą suteikta beveik 23 tūkst. paskolų. BBB komerciniams kreditoriams garantuoja 70 proc. nuostolių, patiriamų dėl negrąžintų paskolų, o valstybės lėšomis padengta tokių nuostolių suma siekia 90 mln. svarų sterlingų. Vis dėlto kreditorių mokami garantijų mokesčiai iki šiol padengė šias išlaidas. Vyriausybei plečiant BBB vaidmenį įgyvendinant pramonės strategiją, banko metinis investavimo </w:t>
            </w:r>
            <w:r w:rsidRPr="085EE119">
              <w:rPr>
                <w:sz w:val="20"/>
                <w:szCs w:val="20"/>
              </w:rPr>
              <w:lastRenderedPageBreak/>
              <w:t>pajėgumas padidintas dviem trečdaliais - iki 2,5 mlrd. svarų sterlingų, o iki 2030 m. siekiama paremti iš viso 25,6 mlrd. svarų sterlingų vertės finansavimą.</w:t>
            </w:r>
          </w:p>
        </w:tc>
        <w:tc>
          <w:tcPr>
            <w:tcW w:w="2148" w:type="dxa"/>
            <w:tcMar>
              <w:top w:w="29" w:type="dxa"/>
              <w:left w:w="115" w:type="dxa"/>
              <w:bottom w:w="29" w:type="dxa"/>
              <w:right w:w="115" w:type="dxa"/>
            </w:tcMar>
          </w:tcPr>
          <w:p w14:paraId="29FE95C8" w14:textId="26A0C73B" w:rsidR="6DF31688" w:rsidRDefault="6DF31688" w:rsidP="085EE119">
            <w:pPr>
              <w:jc w:val="both"/>
            </w:pPr>
            <w:hyperlink r:id="rId127">
              <w:r w:rsidRPr="085EE119">
                <w:rPr>
                  <w:rStyle w:val="Hyperlink"/>
                </w:rPr>
                <w:t>British Business Bank’s small business loans hit £4bn</w:t>
              </w:r>
            </w:hyperlink>
          </w:p>
        </w:tc>
      </w:tr>
      <w:tr w:rsidR="085EE119" w14:paraId="012A31D8" w14:textId="77777777" w:rsidTr="2AC19007">
        <w:trPr>
          <w:trHeight w:val="300"/>
        </w:trPr>
        <w:tc>
          <w:tcPr>
            <w:tcW w:w="776" w:type="dxa"/>
            <w:tcMar>
              <w:top w:w="29" w:type="dxa"/>
              <w:left w:w="115" w:type="dxa"/>
              <w:bottom w:w="29" w:type="dxa"/>
              <w:right w:w="115" w:type="dxa"/>
            </w:tcMar>
          </w:tcPr>
          <w:p w14:paraId="1F4DB49F" w14:textId="33FC3D36" w:rsidR="24C641DC" w:rsidRDefault="24C641DC" w:rsidP="085EE119">
            <w:pPr>
              <w:jc w:val="both"/>
            </w:pPr>
            <w:r w:rsidRPr="085EE119">
              <w:rPr>
                <w:sz w:val="20"/>
                <w:szCs w:val="20"/>
              </w:rPr>
              <w:t>26/08</w:t>
            </w:r>
          </w:p>
        </w:tc>
        <w:tc>
          <w:tcPr>
            <w:tcW w:w="12322" w:type="dxa"/>
            <w:gridSpan w:val="2"/>
            <w:tcMar>
              <w:top w:w="29" w:type="dxa"/>
              <w:left w:w="115" w:type="dxa"/>
              <w:bottom w:w="29" w:type="dxa"/>
              <w:right w:w="115" w:type="dxa"/>
            </w:tcMar>
          </w:tcPr>
          <w:p w14:paraId="50AFD196" w14:textId="0FF3E520" w:rsidR="24C641DC" w:rsidRDefault="24C641DC" w:rsidP="085EE119">
            <w:pPr>
              <w:jc w:val="both"/>
            </w:pPr>
            <w:r w:rsidRPr="085EE119">
              <w:rPr>
                <w:sz w:val="20"/>
                <w:szCs w:val="20"/>
              </w:rPr>
              <w:t>Ministras Pirmininkas Andy Burnhamas formuoja ekonominės politikos kryptį, kuria parama verslui ir gerovės kūrimui derinama su didesne valstybės kontrole svarbiausiuose komunalinių paslaugų ir transporto sektoriuose, tačiau nenumatant visiško jų nacionalizavimo. Prieš lapkritį numatomą UK–EU aukščiausiojo lygio susitikimą ekonominiai santykiai su EU taip pat tampa vienu iš vyriausybės prioritetų. Burnhamas parodė esąs pasirengęs svarstyti platesnį jaunimo mobilumo susitarimą, o ankstesnė vyriausybė buvo parengusi derybinį pasiūlymą, pagal kurį į UK kasmet galėtų atvykti iki 100 tūkst. jaunų europiečių su terminuotomis vizomis, o EU studentams galėtų būti taikomi mažesni, vietos studentams nustatyti studijų mokesčiai. Mainais UK siektų užtikrinti JK įmonėms palankesnes sąlygas dalyvauti EU iniciatyvoje „Made in Europe“ ir išvengti naujų prekybos kliūčių JK plieno eksportui. Burnhamo teigimu, platesnis UK–EU susitarimas galėtų reikšmingai paskatinti JK BVP ir ekonomikos augimą.</w:t>
            </w:r>
          </w:p>
        </w:tc>
        <w:tc>
          <w:tcPr>
            <w:tcW w:w="2148" w:type="dxa"/>
            <w:tcMar>
              <w:top w:w="29" w:type="dxa"/>
              <w:left w:w="115" w:type="dxa"/>
              <w:bottom w:w="29" w:type="dxa"/>
              <w:right w:w="115" w:type="dxa"/>
            </w:tcMar>
          </w:tcPr>
          <w:p w14:paraId="659EF9BD" w14:textId="2D2F47B2" w:rsidR="24C641DC" w:rsidRDefault="24C641DC" w:rsidP="085EE119">
            <w:pPr>
              <w:jc w:val="both"/>
            </w:pPr>
            <w:hyperlink r:id="rId128">
              <w:r w:rsidRPr="085EE119">
                <w:rPr>
                  <w:rStyle w:val="Hyperlink"/>
                  <w:lang w:val="en-US"/>
                </w:rPr>
                <w:t>Andy Burnham seeks to bridge gap with nervous business community</w:t>
              </w:r>
            </w:hyperlink>
          </w:p>
        </w:tc>
      </w:tr>
      <w:tr w:rsidR="085EE119" w14:paraId="21D8215A" w14:textId="77777777" w:rsidTr="2AC19007">
        <w:trPr>
          <w:trHeight w:val="300"/>
        </w:trPr>
        <w:tc>
          <w:tcPr>
            <w:tcW w:w="776" w:type="dxa"/>
            <w:tcMar>
              <w:top w:w="29" w:type="dxa"/>
              <w:left w:w="115" w:type="dxa"/>
              <w:bottom w:w="29" w:type="dxa"/>
              <w:right w:w="115" w:type="dxa"/>
            </w:tcMar>
          </w:tcPr>
          <w:p w14:paraId="6FB0B8CC" w14:textId="774D7071" w:rsidR="1BB0B1FF" w:rsidRDefault="1BB0B1FF" w:rsidP="085EE119">
            <w:pPr>
              <w:jc w:val="both"/>
            </w:pPr>
            <w:r w:rsidRPr="085EE119">
              <w:rPr>
                <w:sz w:val="20"/>
                <w:szCs w:val="20"/>
              </w:rPr>
              <w:t>26/08</w:t>
            </w:r>
          </w:p>
        </w:tc>
        <w:tc>
          <w:tcPr>
            <w:tcW w:w="12322" w:type="dxa"/>
            <w:gridSpan w:val="2"/>
            <w:tcMar>
              <w:top w:w="29" w:type="dxa"/>
              <w:left w:w="115" w:type="dxa"/>
              <w:bottom w:w="29" w:type="dxa"/>
              <w:right w:w="115" w:type="dxa"/>
            </w:tcMar>
          </w:tcPr>
          <w:p w14:paraId="025027EE" w14:textId="6D8435E0" w:rsidR="1BB0B1FF" w:rsidRDefault="1BB0B1FF" w:rsidP="085EE119">
            <w:pPr>
              <w:jc w:val="both"/>
            </w:pPr>
            <w:r w:rsidRPr="085EE119">
              <w:rPr>
                <w:sz w:val="20"/>
                <w:szCs w:val="20"/>
              </w:rPr>
              <w:t>JK vyriausybė skirs pirmuosius 10 mlrd. svarų sterlingų iš 39 mlrd. svarų sterlingų socialinio ir įperkamo būsto programos 33 organizacijoms – daugiausia būsto asociacijoms, taip pat kai kurioms savivaldybėms. Už šias lėšas numatoma pastatyti apie 70 tūkst. būstų, iš kurių maždaug 60 proc. bus skirti socialinei nuomai. Nors ministras pirmininkas Andy Burnham anksčiau siekė didesnę programos dalį skirti savivaldybių būsto statybai, pirmuoju etapu iš esmės bus išlaikytas esamas finansavimo modelis, tačiau vėlesniuose etapuose numatoma didinti savivaldybių vaidmenį. Vyriausybė taip pat svarsto galimybę suteikti Anglijos merams teisę savo regionuose laikinai sustabdyti arba apriboti „Right to Buy“ programą. Per metus iki kovo savivaldybių būstų pardavimų skaičius beveik padvigubėjo ir pasiekė 14 275, o socialinei nuomai skirtų būstų pradėta statyti mažiau nei 12 000. Jau numatytais pakeitimais minimalus nuomos laikotarpis, suteikiantis teisę įsigyti būstą pagal „Right to Buy“, ilginamas nuo trejų iki dešimties metų, o naujai pastatyti socialiniai būstai 35 metus negalėtų būti parduodami pagal šią programą.</w:t>
            </w:r>
          </w:p>
        </w:tc>
        <w:tc>
          <w:tcPr>
            <w:tcW w:w="2148" w:type="dxa"/>
            <w:tcMar>
              <w:top w:w="29" w:type="dxa"/>
              <w:left w:w="115" w:type="dxa"/>
              <w:bottom w:w="29" w:type="dxa"/>
              <w:right w:w="115" w:type="dxa"/>
            </w:tcMar>
          </w:tcPr>
          <w:p w14:paraId="6A7140B0" w14:textId="55AEC82E" w:rsidR="085EE119" w:rsidRDefault="085EE119" w:rsidP="085EE119">
            <w:pPr>
              <w:jc w:val="both"/>
              <w:rPr>
                <w:lang w:val="en-US"/>
              </w:rPr>
            </w:pPr>
          </w:p>
        </w:tc>
      </w:tr>
      <w:tr w:rsidR="085EE119" w14:paraId="570F276F" w14:textId="77777777" w:rsidTr="2AC19007">
        <w:trPr>
          <w:trHeight w:val="300"/>
        </w:trPr>
        <w:tc>
          <w:tcPr>
            <w:tcW w:w="776" w:type="dxa"/>
            <w:tcMar>
              <w:top w:w="29" w:type="dxa"/>
              <w:left w:w="115" w:type="dxa"/>
              <w:bottom w:w="29" w:type="dxa"/>
              <w:right w:w="115" w:type="dxa"/>
            </w:tcMar>
          </w:tcPr>
          <w:p w14:paraId="74DEC8C8" w14:textId="4F69ACA2" w:rsidR="7BCB24C8" w:rsidRDefault="7BCB24C8" w:rsidP="085EE119">
            <w:pPr>
              <w:jc w:val="both"/>
            </w:pPr>
            <w:r w:rsidRPr="085EE119">
              <w:rPr>
                <w:sz w:val="20"/>
                <w:szCs w:val="20"/>
              </w:rPr>
              <w:t>27/08</w:t>
            </w:r>
          </w:p>
        </w:tc>
        <w:tc>
          <w:tcPr>
            <w:tcW w:w="12322" w:type="dxa"/>
            <w:gridSpan w:val="2"/>
            <w:tcMar>
              <w:top w:w="29" w:type="dxa"/>
              <w:left w:w="115" w:type="dxa"/>
              <w:bottom w:w="29" w:type="dxa"/>
              <w:right w:w="115" w:type="dxa"/>
            </w:tcMar>
          </w:tcPr>
          <w:p w14:paraId="1BC52D7A" w14:textId="0EFE9184" w:rsidR="7BCB24C8" w:rsidRDefault="54F09EBD" w:rsidP="085EE119">
            <w:pPr>
              <w:jc w:val="both"/>
            </w:pPr>
            <w:r w:rsidRPr="2AC19007">
              <w:rPr>
                <w:sz w:val="20"/>
                <w:szCs w:val="20"/>
              </w:rPr>
              <w:t>Būsto rinka ir hipotekos paskolų prieinamumas. Padidėjusios hipotekos paskolų palūkanų normos pablogino būsto įperkamumą UK: palyginti su metų pradžia, norint įsigyti tokios pačios vertės būstą, pirkėjams vidutiniškai reikia 18,2 tūkst. svarų sterlingų didesnio pradinio įnašo, o Londone – apie 35,5 tūkst. svarų sterlingų didesnio. Vidutinės fiksuotos hipotekos paskolų palūkanų normos šiuo metu siekia apie 4,8 proc., todėl pirkėjas, anksčiau galėjęs pasiskolinti 200 tūkst. svarų sterlingų už tokią pačią mėnesio įmoką, dabar galėtų pasiskolinti apie 9 proc. mažiau. Nepaisant prastesnio būsto įperkamumo, rugpjūčio pabaigoje pasirodė pirmųjų rinkos aktyvumo atsigavimo požymių – „Zoopla“ duomenimis, per keturias savaites būsto paieškų skaičius išaugo 7 proc. Liepą būsto kainos buvo 0,9 proc. didesnės nei prieš metus, o parduodamų būstų pasiūla per metus išaugo 5 proc.</w:t>
            </w:r>
          </w:p>
        </w:tc>
        <w:tc>
          <w:tcPr>
            <w:tcW w:w="2148" w:type="dxa"/>
            <w:tcMar>
              <w:top w:w="29" w:type="dxa"/>
              <w:left w:w="115" w:type="dxa"/>
              <w:bottom w:w="29" w:type="dxa"/>
              <w:right w:w="115" w:type="dxa"/>
            </w:tcMar>
          </w:tcPr>
          <w:p w14:paraId="47916415" w14:textId="7F1E3247" w:rsidR="7BCB24C8" w:rsidRDefault="7BCB24C8" w:rsidP="085EE119">
            <w:pPr>
              <w:jc w:val="both"/>
            </w:pPr>
            <w:hyperlink r:id="rId129">
              <w:r w:rsidRPr="2AC19007">
                <w:rPr>
                  <w:rStyle w:val="Hyperlink"/>
                  <w:lang w:val="en-US"/>
                </w:rPr>
                <w:t>London homebuyers need an extra £35,500 in deposit to make up for mortgage rate rises</w:t>
              </w:r>
            </w:hyperlink>
          </w:p>
          <w:p w14:paraId="00CB1073" w14:textId="0AE75C8B" w:rsidR="7BCB24C8" w:rsidRDefault="2292A2DD" w:rsidP="085EE119">
            <w:pPr>
              <w:jc w:val="both"/>
            </w:pPr>
            <w:hyperlink r:id="rId130">
              <w:r w:rsidRPr="2AC19007">
                <w:rPr>
                  <w:rStyle w:val="Hyperlink"/>
                  <w:lang w:val="en-US"/>
                </w:rPr>
                <w:t>London homebuyers need an extra £35,500 in deposit to make up for mortgage rate rises</w:t>
              </w:r>
            </w:hyperlink>
          </w:p>
        </w:tc>
      </w:tr>
      <w:tr w:rsidR="085EE119" w14:paraId="6C52FABA" w14:textId="77777777" w:rsidTr="2AC19007">
        <w:trPr>
          <w:trHeight w:val="300"/>
        </w:trPr>
        <w:tc>
          <w:tcPr>
            <w:tcW w:w="776" w:type="dxa"/>
            <w:tcMar>
              <w:top w:w="29" w:type="dxa"/>
              <w:left w:w="115" w:type="dxa"/>
              <w:bottom w:w="29" w:type="dxa"/>
              <w:right w:w="115" w:type="dxa"/>
            </w:tcMar>
          </w:tcPr>
          <w:p w14:paraId="3D30C9AA" w14:textId="71439F92" w:rsidR="3F345CE1" w:rsidRDefault="3F345CE1" w:rsidP="085EE119">
            <w:pPr>
              <w:jc w:val="both"/>
            </w:pPr>
            <w:r w:rsidRPr="085EE119">
              <w:rPr>
                <w:sz w:val="20"/>
                <w:szCs w:val="20"/>
              </w:rPr>
              <w:t>27/08</w:t>
            </w:r>
          </w:p>
        </w:tc>
        <w:tc>
          <w:tcPr>
            <w:tcW w:w="12322" w:type="dxa"/>
            <w:gridSpan w:val="2"/>
            <w:tcMar>
              <w:top w:w="29" w:type="dxa"/>
              <w:left w:w="115" w:type="dxa"/>
              <w:bottom w:w="29" w:type="dxa"/>
              <w:right w:w="115" w:type="dxa"/>
            </w:tcMar>
          </w:tcPr>
          <w:p w14:paraId="6D43D066" w14:textId="2A5036A9" w:rsidR="3F345CE1" w:rsidRDefault="3F345CE1" w:rsidP="085EE119">
            <w:pPr>
              <w:jc w:val="both"/>
            </w:pPr>
            <w:r w:rsidRPr="085EE119">
              <w:rPr>
                <w:sz w:val="20"/>
                <w:szCs w:val="20"/>
              </w:rPr>
              <w:t xml:space="preserve">„Thames Water“ ateitis išlieka neaiški, vyriausybei svarstant kreditorių siūlomą restruktūrizavimą arba laikiną didžiausios UK vandens tiekimo bendrovės perėmimą valstybės žinion. 16 mln. vartotojų aptarnaujanti ir apie 20 mlrd. svarų sterlingų skolų turinti bendrovė toliau susiduria su likvidumo problemomis. Į konsorciumą „London &amp; Valley Water“ susibūrę kreditoriai siūlo perimti bendrovės kontrolę, restruktūrizuoti jos finansus, suteikti vyriausybei daugiau įtakos jos valdymui ir iki 2030 m. galbūt vėl įtraukti bendrovės akcijas į biržos prekybos sąrašus. Tačiau prieš suteikdami dar 2 mlrd. svarų sterlingų skubaus finansavimo, kurio gali prireikti jau spalį, kreditoriai siekia užsitikrinti, kad vyriausybė tebėra pasirengusi svarstyti </w:t>
            </w:r>
            <w:r w:rsidRPr="085EE119">
              <w:rPr>
                <w:sz w:val="20"/>
                <w:szCs w:val="20"/>
              </w:rPr>
              <w:lastRenderedPageBreak/>
              <w:t>rinkos principais grindžiamą sprendimą. Ministras Pirmininkas Andy Burnhamas anksčiau pasisakė už didesnę viešojo sektoriaus kontrolę, tačiau sprendimas dėl bendrovės ateities gali būti atidėtas iki spalio pabaigos. Alternatyva – laikinas bendrovės perėmimas valstybės žinion taikant specialų administravimo režimą, pagal kurį būtų sustabdyti skolos ir palūkanų mokėjimai ir daugiau lėšų būtų galima skirti infrastruktūrai.</w:t>
            </w:r>
          </w:p>
        </w:tc>
        <w:tc>
          <w:tcPr>
            <w:tcW w:w="2148" w:type="dxa"/>
            <w:tcMar>
              <w:top w:w="29" w:type="dxa"/>
              <w:left w:w="115" w:type="dxa"/>
              <w:bottom w:w="29" w:type="dxa"/>
              <w:right w:w="115" w:type="dxa"/>
            </w:tcMar>
          </w:tcPr>
          <w:p w14:paraId="50F429AB" w14:textId="24CD5982" w:rsidR="3F345CE1" w:rsidRDefault="3F345CE1" w:rsidP="085EE119">
            <w:pPr>
              <w:jc w:val="both"/>
            </w:pPr>
            <w:hyperlink r:id="rId131">
              <w:r w:rsidRPr="2AC19007">
                <w:rPr>
                  <w:rStyle w:val="Hyperlink"/>
                  <w:lang w:val="en-US"/>
                </w:rPr>
                <w:t xml:space="preserve">Thames Water creditors and </w:t>
              </w:r>
              <w:r w:rsidRPr="2AC19007">
                <w:rPr>
                  <w:rStyle w:val="Hyperlink"/>
                  <w:lang w:val="en-US"/>
                </w:rPr>
                <w:lastRenderedPageBreak/>
                <w:t>government in stand-off over future</w:t>
              </w:r>
            </w:hyperlink>
          </w:p>
          <w:p w14:paraId="0693AA77" w14:textId="22866C80" w:rsidR="2BE8DDCA" w:rsidRDefault="2BE8DDCA" w:rsidP="085EE119">
            <w:pPr>
              <w:jc w:val="both"/>
            </w:pPr>
            <w:hyperlink r:id="rId132">
              <w:r w:rsidRPr="085EE119">
                <w:rPr>
                  <w:rStyle w:val="Hyperlink"/>
                </w:rPr>
                <w:t>Andy Burnham compromises on council homes plan</w:t>
              </w:r>
            </w:hyperlink>
          </w:p>
        </w:tc>
      </w:tr>
      <w:tr w:rsidR="2AC19007" w14:paraId="7CE0ACDB" w14:textId="77777777" w:rsidTr="2AC19007">
        <w:trPr>
          <w:trHeight w:val="300"/>
        </w:trPr>
        <w:tc>
          <w:tcPr>
            <w:tcW w:w="776" w:type="dxa"/>
            <w:tcMar>
              <w:top w:w="29" w:type="dxa"/>
              <w:left w:w="115" w:type="dxa"/>
              <w:bottom w:w="29" w:type="dxa"/>
              <w:right w:w="115" w:type="dxa"/>
            </w:tcMar>
          </w:tcPr>
          <w:p w14:paraId="61A2538B" w14:textId="1DFA82F1" w:rsidR="57FC5A32" w:rsidRDefault="57FC5A32" w:rsidP="2AC19007">
            <w:pPr>
              <w:jc w:val="both"/>
            </w:pPr>
            <w:r w:rsidRPr="2AC19007">
              <w:rPr>
                <w:sz w:val="20"/>
                <w:szCs w:val="20"/>
              </w:rPr>
              <w:lastRenderedPageBreak/>
              <w:t>27/08</w:t>
            </w:r>
          </w:p>
        </w:tc>
        <w:tc>
          <w:tcPr>
            <w:tcW w:w="12322" w:type="dxa"/>
            <w:gridSpan w:val="2"/>
            <w:tcMar>
              <w:top w:w="29" w:type="dxa"/>
              <w:left w:w="115" w:type="dxa"/>
              <w:bottom w:w="29" w:type="dxa"/>
              <w:right w:w="115" w:type="dxa"/>
            </w:tcMar>
          </w:tcPr>
          <w:p w14:paraId="4C6EBC6B" w14:textId="24008802" w:rsidR="57FC5A32" w:rsidRDefault="57FC5A32" w:rsidP="2AC19007">
            <w:pPr>
              <w:jc w:val="both"/>
            </w:pPr>
            <w:r w:rsidRPr="2AC19007">
              <w:rPr>
                <w:sz w:val="20"/>
                <w:szCs w:val="20"/>
              </w:rPr>
              <w:t>Mančesteryje įsikūrusi kino industrijos programinės įrangos bendrovė „Unique X“ svarsto 2027 m. surengti pirminį viešą akcijų siūlymą (IPO) Londone, per kurį galėtų pritraukti apie 100 mln. svarų sterlingų, bendrovę įvertinant maždaug 300 mln. svarų sterlingų. Galimas technologijų bendrovės listingavimas būtų teigiamas signalas Londono kapitalo rinkai, kurioje IPO aktyvumas išlieka nedidelis – pirmąjį 2026 m. pusmetį UK biržose debiutavo tik septynios bendrovės, iš viso pritraukusios 577 mln. svarų sterlingų. Vyriausybė siekia paskatinti bendroves rinktis Londoną, be kita ko, naujiems IPO taikydama laikinas žyminio mokesčio lengvatas ir mažindama reikalavimus dėl laisvai prekiaujamų akcijų dalies. Vis dėlto keli planuoti IPO buvo atidėti, o didėjantis UK bendrovių įsigijimų užsienio investuotojų skaičius išlieka iššūkiu Londono kapitalo rinkos konkurencingumui.</w:t>
            </w:r>
          </w:p>
        </w:tc>
        <w:tc>
          <w:tcPr>
            <w:tcW w:w="2148" w:type="dxa"/>
            <w:tcMar>
              <w:top w:w="29" w:type="dxa"/>
              <w:left w:w="115" w:type="dxa"/>
              <w:bottom w:w="29" w:type="dxa"/>
              <w:right w:w="115" w:type="dxa"/>
            </w:tcMar>
          </w:tcPr>
          <w:p w14:paraId="3EE69124" w14:textId="7D344684" w:rsidR="57FC5A32" w:rsidRDefault="57FC5A32" w:rsidP="2AC19007">
            <w:pPr>
              <w:jc w:val="both"/>
            </w:pPr>
            <w:hyperlink r:id="rId133">
              <w:r w:rsidRPr="2AC19007">
                <w:rPr>
                  <w:rStyle w:val="Hyperlink"/>
                  <w:lang w:val="en-US"/>
                </w:rPr>
                <w:t>Cinema software group explores London listing</w:t>
              </w:r>
            </w:hyperlink>
          </w:p>
        </w:tc>
      </w:tr>
      <w:tr w:rsidR="2AC19007" w14:paraId="26A9EC17" w14:textId="77777777" w:rsidTr="2AC19007">
        <w:trPr>
          <w:trHeight w:val="300"/>
        </w:trPr>
        <w:tc>
          <w:tcPr>
            <w:tcW w:w="776" w:type="dxa"/>
            <w:tcMar>
              <w:top w:w="29" w:type="dxa"/>
              <w:left w:w="115" w:type="dxa"/>
              <w:bottom w:w="29" w:type="dxa"/>
              <w:right w:w="115" w:type="dxa"/>
            </w:tcMar>
          </w:tcPr>
          <w:p w14:paraId="2B9CE2B7" w14:textId="25D0814A" w:rsidR="388C2113" w:rsidRDefault="388C2113" w:rsidP="2AC19007">
            <w:pPr>
              <w:jc w:val="both"/>
            </w:pPr>
            <w:r w:rsidRPr="2AC19007">
              <w:rPr>
                <w:sz w:val="20"/>
                <w:szCs w:val="20"/>
              </w:rPr>
              <w:t>27/08</w:t>
            </w:r>
          </w:p>
        </w:tc>
        <w:tc>
          <w:tcPr>
            <w:tcW w:w="12322" w:type="dxa"/>
            <w:gridSpan w:val="2"/>
            <w:tcMar>
              <w:top w:w="29" w:type="dxa"/>
              <w:left w:w="115" w:type="dxa"/>
              <w:bottom w:w="29" w:type="dxa"/>
              <w:right w:w="115" w:type="dxa"/>
            </w:tcMar>
          </w:tcPr>
          <w:p w14:paraId="0CA75A24" w14:textId="251CE76B" w:rsidR="388C2113" w:rsidRDefault="388C2113" w:rsidP="2AC19007">
            <w:pPr>
              <w:jc w:val="both"/>
            </w:pPr>
            <w:r w:rsidRPr="2AC19007">
              <w:rPr>
                <w:sz w:val="20"/>
                <w:szCs w:val="20"/>
              </w:rPr>
              <w:t>2026 m. balandžio–birželio mėn. 16–24 metų jaunuolių, kurie nedirbo, nesimokė ir nedalyvavo profesiniame mokyme (NEET), skaičius UK sumažėjo nuo 1,01 mln. iki 981 tūkst., tačiau išliko antras didžiausias per beveik 13 metų ir buvo 30 tūkst. didesnis nei prieš metus. NEET grupei priklauso 13 proc. šio amžiaus jaunuolių – daugiau nei vidutiniškai EU, o apie 60 proc. šios grupės jaunuolių niekada nėra dirbę. Vyriausybė rengiasi tolesnei socialinės apsaugos sistemos reformai, kuria siekiama didinti jaunimo užimtumą ir profesinio mokymo galimybes bei stiprinti paramą įsidarbinimui ir grįžimui į darbo rinką. Vyriausybės užsakytos Alan Milburn apžvalgos galutinės išvados, kuriose turėtų būti pasiūlyti platesni socialinės apsaugos sistemos pakeitimai, bus paskelbtos spalio viduryje.</w:t>
            </w:r>
          </w:p>
        </w:tc>
        <w:tc>
          <w:tcPr>
            <w:tcW w:w="2148" w:type="dxa"/>
            <w:tcMar>
              <w:top w:w="29" w:type="dxa"/>
              <w:left w:w="115" w:type="dxa"/>
              <w:bottom w:w="29" w:type="dxa"/>
              <w:right w:w="115" w:type="dxa"/>
            </w:tcMar>
          </w:tcPr>
          <w:p w14:paraId="7D146148" w14:textId="267E5FB0" w:rsidR="388C2113" w:rsidRDefault="388C2113" w:rsidP="2AC19007">
            <w:pPr>
              <w:jc w:val="both"/>
            </w:pPr>
            <w:hyperlink r:id="rId134">
              <w:r w:rsidRPr="2AC19007">
                <w:rPr>
                  <w:rStyle w:val="Hyperlink"/>
                  <w:lang w:val="en-US"/>
                </w:rPr>
                <w:t>‘Neets’ numbers dip below 1mn as Andy Burnham prepares fresh push on welfare reform</w:t>
              </w:r>
            </w:hyperlink>
          </w:p>
        </w:tc>
      </w:tr>
      <w:tr w:rsidR="2AC19007" w14:paraId="4EF5C6A9" w14:textId="77777777" w:rsidTr="2AC19007">
        <w:trPr>
          <w:trHeight w:val="300"/>
        </w:trPr>
        <w:tc>
          <w:tcPr>
            <w:tcW w:w="776" w:type="dxa"/>
            <w:tcMar>
              <w:top w:w="29" w:type="dxa"/>
              <w:left w:w="115" w:type="dxa"/>
              <w:bottom w:w="29" w:type="dxa"/>
              <w:right w:w="115" w:type="dxa"/>
            </w:tcMar>
          </w:tcPr>
          <w:p w14:paraId="42400347" w14:textId="16BA9140" w:rsidR="5976F147" w:rsidRDefault="5976F147" w:rsidP="2AC19007">
            <w:pPr>
              <w:jc w:val="both"/>
            </w:pPr>
            <w:r w:rsidRPr="2AC19007">
              <w:rPr>
                <w:sz w:val="20"/>
                <w:szCs w:val="20"/>
              </w:rPr>
              <w:t>27/08</w:t>
            </w:r>
          </w:p>
        </w:tc>
        <w:tc>
          <w:tcPr>
            <w:tcW w:w="12322" w:type="dxa"/>
            <w:gridSpan w:val="2"/>
            <w:tcMar>
              <w:top w:w="29" w:type="dxa"/>
              <w:left w:w="115" w:type="dxa"/>
              <w:bottom w:w="29" w:type="dxa"/>
              <w:right w:w="115" w:type="dxa"/>
            </w:tcMar>
          </w:tcPr>
          <w:p w14:paraId="52726FD1" w14:textId="734435C0" w:rsidR="5976F147" w:rsidRDefault="5976F147" w:rsidP="2AC19007">
            <w:pPr>
              <w:jc w:val="both"/>
            </w:pPr>
            <w:r w:rsidRPr="2AC19007">
              <w:rPr>
                <w:sz w:val="20"/>
                <w:szCs w:val="20"/>
              </w:rPr>
              <w:t>2024–2025 mokestiniais metais UK privataus kapitalo sektoriaus darbuotojams išmokėto carried interest (jiems tenkančios sėkmingų investicijų pelno dalies) suma išaugo daugiau kaip 50 proc. – iki 5,4 mlrd. svarų sterlingų, ir pasiekė aukščiausią lygį nuo 2017 m., kai HMRC pradėjo rinkti šiuos duomenis. Išmokas gavo beveik 4 tūkst. sektoriaus darbuotojų, tačiau 3,5 mlrd. svarų sterlingų teko vos 230 asmenų. Išmokų augimą iš dalies lėmė privataus kapitalo fondų sprendimai paspartinti investicijų pardavimą ir realizuoti pelną prieš įsigaliojant carried interest apmokestinimo pakeitimams. Šiam pelnui taikomas mokesčio tarifas nuo 28 proc. padidintas iki 32 proc. 2025 m. balandį, o nuo 2026 m. balandžio – iki 34 proc.</w:t>
            </w:r>
          </w:p>
        </w:tc>
        <w:tc>
          <w:tcPr>
            <w:tcW w:w="2148" w:type="dxa"/>
            <w:tcMar>
              <w:top w:w="29" w:type="dxa"/>
              <w:left w:w="115" w:type="dxa"/>
              <w:bottom w:w="29" w:type="dxa"/>
              <w:right w:w="115" w:type="dxa"/>
            </w:tcMar>
          </w:tcPr>
          <w:p w14:paraId="336F0CB7" w14:textId="696D0D29" w:rsidR="5976F147" w:rsidRDefault="5976F147" w:rsidP="2AC19007">
            <w:pPr>
              <w:jc w:val="both"/>
            </w:pPr>
            <w:hyperlink r:id="rId135">
              <w:r w:rsidRPr="2AC19007">
                <w:rPr>
                  <w:rStyle w:val="Hyperlink"/>
                  <w:lang w:val="en-US"/>
                </w:rPr>
                <w:t>Private equity carried interest payouts soared ahead of UK tax changes</w:t>
              </w:r>
            </w:hyperlink>
          </w:p>
        </w:tc>
      </w:tr>
      <w:tr w:rsidR="2AC19007" w14:paraId="41B08144" w14:textId="77777777" w:rsidTr="2AC19007">
        <w:trPr>
          <w:trHeight w:val="300"/>
        </w:trPr>
        <w:tc>
          <w:tcPr>
            <w:tcW w:w="776" w:type="dxa"/>
            <w:tcMar>
              <w:top w:w="29" w:type="dxa"/>
              <w:left w:w="115" w:type="dxa"/>
              <w:bottom w:w="29" w:type="dxa"/>
              <w:right w:w="115" w:type="dxa"/>
            </w:tcMar>
          </w:tcPr>
          <w:p w14:paraId="3FAC5CE5" w14:textId="6A306F6C" w:rsidR="1CCC3612" w:rsidRDefault="1CCC3612" w:rsidP="2AC19007">
            <w:pPr>
              <w:jc w:val="both"/>
            </w:pPr>
            <w:r w:rsidRPr="2AC19007">
              <w:rPr>
                <w:sz w:val="20"/>
                <w:szCs w:val="20"/>
              </w:rPr>
              <w:t>27/08</w:t>
            </w:r>
          </w:p>
        </w:tc>
        <w:tc>
          <w:tcPr>
            <w:tcW w:w="12322" w:type="dxa"/>
            <w:gridSpan w:val="2"/>
            <w:tcMar>
              <w:top w:w="29" w:type="dxa"/>
              <w:left w:w="115" w:type="dxa"/>
              <w:bottom w:w="29" w:type="dxa"/>
              <w:right w:w="115" w:type="dxa"/>
            </w:tcMar>
          </w:tcPr>
          <w:p w14:paraId="4CB29E07" w14:textId="4B6B02CD" w:rsidR="1CCC3612" w:rsidRDefault="1CCC3612" w:rsidP="2AC19007">
            <w:pPr>
              <w:jc w:val="both"/>
            </w:pPr>
            <w:r w:rsidRPr="2AC19007">
              <w:rPr>
                <w:sz w:val="20"/>
                <w:szCs w:val="20"/>
              </w:rPr>
              <w:t>2024–2025 mokestiniais metais UK pajamos iš kapitalo prieaugio mokesčio (CGT) pasiekė rekordinius 24,2 mlrd. svarų sterlingų – 89 proc. daugiau nei ankstesniais metais ir aukščiausią lygį nuo 1987 m. CGT mokėtojų skaičius išaugo 45 proc. – iki 584 tūkst., o bendra deklaruoto kapitalo prieaugio vertė padidėjo 82 proc. – iki 127 mlrd. svarų sterlingų. HMRC duomenimis, rekordinį mokesčio pajamų augimą iš dalies lėmė 2024 m. biudžete padidinti CGT tarifai ir nuosekliai mažinta metinė neapmokestinamoji suma, kuri 2024–2025 m. buvo sumažinta iki 3 tūkst. svarų sterlingų. Duomenys paskelbti vyriausybei svarstant tolesnius mokesčių pakeitimus prieš spalio mėn. biudžetą, tačiau pareigūnai įspėja, kad tolesnis CGT tarifų didinimas galėtų paskatinti mokesčių mokėtojus imtis priemonių savo mokestinei naštai sumažinti ir dėl to ne padidinti, o sumažinti valstybės pajamas.</w:t>
            </w:r>
          </w:p>
        </w:tc>
        <w:tc>
          <w:tcPr>
            <w:tcW w:w="2148" w:type="dxa"/>
            <w:tcMar>
              <w:top w:w="29" w:type="dxa"/>
              <w:left w:w="115" w:type="dxa"/>
              <w:bottom w:w="29" w:type="dxa"/>
              <w:right w:w="115" w:type="dxa"/>
            </w:tcMar>
          </w:tcPr>
          <w:p w14:paraId="3A53DEC5" w14:textId="6E033549" w:rsidR="1CCC3612" w:rsidRDefault="1CCC3612" w:rsidP="2AC19007">
            <w:pPr>
              <w:jc w:val="both"/>
            </w:pPr>
            <w:hyperlink r:id="rId136">
              <w:r w:rsidRPr="2AC19007">
                <w:rPr>
                  <w:rStyle w:val="Hyperlink"/>
                  <w:lang w:val="en-US"/>
                </w:rPr>
                <w:t>HMRC reports record capital gains tax haul after Reeves’ rate rise</w:t>
              </w:r>
            </w:hyperlink>
          </w:p>
        </w:tc>
      </w:tr>
      <w:tr w:rsidR="2AC19007" w14:paraId="1B229939" w14:textId="77777777" w:rsidTr="2AC19007">
        <w:trPr>
          <w:trHeight w:val="300"/>
        </w:trPr>
        <w:tc>
          <w:tcPr>
            <w:tcW w:w="776" w:type="dxa"/>
            <w:tcMar>
              <w:top w:w="29" w:type="dxa"/>
              <w:left w:w="115" w:type="dxa"/>
              <w:bottom w:w="29" w:type="dxa"/>
              <w:right w:w="115" w:type="dxa"/>
            </w:tcMar>
          </w:tcPr>
          <w:p w14:paraId="13772351" w14:textId="015E12FD" w:rsidR="07FBBDA3" w:rsidRDefault="07FBBDA3" w:rsidP="2AC19007">
            <w:pPr>
              <w:jc w:val="both"/>
            </w:pPr>
            <w:r w:rsidRPr="2AC19007">
              <w:rPr>
                <w:sz w:val="20"/>
                <w:szCs w:val="20"/>
              </w:rPr>
              <w:t>28/08</w:t>
            </w:r>
          </w:p>
        </w:tc>
        <w:tc>
          <w:tcPr>
            <w:tcW w:w="12322" w:type="dxa"/>
            <w:gridSpan w:val="2"/>
            <w:tcMar>
              <w:top w:w="29" w:type="dxa"/>
              <w:left w:w="115" w:type="dxa"/>
              <w:bottom w:w="29" w:type="dxa"/>
              <w:right w:w="115" w:type="dxa"/>
            </w:tcMar>
          </w:tcPr>
          <w:p w14:paraId="743D4406" w14:textId="09CA8A63" w:rsidR="07FBBDA3" w:rsidRDefault="07FBBDA3" w:rsidP="2AC19007">
            <w:pPr>
              <w:jc w:val="both"/>
            </w:pPr>
            <w:r w:rsidRPr="2AC19007">
              <w:rPr>
                <w:sz w:val="20"/>
                <w:szCs w:val="20"/>
              </w:rPr>
              <w:t xml:space="preserve">Mažesnė grynosios migracijos prognozė prieš spalio mėn. biudžetą galėtų sumažinti vyriausybės fiskalinį rezervą iki 4 mlrd. svarų sterlingų, skaičiuoja Institute for Fiscal Studies (IFS). Sugriežtinus darbo, studijų ir šeimos vizų išdavimo sąlygas, sumažėjo į UK atvykstančių migrantų skaičius, ypač pagal kvalifikuotų darbuotojų bei sveikatos ir socialinės priežiūros darbuotojų vizų programas. Kadangi migracija yra svarbus UK darbo jėgos augimo šaltinis, </w:t>
            </w:r>
            <w:r w:rsidRPr="2AC19007">
              <w:rPr>
                <w:sz w:val="20"/>
                <w:szCs w:val="20"/>
              </w:rPr>
              <w:lastRenderedPageBreak/>
              <w:t>mažesnė grynoji migracija reiškia lėtesnį darbingo amžiaus gyventojų skaičiaus ir ekonomikos augimą bei mažesnes mokestines pajamas. IFS vertinimu, dėl to vyriausybės fiskalinis rezervas galėtų sumažėti 1–4 mlrd. svarų sterlingų. Papildomą spaudimą viešiesiems finansams daro išaugusios skolinimosi išlaidos – „Pantheon Macroeconomics“ skaičiavimu, dėl jų fiskalinis rezervas gali sumažėti nuo beveik 24 mlrd. svarų sterlingų kovą iki maždaug 15 mlrd. svarų sterlingų.</w:t>
            </w:r>
          </w:p>
        </w:tc>
        <w:tc>
          <w:tcPr>
            <w:tcW w:w="2148" w:type="dxa"/>
            <w:tcMar>
              <w:top w:w="29" w:type="dxa"/>
              <w:left w:w="115" w:type="dxa"/>
              <w:bottom w:w="29" w:type="dxa"/>
              <w:right w:w="115" w:type="dxa"/>
            </w:tcMar>
          </w:tcPr>
          <w:p w14:paraId="2BF8B4C3" w14:textId="66FADEB2" w:rsidR="07FBBDA3" w:rsidRDefault="07FBBDA3" w:rsidP="2AC19007">
            <w:pPr>
              <w:jc w:val="both"/>
            </w:pPr>
            <w:hyperlink r:id="rId137">
              <w:r w:rsidRPr="2AC19007">
                <w:rPr>
                  <w:rStyle w:val="Hyperlink"/>
                </w:rPr>
                <w:t xml:space="preserve">Healey could suffer £4bn headroom hit because of lower </w:t>
              </w:r>
              <w:r w:rsidRPr="2AC19007">
                <w:rPr>
                  <w:rStyle w:val="Hyperlink"/>
                </w:rPr>
                <w:lastRenderedPageBreak/>
                <w:t>immigration forecasts</w:t>
              </w:r>
            </w:hyperlink>
          </w:p>
        </w:tc>
      </w:tr>
      <w:tr w:rsidR="2AC19007" w14:paraId="70DD4E3D" w14:textId="77777777" w:rsidTr="2AC19007">
        <w:trPr>
          <w:trHeight w:val="300"/>
        </w:trPr>
        <w:tc>
          <w:tcPr>
            <w:tcW w:w="776" w:type="dxa"/>
            <w:tcMar>
              <w:top w:w="29" w:type="dxa"/>
              <w:left w:w="115" w:type="dxa"/>
              <w:bottom w:w="29" w:type="dxa"/>
              <w:right w:w="115" w:type="dxa"/>
            </w:tcMar>
          </w:tcPr>
          <w:p w14:paraId="35D2F4C0" w14:textId="1E267938" w:rsidR="6BE265B7" w:rsidRDefault="6BE265B7" w:rsidP="2AC19007">
            <w:pPr>
              <w:jc w:val="both"/>
            </w:pPr>
            <w:r w:rsidRPr="2AC19007">
              <w:rPr>
                <w:sz w:val="20"/>
                <w:szCs w:val="20"/>
              </w:rPr>
              <w:lastRenderedPageBreak/>
              <w:t>31/08</w:t>
            </w:r>
          </w:p>
        </w:tc>
        <w:tc>
          <w:tcPr>
            <w:tcW w:w="12322" w:type="dxa"/>
            <w:gridSpan w:val="2"/>
            <w:tcMar>
              <w:top w:w="29" w:type="dxa"/>
              <w:left w:w="115" w:type="dxa"/>
              <w:bottom w:w="29" w:type="dxa"/>
              <w:right w:w="115" w:type="dxa"/>
            </w:tcMar>
          </w:tcPr>
          <w:p w14:paraId="6090C2FB" w14:textId="0DED10DF" w:rsidR="6BE265B7" w:rsidRDefault="6BE265B7" w:rsidP="2AC19007">
            <w:pPr>
              <w:jc w:val="both"/>
            </w:pPr>
            <w:r w:rsidRPr="2AC19007">
              <w:rPr>
                <w:sz w:val="20"/>
                <w:szCs w:val="20"/>
              </w:rPr>
              <w:t>Londono alternatyvioji investicijų rinka (Alternative Investment Market, AIM) toliau traukiasi dėl silpnos investuotojų paklausos, žemų bendrovių vertinimų ir konkurencijos su privačiu kapitalu. AIM kotiruojamų bendrovių skaičius sumažėjo nuo 1 694 bendrovių 2007 m. iki 605 bendrovių 2026 m., o bendra jų rinkos vertė – nuo 97,5 mlrd. iki 62 mlrd. svarų sterlingų. Šiais metais AIM įvyko vos du nauji pirminiai vieši akcijų siūlymai (IPO), o FTSE AIM All-Share indeksas per pastaruosius penkerius metus smuko apie 38 proc. Reaguodama į mažėjantį rinkos patrauklumą, Londono vertybinių popierių birža rugpjūtį sušvelnino dalį AIM taikomų reikalavimų, įskaitant reikalavimus dėl apyvartinio kapitalo ataskaitų ir įmonių valdysenos, taip pat supaprastino sąlygas užsienio biržose jau kotiruojamoms bendrovėms prisijungti prie AIM. Papildomą konkurenciją AIM sudaro PISCES – nauja prekybos platforma, suteikianti privačioms bendrovėms galimybę prekiauti savo akcijomis antrinėje rinkoje be viešo akcijų siūlymo.</w:t>
            </w:r>
          </w:p>
        </w:tc>
        <w:tc>
          <w:tcPr>
            <w:tcW w:w="2148" w:type="dxa"/>
            <w:tcMar>
              <w:top w:w="29" w:type="dxa"/>
              <w:left w:w="115" w:type="dxa"/>
              <w:bottom w:w="29" w:type="dxa"/>
              <w:right w:w="115" w:type="dxa"/>
            </w:tcMar>
          </w:tcPr>
          <w:p w14:paraId="3E198EB8" w14:textId="5716D1C2" w:rsidR="6BE265B7" w:rsidRDefault="6BE265B7" w:rsidP="2AC19007">
            <w:pPr>
              <w:jc w:val="both"/>
            </w:pPr>
            <w:hyperlink r:id="rId138">
              <w:r w:rsidRPr="2AC19007">
                <w:rPr>
                  <w:rStyle w:val="Hyperlink"/>
                </w:rPr>
                <w:t>London’s Aim market faces existential crisis</w:t>
              </w:r>
            </w:hyperlink>
          </w:p>
        </w:tc>
      </w:tr>
      <w:tr w:rsidR="085EE119" w14:paraId="5EEC7DC6" w14:textId="77777777" w:rsidTr="2AC19007">
        <w:trPr>
          <w:trHeight w:val="300"/>
        </w:trPr>
        <w:tc>
          <w:tcPr>
            <w:tcW w:w="776" w:type="dxa"/>
            <w:tcMar>
              <w:top w:w="29" w:type="dxa"/>
              <w:left w:w="115" w:type="dxa"/>
              <w:bottom w:w="29" w:type="dxa"/>
              <w:right w:w="115" w:type="dxa"/>
            </w:tcMar>
          </w:tcPr>
          <w:p w14:paraId="4FBDFEE7" w14:textId="4F383BCB" w:rsidR="085EE119" w:rsidRDefault="085EE119" w:rsidP="085EE119">
            <w:pPr>
              <w:jc w:val="both"/>
              <w:rPr>
                <w:sz w:val="20"/>
                <w:szCs w:val="20"/>
              </w:rPr>
            </w:pPr>
          </w:p>
        </w:tc>
        <w:tc>
          <w:tcPr>
            <w:tcW w:w="12322" w:type="dxa"/>
            <w:gridSpan w:val="2"/>
            <w:tcMar>
              <w:top w:w="29" w:type="dxa"/>
              <w:left w:w="115" w:type="dxa"/>
              <w:bottom w:w="29" w:type="dxa"/>
              <w:right w:w="115" w:type="dxa"/>
            </w:tcMar>
          </w:tcPr>
          <w:p w14:paraId="45FE17B8" w14:textId="27576E7D" w:rsidR="085EE119" w:rsidRDefault="085EE119" w:rsidP="085EE119">
            <w:pPr>
              <w:jc w:val="both"/>
              <w:rPr>
                <w:sz w:val="20"/>
                <w:szCs w:val="20"/>
              </w:rPr>
            </w:pPr>
          </w:p>
        </w:tc>
        <w:tc>
          <w:tcPr>
            <w:tcW w:w="2148" w:type="dxa"/>
            <w:tcMar>
              <w:top w:w="29" w:type="dxa"/>
              <w:left w:w="115" w:type="dxa"/>
              <w:bottom w:w="29" w:type="dxa"/>
              <w:right w:w="115" w:type="dxa"/>
            </w:tcMar>
          </w:tcPr>
          <w:p w14:paraId="63EB186C" w14:textId="1428C5E7" w:rsidR="085EE119" w:rsidRDefault="085EE119" w:rsidP="085EE119">
            <w:pPr>
              <w:jc w:val="both"/>
              <w:rPr>
                <w:color w:val="1155CC"/>
                <w:sz w:val="20"/>
                <w:szCs w:val="20"/>
                <w:u w:val="single"/>
              </w:rPr>
            </w:pPr>
          </w:p>
        </w:tc>
      </w:tr>
      <w:tr w:rsidR="002A5780" w14:paraId="22AB5E7C" w14:textId="77777777" w:rsidTr="2AC19007">
        <w:trPr>
          <w:trHeight w:val="41"/>
        </w:trPr>
        <w:tc>
          <w:tcPr>
            <w:tcW w:w="15246" w:type="dxa"/>
            <w:gridSpan w:val="4"/>
            <w:shd w:val="clear" w:color="auto" w:fill="DEEAF6"/>
            <w:tcMar>
              <w:top w:w="29" w:type="dxa"/>
              <w:left w:w="115" w:type="dxa"/>
              <w:bottom w:w="29" w:type="dxa"/>
              <w:right w:w="115" w:type="dxa"/>
            </w:tcMar>
          </w:tcPr>
          <w:p w14:paraId="000001CB" w14:textId="77777777" w:rsidR="002A5780" w:rsidRDefault="00D91955" w:rsidP="2AC19007">
            <w:pPr>
              <w:spacing w:after="0"/>
            </w:pPr>
            <w:r w:rsidRPr="2AC19007">
              <w:rPr>
                <w:b/>
                <w:bCs/>
              </w:rPr>
              <w:t>Strategijos ir naudingi dokumentai</w:t>
            </w:r>
          </w:p>
        </w:tc>
      </w:tr>
      <w:tr w:rsidR="002A5780" w14:paraId="6E6ECB80" w14:textId="77777777" w:rsidTr="2AC19007">
        <w:trPr>
          <w:trHeight w:val="41"/>
        </w:trPr>
        <w:tc>
          <w:tcPr>
            <w:tcW w:w="776" w:type="dxa"/>
            <w:tcMar>
              <w:top w:w="29" w:type="dxa"/>
              <w:left w:w="115" w:type="dxa"/>
              <w:bottom w:w="29" w:type="dxa"/>
              <w:right w:w="115" w:type="dxa"/>
            </w:tcMar>
          </w:tcPr>
          <w:p w14:paraId="000001CF"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1D0" w14:textId="77777777" w:rsidR="002A5780" w:rsidRDefault="00D91955">
            <w:pPr>
              <w:spacing w:after="0"/>
              <w:jc w:val="both"/>
              <w:rPr>
                <w:sz w:val="20"/>
                <w:szCs w:val="20"/>
              </w:rPr>
            </w:pPr>
            <w:r>
              <w:rPr>
                <w:sz w:val="20"/>
                <w:szCs w:val="20"/>
              </w:rPr>
              <w:t>2025 m. Darbo teisių įstatymo teisinių ir ekonominių pasekmių vertinimas</w:t>
            </w:r>
          </w:p>
        </w:tc>
        <w:tc>
          <w:tcPr>
            <w:tcW w:w="2148" w:type="dxa"/>
            <w:tcMar>
              <w:top w:w="29" w:type="dxa"/>
              <w:left w:w="115" w:type="dxa"/>
              <w:bottom w:w="29" w:type="dxa"/>
              <w:right w:w="115" w:type="dxa"/>
            </w:tcMar>
          </w:tcPr>
          <w:p w14:paraId="000001D2" w14:textId="77777777" w:rsidR="002A5780" w:rsidRDefault="00D91955">
            <w:pPr>
              <w:spacing w:after="0"/>
              <w:jc w:val="both"/>
              <w:rPr>
                <w:sz w:val="20"/>
                <w:szCs w:val="20"/>
              </w:rPr>
            </w:pPr>
            <w:hyperlink r:id="rId139">
              <w:r w:rsidRPr="4954557E">
                <w:rPr>
                  <w:color w:val="0563C1"/>
                  <w:sz w:val="20"/>
                  <w:szCs w:val="20"/>
                  <w:u w:val="single"/>
                </w:rPr>
                <w:t>GOV.UK</w:t>
              </w:r>
            </w:hyperlink>
          </w:p>
        </w:tc>
      </w:tr>
      <w:tr w:rsidR="002A5780" w14:paraId="27A9DA4F" w14:textId="77777777" w:rsidTr="2AC19007">
        <w:trPr>
          <w:trHeight w:val="41"/>
        </w:trPr>
        <w:tc>
          <w:tcPr>
            <w:tcW w:w="776" w:type="dxa"/>
            <w:tcMar>
              <w:top w:w="29" w:type="dxa"/>
              <w:left w:w="115" w:type="dxa"/>
              <w:bottom w:w="29" w:type="dxa"/>
              <w:right w:w="115" w:type="dxa"/>
            </w:tcMar>
          </w:tcPr>
          <w:p w14:paraId="000001D3"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D4" w14:textId="77777777" w:rsidR="002A5780" w:rsidRDefault="00D91955">
            <w:pPr>
              <w:spacing w:after="0"/>
              <w:jc w:val="both"/>
              <w:rPr>
                <w:sz w:val="20"/>
                <w:szCs w:val="20"/>
              </w:rPr>
            </w:pPr>
            <w:r>
              <w:rPr>
                <w:sz w:val="20"/>
                <w:szCs w:val="20"/>
              </w:rPr>
              <w:t>2026 m. JK ekonomikos prognozės</w:t>
            </w:r>
          </w:p>
        </w:tc>
        <w:tc>
          <w:tcPr>
            <w:tcW w:w="2148" w:type="dxa"/>
            <w:tcMar>
              <w:top w:w="29" w:type="dxa"/>
              <w:left w:w="115" w:type="dxa"/>
              <w:bottom w:w="29" w:type="dxa"/>
              <w:right w:w="115" w:type="dxa"/>
            </w:tcMar>
          </w:tcPr>
          <w:p w14:paraId="000001D6" w14:textId="77777777" w:rsidR="002A5780" w:rsidRDefault="00D91955">
            <w:pPr>
              <w:spacing w:after="0"/>
              <w:jc w:val="both"/>
              <w:rPr>
                <w:sz w:val="20"/>
                <w:szCs w:val="20"/>
              </w:rPr>
            </w:pPr>
            <w:hyperlink r:id="rId140">
              <w:r w:rsidRPr="4954557E">
                <w:rPr>
                  <w:color w:val="0563C1"/>
                  <w:sz w:val="20"/>
                  <w:szCs w:val="20"/>
                  <w:u w:val="single"/>
                </w:rPr>
                <w:t>GOV.UK</w:t>
              </w:r>
            </w:hyperlink>
          </w:p>
        </w:tc>
      </w:tr>
      <w:tr w:rsidR="002A5780" w14:paraId="6EA16B01" w14:textId="77777777" w:rsidTr="2AC19007">
        <w:trPr>
          <w:trHeight w:val="41"/>
        </w:trPr>
        <w:tc>
          <w:tcPr>
            <w:tcW w:w="776" w:type="dxa"/>
            <w:tcMar>
              <w:top w:w="29" w:type="dxa"/>
              <w:left w:w="115" w:type="dxa"/>
              <w:bottom w:w="29" w:type="dxa"/>
              <w:right w:w="115" w:type="dxa"/>
            </w:tcMar>
          </w:tcPr>
          <w:p w14:paraId="000001D7"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D8" w14:textId="77777777" w:rsidR="002A5780" w:rsidRDefault="00D91955">
            <w:pPr>
              <w:spacing w:after="0"/>
              <w:jc w:val="both"/>
              <w:rPr>
                <w:sz w:val="20"/>
                <w:szCs w:val="20"/>
              </w:rPr>
            </w:pPr>
            <w:r>
              <w:rPr>
                <w:sz w:val="20"/>
                <w:szCs w:val="20"/>
              </w:rPr>
              <w:t>Apklausa apie DI taikymą inžinerinėje biologijoje</w:t>
            </w:r>
          </w:p>
        </w:tc>
        <w:tc>
          <w:tcPr>
            <w:tcW w:w="2148" w:type="dxa"/>
            <w:tcMar>
              <w:top w:w="29" w:type="dxa"/>
              <w:left w:w="115" w:type="dxa"/>
              <w:bottom w:w="29" w:type="dxa"/>
              <w:right w:w="115" w:type="dxa"/>
            </w:tcMar>
          </w:tcPr>
          <w:p w14:paraId="000001DA" w14:textId="77777777" w:rsidR="002A5780" w:rsidRDefault="00D91955">
            <w:pPr>
              <w:spacing w:after="0"/>
              <w:jc w:val="both"/>
              <w:rPr>
                <w:sz w:val="20"/>
                <w:szCs w:val="20"/>
              </w:rPr>
            </w:pPr>
            <w:hyperlink r:id="rId141">
              <w:r w:rsidRPr="4954557E">
                <w:rPr>
                  <w:color w:val="0563C1"/>
                  <w:sz w:val="20"/>
                  <w:szCs w:val="20"/>
                  <w:u w:val="single"/>
                </w:rPr>
                <w:t>GOV.UK</w:t>
              </w:r>
            </w:hyperlink>
          </w:p>
        </w:tc>
      </w:tr>
      <w:tr w:rsidR="002A5780" w14:paraId="437E0ED9" w14:textId="77777777" w:rsidTr="2AC19007">
        <w:trPr>
          <w:trHeight w:val="41"/>
        </w:trPr>
        <w:tc>
          <w:tcPr>
            <w:tcW w:w="776" w:type="dxa"/>
            <w:tcMar>
              <w:top w:w="29" w:type="dxa"/>
              <w:left w:w="115" w:type="dxa"/>
              <w:bottom w:w="29" w:type="dxa"/>
              <w:right w:w="115" w:type="dxa"/>
            </w:tcMar>
          </w:tcPr>
          <w:p w14:paraId="000001DB"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DC" w14:textId="77777777" w:rsidR="002A5780" w:rsidRDefault="00D91955">
            <w:pPr>
              <w:spacing w:after="0"/>
              <w:jc w:val="both"/>
              <w:rPr>
                <w:sz w:val="20"/>
                <w:szCs w:val="20"/>
              </w:rPr>
            </w:pPr>
            <w:r>
              <w:rPr>
                <w:sz w:val="20"/>
                <w:szCs w:val="20"/>
              </w:rPr>
              <w:t>DCMS (Kultūros, žiniasklaidos ir sporto departamento) sektorių ekonominiai vertinimai</w:t>
            </w:r>
          </w:p>
        </w:tc>
        <w:tc>
          <w:tcPr>
            <w:tcW w:w="2148" w:type="dxa"/>
            <w:tcMar>
              <w:top w:w="29" w:type="dxa"/>
              <w:left w:w="115" w:type="dxa"/>
              <w:bottom w:w="29" w:type="dxa"/>
              <w:right w:w="115" w:type="dxa"/>
            </w:tcMar>
          </w:tcPr>
          <w:p w14:paraId="000001DE" w14:textId="77777777" w:rsidR="002A5780" w:rsidRDefault="00D91955">
            <w:pPr>
              <w:spacing w:after="0"/>
              <w:jc w:val="both"/>
              <w:rPr>
                <w:sz w:val="20"/>
                <w:szCs w:val="20"/>
              </w:rPr>
            </w:pPr>
            <w:hyperlink r:id="rId142">
              <w:r>
                <w:rPr>
                  <w:color w:val="0563C1"/>
                  <w:sz w:val="20"/>
                  <w:szCs w:val="20"/>
                  <w:u w:val="single"/>
                </w:rPr>
                <w:t>DCMS Sectors Economic Estimates</w:t>
              </w:r>
            </w:hyperlink>
            <w:r>
              <w:rPr>
                <w:sz w:val="20"/>
                <w:szCs w:val="20"/>
              </w:rPr>
              <w:t xml:space="preserve"> </w:t>
            </w:r>
          </w:p>
        </w:tc>
      </w:tr>
      <w:tr w:rsidR="002A5780" w14:paraId="75D84BCB" w14:textId="77777777" w:rsidTr="2AC19007">
        <w:trPr>
          <w:trHeight w:val="41"/>
        </w:trPr>
        <w:tc>
          <w:tcPr>
            <w:tcW w:w="776" w:type="dxa"/>
            <w:tcMar>
              <w:top w:w="29" w:type="dxa"/>
              <w:left w:w="115" w:type="dxa"/>
              <w:bottom w:w="29" w:type="dxa"/>
              <w:right w:w="115" w:type="dxa"/>
            </w:tcMar>
          </w:tcPr>
          <w:p w14:paraId="000001DF"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E0" w14:textId="77777777" w:rsidR="002A5780" w:rsidRDefault="00D91955">
            <w:pPr>
              <w:spacing w:after="0"/>
              <w:jc w:val="both"/>
              <w:rPr>
                <w:sz w:val="20"/>
                <w:szCs w:val="20"/>
              </w:rPr>
            </w:pPr>
            <w:r>
              <w:rPr>
                <w:sz w:val="20"/>
                <w:szCs w:val="20"/>
              </w:rPr>
              <w:t>DI diegimo tyrimas - Šis tyrimas rodo, kad DI naudojimas JK versle dar yra gana ribotas – jį naudoja apie 16 % įmonių, o dauguma neturi planų jį diegti.</w:t>
            </w:r>
          </w:p>
        </w:tc>
        <w:tc>
          <w:tcPr>
            <w:tcW w:w="2148" w:type="dxa"/>
            <w:tcMar>
              <w:top w:w="29" w:type="dxa"/>
              <w:left w:w="115" w:type="dxa"/>
              <w:bottom w:w="29" w:type="dxa"/>
              <w:right w:w="115" w:type="dxa"/>
            </w:tcMar>
          </w:tcPr>
          <w:p w14:paraId="000001E2" w14:textId="77777777" w:rsidR="002A5780" w:rsidRDefault="00D91955">
            <w:pPr>
              <w:spacing w:after="0"/>
              <w:jc w:val="both"/>
              <w:rPr>
                <w:sz w:val="20"/>
                <w:szCs w:val="20"/>
              </w:rPr>
            </w:pPr>
            <w:hyperlink r:id="rId143">
              <w:r>
                <w:rPr>
                  <w:color w:val="0563C1"/>
                  <w:sz w:val="20"/>
                  <w:szCs w:val="20"/>
                  <w:u w:val="single"/>
                </w:rPr>
                <w:t>AI Adoption Research</w:t>
              </w:r>
            </w:hyperlink>
            <w:r>
              <w:rPr>
                <w:sz w:val="20"/>
                <w:szCs w:val="20"/>
              </w:rPr>
              <w:t xml:space="preserve"> </w:t>
            </w:r>
          </w:p>
        </w:tc>
      </w:tr>
      <w:tr w:rsidR="002A5780" w14:paraId="00221FC7" w14:textId="77777777" w:rsidTr="2AC19007">
        <w:trPr>
          <w:trHeight w:val="41"/>
        </w:trPr>
        <w:tc>
          <w:tcPr>
            <w:tcW w:w="776" w:type="dxa"/>
            <w:tcMar>
              <w:top w:w="29" w:type="dxa"/>
              <w:left w:w="115" w:type="dxa"/>
              <w:bottom w:w="29" w:type="dxa"/>
              <w:right w:w="115" w:type="dxa"/>
            </w:tcMar>
          </w:tcPr>
          <w:p w14:paraId="000001E3"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E4" w14:textId="77777777" w:rsidR="002A5780" w:rsidRDefault="00D91955">
            <w:pPr>
              <w:spacing w:after="0"/>
              <w:jc w:val="both"/>
              <w:rPr>
                <w:sz w:val="20"/>
                <w:szCs w:val="20"/>
              </w:rPr>
            </w:pPr>
            <w:r>
              <w:rPr>
                <w:sz w:val="20"/>
                <w:szCs w:val="20"/>
              </w:rPr>
              <w:t>DI galimybių veiksmų planas</w:t>
            </w:r>
          </w:p>
        </w:tc>
        <w:tc>
          <w:tcPr>
            <w:tcW w:w="2148" w:type="dxa"/>
            <w:tcMar>
              <w:top w:w="29" w:type="dxa"/>
              <w:left w:w="115" w:type="dxa"/>
              <w:bottom w:w="29" w:type="dxa"/>
              <w:right w:w="115" w:type="dxa"/>
            </w:tcMar>
          </w:tcPr>
          <w:p w14:paraId="000001E6" w14:textId="77777777" w:rsidR="002A5780" w:rsidRDefault="00D91955">
            <w:pPr>
              <w:spacing w:after="0"/>
              <w:jc w:val="both"/>
              <w:rPr>
                <w:color w:val="0563C1"/>
                <w:sz w:val="20"/>
                <w:szCs w:val="20"/>
                <w:u w:val="single"/>
              </w:rPr>
            </w:pPr>
            <w:hyperlink r:id="rId144">
              <w:r w:rsidRPr="4954557E">
                <w:rPr>
                  <w:color w:val="0563C1"/>
                  <w:sz w:val="20"/>
                  <w:szCs w:val="20"/>
                  <w:u w:val="single"/>
                </w:rPr>
                <w:t>GOV.UK</w:t>
              </w:r>
            </w:hyperlink>
            <w:r>
              <w:rPr>
                <w:sz w:val="20"/>
                <w:szCs w:val="20"/>
              </w:rPr>
              <w:t xml:space="preserve"> </w:t>
            </w:r>
          </w:p>
        </w:tc>
      </w:tr>
      <w:tr w:rsidR="002A5780" w14:paraId="378455B0" w14:textId="77777777" w:rsidTr="2AC19007">
        <w:trPr>
          <w:trHeight w:val="321"/>
        </w:trPr>
        <w:tc>
          <w:tcPr>
            <w:tcW w:w="776" w:type="dxa"/>
            <w:tcMar>
              <w:top w:w="29" w:type="dxa"/>
              <w:left w:w="115" w:type="dxa"/>
              <w:bottom w:w="29" w:type="dxa"/>
              <w:right w:w="115" w:type="dxa"/>
            </w:tcMar>
          </w:tcPr>
          <w:p w14:paraId="000001E7"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E8" w14:textId="77777777" w:rsidR="002A5780" w:rsidRDefault="00D91955">
            <w:pPr>
              <w:spacing w:after="0"/>
              <w:jc w:val="both"/>
              <w:rPr>
                <w:sz w:val="20"/>
                <w:szCs w:val="20"/>
              </w:rPr>
            </w:pPr>
            <w:r>
              <w:rPr>
                <w:sz w:val="20"/>
                <w:szCs w:val="20"/>
              </w:rPr>
              <w:t>DI gebėjimų ir poveikio JK darbo rinkai vertinimas</w:t>
            </w:r>
          </w:p>
        </w:tc>
        <w:tc>
          <w:tcPr>
            <w:tcW w:w="2148" w:type="dxa"/>
            <w:tcMar>
              <w:top w:w="29" w:type="dxa"/>
              <w:left w:w="115" w:type="dxa"/>
              <w:bottom w:w="29" w:type="dxa"/>
              <w:right w:w="115" w:type="dxa"/>
            </w:tcMar>
          </w:tcPr>
          <w:p w14:paraId="000001EA" w14:textId="77777777" w:rsidR="002A5780" w:rsidRDefault="00D91955">
            <w:pPr>
              <w:spacing w:after="0"/>
              <w:jc w:val="both"/>
              <w:rPr>
                <w:sz w:val="20"/>
                <w:szCs w:val="20"/>
              </w:rPr>
            </w:pPr>
            <w:hyperlink r:id="rId145">
              <w:r w:rsidRPr="4954557E">
                <w:rPr>
                  <w:color w:val="0563C1"/>
                  <w:sz w:val="20"/>
                  <w:szCs w:val="20"/>
                  <w:u w:val="single"/>
                </w:rPr>
                <w:t>Vertinimas</w:t>
              </w:r>
            </w:hyperlink>
          </w:p>
        </w:tc>
      </w:tr>
      <w:tr w:rsidR="002A5780" w14:paraId="2832D990" w14:textId="77777777" w:rsidTr="2AC19007">
        <w:trPr>
          <w:trHeight w:val="244"/>
        </w:trPr>
        <w:tc>
          <w:tcPr>
            <w:tcW w:w="776" w:type="dxa"/>
            <w:tcMar>
              <w:top w:w="29" w:type="dxa"/>
              <w:left w:w="115" w:type="dxa"/>
              <w:bottom w:w="29" w:type="dxa"/>
              <w:right w:w="115" w:type="dxa"/>
            </w:tcMar>
          </w:tcPr>
          <w:p w14:paraId="000001EB"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EC" w14:textId="77777777" w:rsidR="002A5780" w:rsidRDefault="00D91955">
            <w:pPr>
              <w:spacing w:after="0"/>
              <w:jc w:val="both"/>
              <w:rPr>
                <w:sz w:val="20"/>
                <w:szCs w:val="20"/>
              </w:rPr>
            </w:pPr>
            <w:r>
              <w:rPr>
                <w:sz w:val="20"/>
                <w:szCs w:val="20"/>
              </w:rPr>
              <w:t>DI poveikio darbo rinkai 2025 m. apklausos ataskaita</w:t>
            </w:r>
          </w:p>
        </w:tc>
        <w:tc>
          <w:tcPr>
            <w:tcW w:w="2148" w:type="dxa"/>
            <w:tcMar>
              <w:top w:w="29" w:type="dxa"/>
              <w:left w:w="115" w:type="dxa"/>
              <w:bottom w:w="29" w:type="dxa"/>
              <w:right w:w="115" w:type="dxa"/>
            </w:tcMar>
          </w:tcPr>
          <w:p w14:paraId="000001EE" w14:textId="77777777" w:rsidR="002A5780" w:rsidRDefault="00D91955">
            <w:pPr>
              <w:spacing w:after="0"/>
              <w:jc w:val="both"/>
              <w:rPr>
                <w:sz w:val="20"/>
                <w:szCs w:val="20"/>
              </w:rPr>
            </w:pPr>
            <w:hyperlink r:id="rId146">
              <w:r w:rsidRPr="4954557E">
                <w:rPr>
                  <w:color w:val="0563C1"/>
                  <w:sz w:val="20"/>
                  <w:szCs w:val="20"/>
                  <w:u w:val="single"/>
                </w:rPr>
                <w:t>Ataskaita</w:t>
              </w:r>
            </w:hyperlink>
          </w:p>
        </w:tc>
      </w:tr>
      <w:tr w:rsidR="002A5780" w14:paraId="181853C7" w14:textId="77777777" w:rsidTr="2AC19007">
        <w:trPr>
          <w:trHeight w:val="41"/>
        </w:trPr>
        <w:tc>
          <w:tcPr>
            <w:tcW w:w="776" w:type="dxa"/>
            <w:tcMar>
              <w:top w:w="29" w:type="dxa"/>
              <w:left w:w="115" w:type="dxa"/>
              <w:bottom w:w="29" w:type="dxa"/>
              <w:right w:w="115" w:type="dxa"/>
            </w:tcMar>
          </w:tcPr>
          <w:p w14:paraId="000001EF"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1F0" w14:textId="77777777" w:rsidR="002A5780" w:rsidRDefault="00D91955">
            <w:pPr>
              <w:spacing w:after="0"/>
              <w:jc w:val="both"/>
              <w:rPr>
                <w:sz w:val="20"/>
                <w:szCs w:val="20"/>
              </w:rPr>
            </w:pPr>
            <w:r>
              <w:rPr>
                <w:sz w:val="20"/>
                <w:szCs w:val="20"/>
              </w:rPr>
              <w:t>Energetinio atsparumo strategija</w:t>
            </w:r>
          </w:p>
        </w:tc>
        <w:tc>
          <w:tcPr>
            <w:tcW w:w="2148" w:type="dxa"/>
            <w:tcMar>
              <w:top w:w="29" w:type="dxa"/>
              <w:left w:w="115" w:type="dxa"/>
              <w:bottom w:w="29" w:type="dxa"/>
              <w:right w:w="115" w:type="dxa"/>
            </w:tcMar>
          </w:tcPr>
          <w:p w14:paraId="000001F2" w14:textId="77777777" w:rsidR="002A5780" w:rsidRDefault="00D91955">
            <w:pPr>
              <w:spacing w:after="0" w:line="240" w:lineRule="auto"/>
              <w:jc w:val="both"/>
              <w:rPr>
                <w:sz w:val="20"/>
                <w:szCs w:val="20"/>
              </w:rPr>
            </w:pPr>
            <w:hyperlink r:id="rId147">
              <w:r w:rsidRPr="4954557E">
                <w:rPr>
                  <w:color w:val="0563C1"/>
                  <w:sz w:val="20"/>
                  <w:szCs w:val="20"/>
                  <w:u w:val="single"/>
                </w:rPr>
                <w:t>Strategy</w:t>
              </w:r>
            </w:hyperlink>
          </w:p>
        </w:tc>
      </w:tr>
      <w:tr w:rsidR="002A5780" w14:paraId="36A9164F" w14:textId="77777777" w:rsidTr="2AC19007">
        <w:trPr>
          <w:trHeight w:val="219"/>
        </w:trPr>
        <w:tc>
          <w:tcPr>
            <w:tcW w:w="776" w:type="dxa"/>
            <w:tcMar>
              <w:top w:w="29" w:type="dxa"/>
              <w:left w:w="115" w:type="dxa"/>
              <w:bottom w:w="29" w:type="dxa"/>
              <w:right w:w="115" w:type="dxa"/>
            </w:tcMar>
          </w:tcPr>
          <w:p w14:paraId="000001F3"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1F4" w14:textId="77777777" w:rsidR="002A5780" w:rsidRDefault="00D91955">
            <w:pPr>
              <w:spacing w:after="0"/>
              <w:jc w:val="both"/>
              <w:rPr>
                <w:b/>
                <w:bCs/>
                <w:sz w:val="20"/>
                <w:szCs w:val="20"/>
              </w:rPr>
            </w:pPr>
            <w:r>
              <w:rPr>
                <w:b/>
                <w:bCs/>
                <w:sz w:val="20"/>
                <w:szCs w:val="20"/>
              </w:rPr>
              <w:t xml:space="preserve">JK branduolinės sintezės strategija </w:t>
            </w:r>
          </w:p>
        </w:tc>
        <w:tc>
          <w:tcPr>
            <w:tcW w:w="2148" w:type="dxa"/>
            <w:tcMar>
              <w:top w:w="29" w:type="dxa"/>
              <w:left w:w="115" w:type="dxa"/>
              <w:bottom w:w="29" w:type="dxa"/>
              <w:right w:w="115" w:type="dxa"/>
            </w:tcMar>
          </w:tcPr>
          <w:p w14:paraId="000001F6" w14:textId="77777777" w:rsidR="002A5780" w:rsidRDefault="00D91955">
            <w:pPr>
              <w:spacing w:after="0"/>
              <w:jc w:val="both"/>
              <w:rPr>
                <w:sz w:val="20"/>
                <w:szCs w:val="20"/>
              </w:rPr>
            </w:pPr>
            <w:hyperlink r:id="rId148">
              <w:r>
                <w:rPr>
                  <w:color w:val="0563C1"/>
                  <w:sz w:val="20"/>
                  <w:szCs w:val="20"/>
                  <w:u w:val="single"/>
                </w:rPr>
                <w:t>UK fusion strategy 2026</w:t>
              </w:r>
            </w:hyperlink>
            <w:r>
              <w:rPr>
                <w:sz w:val="20"/>
                <w:szCs w:val="20"/>
              </w:rPr>
              <w:t xml:space="preserve"> </w:t>
            </w:r>
          </w:p>
        </w:tc>
      </w:tr>
      <w:tr w:rsidR="002A5780" w14:paraId="16A16DA6" w14:textId="77777777" w:rsidTr="2AC19007">
        <w:trPr>
          <w:trHeight w:val="41"/>
        </w:trPr>
        <w:tc>
          <w:tcPr>
            <w:tcW w:w="776" w:type="dxa"/>
            <w:tcMar>
              <w:top w:w="29" w:type="dxa"/>
              <w:left w:w="115" w:type="dxa"/>
              <w:bottom w:w="29" w:type="dxa"/>
              <w:right w:w="115" w:type="dxa"/>
            </w:tcMar>
          </w:tcPr>
          <w:p w14:paraId="000001F7"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1F8" w14:textId="77777777" w:rsidR="002A5780" w:rsidRDefault="00D91955">
            <w:pPr>
              <w:spacing w:after="0"/>
              <w:jc w:val="both"/>
              <w:rPr>
                <w:b/>
                <w:bCs/>
                <w:sz w:val="20"/>
                <w:szCs w:val="20"/>
              </w:rPr>
            </w:pPr>
            <w:r>
              <w:rPr>
                <w:b/>
                <w:bCs/>
                <w:sz w:val="20"/>
                <w:szCs w:val="20"/>
              </w:rPr>
              <w:t>JK išmaniųjų duomenų strategija</w:t>
            </w:r>
          </w:p>
        </w:tc>
        <w:tc>
          <w:tcPr>
            <w:tcW w:w="2148" w:type="dxa"/>
            <w:tcMar>
              <w:top w:w="29" w:type="dxa"/>
              <w:left w:w="115" w:type="dxa"/>
              <w:bottom w:w="29" w:type="dxa"/>
              <w:right w:w="115" w:type="dxa"/>
            </w:tcMar>
          </w:tcPr>
          <w:p w14:paraId="000001FA" w14:textId="77777777" w:rsidR="002A5780" w:rsidRDefault="00D91955">
            <w:pPr>
              <w:spacing w:after="0"/>
              <w:jc w:val="both"/>
              <w:rPr>
                <w:sz w:val="20"/>
                <w:szCs w:val="20"/>
              </w:rPr>
            </w:pPr>
            <w:hyperlink r:id="rId149">
              <w:r>
                <w:rPr>
                  <w:color w:val="0563C1"/>
                  <w:sz w:val="20"/>
                  <w:szCs w:val="20"/>
                  <w:u w:val="single"/>
                </w:rPr>
                <w:t>Smart Data Strategy</w:t>
              </w:r>
            </w:hyperlink>
            <w:r>
              <w:rPr>
                <w:sz w:val="20"/>
                <w:szCs w:val="20"/>
              </w:rPr>
              <w:t xml:space="preserve"> </w:t>
            </w:r>
          </w:p>
        </w:tc>
      </w:tr>
      <w:tr w:rsidR="002A5780" w14:paraId="03091D98" w14:textId="77777777" w:rsidTr="2AC19007">
        <w:trPr>
          <w:trHeight w:val="41"/>
        </w:trPr>
        <w:tc>
          <w:tcPr>
            <w:tcW w:w="776" w:type="dxa"/>
            <w:tcMar>
              <w:top w:w="29" w:type="dxa"/>
              <w:left w:w="115" w:type="dxa"/>
              <w:bottom w:w="29" w:type="dxa"/>
              <w:right w:w="115" w:type="dxa"/>
            </w:tcMar>
          </w:tcPr>
          <w:p w14:paraId="000001FB"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1FC" w14:textId="77777777" w:rsidR="002A5780" w:rsidRDefault="00D91955">
            <w:pPr>
              <w:spacing w:after="0"/>
              <w:jc w:val="both"/>
              <w:rPr>
                <w:sz w:val="20"/>
                <w:szCs w:val="20"/>
              </w:rPr>
            </w:pPr>
            <w:r>
              <w:rPr>
                <w:sz w:val="20"/>
                <w:szCs w:val="20"/>
              </w:rPr>
              <w:t>JK maisto sektoriaus strategija</w:t>
            </w:r>
          </w:p>
        </w:tc>
        <w:tc>
          <w:tcPr>
            <w:tcW w:w="2148" w:type="dxa"/>
            <w:tcMar>
              <w:top w:w="29" w:type="dxa"/>
              <w:left w:w="115" w:type="dxa"/>
              <w:bottom w:w="29" w:type="dxa"/>
              <w:right w:w="115" w:type="dxa"/>
            </w:tcMar>
          </w:tcPr>
          <w:p w14:paraId="000001FE" w14:textId="77777777" w:rsidR="002A5780" w:rsidRDefault="00D91955">
            <w:pPr>
              <w:spacing w:after="0"/>
              <w:jc w:val="both"/>
              <w:rPr>
                <w:color w:val="0563C1"/>
                <w:sz w:val="20"/>
                <w:szCs w:val="20"/>
                <w:u w:val="single"/>
              </w:rPr>
            </w:pPr>
            <w:r>
              <w:fldChar w:fldCharType="begin"/>
            </w:r>
            <w:r>
              <w:instrText xml:space="preserve"> HYPERLINK "https://www.gov.uk/government/publications/a-uk-government-food-strategy-for-england/a-uk-government-food-strategy-for-england-considering-the-wider-uk-food-system" </w:instrText>
            </w:r>
            <w:r>
              <w:fldChar w:fldCharType="separate"/>
            </w:r>
            <w:r w:rsidRPr="2AC19007">
              <w:rPr>
                <w:color w:val="0563C1"/>
                <w:sz w:val="20"/>
                <w:szCs w:val="20"/>
                <w:u w:val="single"/>
              </w:rPr>
              <w:t>A UK government food</w:t>
            </w:r>
          </w:p>
          <w:p w14:paraId="000001FF" w14:textId="77777777" w:rsidR="002A5780" w:rsidRDefault="00D91955">
            <w:pPr>
              <w:spacing w:after="0"/>
              <w:jc w:val="both"/>
              <w:rPr>
                <w:color w:val="0563C1"/>
                <w:sz w:val="20"/>
                <w:szCs w:val="20"/>
                <w:u w:val="single"/>
              </w:rPr>
            </w:pPr>
            <w:r w:rsidRPr="2AC19007">
              <w:rPr>
                <w:color w:val="0563C1"/>
                <w:sz w:val="20"/>
                <w:szCs w:val="20"/>
                <w:u w:val="single"/>
              </w:rPr>
              <w:t>strategy for England,</w:t>
            </w:r>
          </w:p>
          <w:p w14:paraId="00000200" w14:textId="77777777" w:rsidR="002A5780" w:rsidRDefault="00D91955">
            <w:pPr>
              <w:spacing w:after="0"/>
              <w:jc w:val="both"/>
              <w:rPr>
                <w:color w:val="0563C1"/>
                <w:sz w:val="20"/>
                <w:szCs w:val="20"/>
                <w:u w:val="single"/>
              </w:rPr>
            </w:pPr>
            <w:r w:rsidRPr="2AC19007">
              <w:rPr>
                <w:color w:val="0563C1"/>
                <w:sz w:val="20"/>
                <w:szCs w:val="20"/>
                <w:u w:val="single"/>
              </w:rPr>
              <w:t>considering the wider</w:t>
            </w:r>
          </w:p>
          <w:p w14:paraId="00000201" w14:textId="77777777" w:rsidR="002A5780" w:rsidRDefault="00D91955">
            <w:pPr>
              <w:spacing w:after="0"/>
              <w:jc w:val="both"/>
              <w:rPr>
                <w:color w:val="0563C1"/>
                <w:sz w:val="20"/>
                <w:szCs w:val="20"/>
                <w:u w:val="single"/>
              </w:rPr>
            </w:pPr>
            <w:r w:rsidRPr="2AC19007">
              <w:rPr>
                <w:color w:val="0563C1"/>
                <w:sz w:val="20"/>
                <w:szCs w:val="20"/>
                <w:u w:val="single"/>
              </w:rPr>
              <w:t>UK food system -</w:t>
            </w:r>
          </w:p>
          <w:p w14:paraId="00000202" w14:textId="77777777" w:rsidR="002A5780" w:rsidRDefault="00D91955" w:rsidP="2AC19007">
            <w:pPr>
              <w:spacing w:after="0"/>
              <w:jc w:val="both"/>
              <w:rPr>
                <w:color w:val="0563C1"/>
                <w:sz w:val="20"/>
                <w:szCs w:val="20"/>
              </w:rPr>
            </w:pPr>
            <w:r>
              <w:rPr>
                <w:color w:val="0563C1"/>
                <w:sz w:val="20"/>
                <w:szCs w:val="20"/>
                <w:u w:val="single"/>
              </w:rPr>
              <w:t>GOV.UK</w:t>
            </w:r>
            <w:r>
              <w:fldChar w:fldCharType="end"/>
            </w:r>
          </w:p>
        </w:tc>
      </w:tr>
      <w:tr w:rsidR="002A5780" w14:paraId="5301D639" w14:textId="77777777" w:rsidTr="2AC19007">
        <w:trPr>
          <w:trHeight w:val="41"/>
        </w:trPr>
        <w:tc>
          <w:tcPr>
            <w:tcW w:w="776" w:type="dxa"/>
            <w:tcMar>
              <w:top w:w="29" w:type="dxa"/>
              <w:left w:w="115" w:type="dxa"/>
              <w:bottom w:w="29" w:type="dxa"/>
              <w:right w:w="115" w:type="dxa"/>
            </w:tcMar>
          </w:tcPr>
          <w:p w14:paraId="00000203"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204" w14:textId="77777777" w:rsidR="002A5780" w:rsidRDefault="00D91955">
            <w:pPr>
              <w:spacing w:after="0"/>
              <w:jc w:val="both"/>
              <w:rPr>
                <w:sz w:val="20"/>
                <w:szCs w:val="20"/>
              </w:rPr>
            </w:pPr>
            <w:r>
              <w:rPr>
                <w:b/>
                <w:bCs/>
                <w:sz w:val="20"/>
                <w:szCs w:val="20"/>
              </w:rPr>
              <w:t>JK plieno strategija</w:t>
            </w:r>
            <w:r>
              <w:rPr>
                <w:sz w:val="20"/>
                <w:szCs w:val="20"/>
              </w:rPr>
              <w:t xml:space="preserve"> - siekia atgaivinti šalies plieno pramonę, kad ji būtų konkurencingesnė, ekologiškesnė ir geriau aprūpintų vidaus rinką. Joje pabrėžiami pagrindiniai sektoriaus sunkumai - didelės sąnaudos, pasaulinė konkurencija ir pasenusi infrastruktūra - bei numatomos priemonės skatinti vietinę gamybą ir paklausą.</w:t>
            </w:r>
          </w:p>
        </w:tc>
        <w:tc>
          <w:tcPr>
            <w:tcW w:w="2148" w:type="dxa"/>
            <w:tcMar>
              <w:top w:w="29" w:type="dxa"/>
              <w:left w:w="115" w:type="dxa"/>
              <w:bottom w:w="29" w:type="dxa"/>
              <w:right w:w="115" w:type="dxa"/>
            </w:tcMar>
          </w:tcPr>
          <w:p w14:paraId="00000206" w14:textId="77777777" w:rsidR="002A5780" w:rsidRDefault="00D91955">
            <w:pPr>
              <w:spacing w:after="0"/>
              <w:jc w:val="both"/>
              <w:rPr>
                <w:color w:val="000000"/>
                <w:sz w:val="20"/>
                <w:szCs w:val="20"/>
              </w:rPr>
            </w:pPr>
            <w:hyperlink r:id="rId150" w:anchor="full-publication-update-history">
              <w:r w:rsidRPr="4954557E">
                <w:rPr>
                  <w:color w:val="0563C1"/>
                  <w:sz w:val="20"/>
                  <w:szCs w:val="20"/>
                  <w:u w:val="single"/>
                </w:rPr>
                <w:t>UK Steel Strategy 20 March 2026</w:t>
              </w:r>
            </w:hyperlink>
            <w:r>
              <w:rPr>
                <w:sz w:val="20"/>
                <w:szCs w:val="20"/>
              </w:rPr>
              <w:t xml:space="preserve"> </w:t>
            </w:r>
          </w:p>
        </w:tc>
      </w:tr>
      <w:tr w:rsidR="002A5780" w14:paraId="32B4DAC9" w14:textId="77777777" w:rsidTr="2AC19007">
        <w:trPr>
          <w:trHeight w:val="41"/>
        </w:trPr>
        <w:tc>
          <w:tcPr>
            <w:tcW w:w="776" w:type="dxa"/>
            <w:tcMar>
              <w:top w:w="29" w:type="dxa"/>
              <w:left w:w="115" w:type="dxa"/>
              <w:bottom w:w="29" w:type="dxa"/>
              <w:right w:w="115" w:type="dxa"/>
            </w:tcMar>
          </w:tcPr>
          <w:p w14:paraId="00000207"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08" w14:textId="77777777" w:rsidR="002A5780" w:rsidRDefault="00D91955">
            <w:pPr>
              <w:spacing w:after="0"/>
              <w:jc w:val="both"/>
              <w:rPr>
                <w:sz w:val="20"/>
                <w:szCs w:val="20"/>
              </w:rPr>
            </w:pPr>
            <w:r>
              <w:rPr>
                <w:sz w:val="20"/>
                <w:szCs w:val="20"/>
              </w:rPr>
              <w:t>JK Prekybos susitarimai. Sąrašas apima prekybos susitarimus: galiojančius; pasirašytus, bet dar neįsigaliojusius, bei tuos, dėl kurių deramasi.</w:t>
            </w:r>
          </w:p>
        </w:tc>
        <w:tc>
          <w:tcPr>
            <w:tcW w:w="2148" w:type="dxa"/>
            <w:tcMar>
              <w:top w:w="29" w:type="dxa"/>
              <w:left w:w="115" w:type="dxa"/>
              <w:bottom w:w="29" w:type="dxa"/>
              <w:right w:w="115" w:type="dxa"/>
            </w:tcMar>
          </w:tcPr>
          <w:p w14:paraId="0000020A" w14:textId="77777777" w:rsidR="002A5780" w:rsidRDefault="00D91955">
            <w:pPr>
              <w:spacing w:after="0"/>
              <w:jc w:val="both"/>
              <w:rPr>
                <w:sz w:val="20"/>
                <w:szCs w:val="20"/>
              </w:rPr>
            </w:pPr>
            <w:hyperlink r:id="rId151">
              <w:r w:rsidRPr="4954557E">
                <w:rPr>
                  <w:color w:val="0563C1"/>
                  <w:sz w:val="20"/>
                  <w:szCs w:val="20"/>
                  <w:u w:val="single"/>
                </w:rPr>
                <w:t>The UK‘s Trade agreements</w:t>
              </w:r>
            </w:hyperlink>
          </w:p>
        </w:tc>
      </w:tr>
      <w:tr w:rsidR="002A5780" w14:paraId="73A30141" w14:textId="77777777" w:rsidTr="2AC19007">
        <w:trPr>
          <w:trHeight w:val="41"/>
        </w:trPr>
        <w:tc>
          <w:tcPr>
            <w:tcW w:w="776" w:type="dxa"/>
            <w:tcMar>
              <w:top w:w="29" w:type="dxa"/>
              <w:left w:w="115" w:type="dxa"/>
              <w:bottom w:w="29" w:type="dxa"/>
              <w:right w:w="115" w:type="dxa"/>
            </w:tcMar>
          </w:tcPr>
          <w:p w14:paraId="0000020B"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0C" w14:textId="77777777" w:rsidR="002A5780" w:rsidRDefault="00D91955">
            <w:pPr>
              <w:jc w:val="both"/>
              <w:rPr>
                <w:sz w:val="20"/>
                <w:szCs w:val="20"/>
              </w:rPr>
            </w:pPr>
            <w:r>
              <w:rPr>
                <w:sz w:val="20"/>
                <w:szCs w:val="20"/>
              </w:rPr>
              <w:t>JK Transporto ministerija (DfT) paskelbė transporto sektoriaus prisitaikymo prie klimato kaitos strategiją</w:t>
            </w:r>
          </w:p>
        </w:tc>
        <w:tc>
          <w:tcPr>
            <w:tcW w:w="2148" w:type="dxa"/>
            <w:tcMar>
              <w:top w:w="29" w:type="dxa"/>
              <w:left w:w="115" w:type="dxa"/>
              <w:bottom w:w="29" w:type="dxa"/>
              <w:right w:w="115" w:type="dxa"/>
            </w:tcMar>
          </w:tcPr>
          <w:p w14:paraId="0000020E" w14:textId="77777777" w:rsidR="002A5780" w:rsidRDefault="00D91955">
            <w:pPr>
              <w:spacing w:after="0"/>
              <w:jc w:val="both"/>
              <w:rPr>
                <w:sz w:val="20"/>
                <w:szCs w:val="20"/>
              </w:rPr>
            </w:pPr>
            <w:hyperlink r:id="rId152">
              <w:r>
                <w:rPr>
                  <w:color w:val="0563C1"/>
                  <w:sz w:val="20"/>
                  <w:szCs w:val="20"/>
                  <w:u w:val="single"/>
                </w:rPr>
                <w:t>Climate adaptation strategy for transport</w:t>
              </w:r>
            </w:hyperlink>
            <w:r>
              <w:rPr>
                <w:sz w:val="20"/>
                <w:szCs w:val="20"/>
              </w:rPr>
              <w:t xml:space="preserve"> </w:t>
            </w:r>
          </w:p>
        </w:tc>
      </w:tr>
      <w:tr w:rsidR="002A5780" w14:paraId="31E6EA59" w14:textId="77777777" w:rsidTr="2AC19007">
        <w:trPr>
          <w:trHeight w:val="41"/>
        </w:trPr>
        <w:tc>
          <w:tcPr>
            <w:tcW w:w="776" w:type="dxa"/>
            <w:tcMar>
              <w:top w:w="29" w:type="dxa"/>
              <w:left w:w="115" w:type="dxa"/>
              <w:bottom w:w="29" w:type="dxa"/>
              <w:right w:w="115" w:type="dxa"/>
            </w:tcMar>
          </w:tcPr>
          <w:p w14:paraId="0000020F"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10" w14:textId="77777777" w:rsidR="002A5780" w:rsidRDefault="00D91955">
            <w:pPr>
              <w:spacing w:after="0"/>
              <w:jc w:val="both"/>
              <w:rPr>
                <w:sz w:val="20"/>
                <w:szCs w:val="20"/>
              </w:rPr>
            </w:pPr>
            <w:r>
              <w:rPr>
                <w:sz w:val="20"/>
                <w:szCs w:val="20"/>
              </w:rPr>
              <w:t>Jūrų transporto dekarbonizacijos strategija</w:t>
            </w:r>
          </w:p>
        </w:tc>
        <w:tc>
          <w:tcPr>
            <w:tcW w:w="2148" w:type="dxa"/>
            <w:tcMar>
              <w:top w:w="29" w:type="dxa"/>
              <w:left w:w="115" w:type="dxa"/>
              <w:bottom w:w="29" w:type="dxa"/>
              <w:right w:w="115" w:type="dxa"/>
            </w:tcMar>
          </w:tcPr>
          <w:p w14:paraId="00000212" w14:textId="77777777" w:rsidR="002A5780" w:rsidRDefault="00D91955">
            <w:pPr>
              <w:spacing w:after="0"/>
              <w:jc w:val="both"/>
              <w:rPr>
                <w:color w:val="0563C1"/>
                <w:sz w:val="20"/>
                <w:szCs w:val="20"/>
                <w:u w:val="single"/>
              </w:rPr>
            </w:pPr>
            <w:hyperlink r:id="rId153">
              <w:r w:rsidRPr="4954557E">
                <w:rPr>
                  <w:color w:val="0563C1"/>
                  <w:sz w:val="20"/>
                  <w:szCs w:val="20"/>
                  <w:u w:val="single"/>
                </w:rPr>
                <w:t>Strategy</w:t>
              </w:r>
            </w:hyperlink>
          </w:p>
        </w:tc>
      </w:tr>
      <w:tr w:rsidR="002A5780" w14:paraId="785B6565" w14:textId="77777777" w:rsidTr="2AC19007">
        <w:trPr>
          <w:trHeight w:val="41"/>
        </w:trPr>
        <w:tc>
          <w:tcPr>
            <w:tcW w:w="776" w:type="dxa"/>
            <w:tcMar>
              <w:top w:w="29" w:type="dxa"/>
              <w:left w:w="115" w:type="dxa"/>
              <w:bottom w:w="29" w:type="dxa"/>
              <w:right w:w="115" w:type="dxa"/>
            </w:tcMar>
          </w:tcPr>
          <w:p w14:paraId="00000213"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14" w14:textId="77777777" w:rsidR="002A5780" w:rsidRDefault="00D91955">
            <w:pPr>
              <w:spacing w:after="0" w:line="240" w:lineRule="auto"/>
              <w:jc w:val="both"/>
              <w:rPr>
                <w:sz w:val="20"/>
                <w:szCs w:val="20"/>
              </w:rPr>
            </w:pPr>
            <w:r>
              <w:rPr>
                <w:sz w:val="20"/>
                <w:szCs w:val="20"/>
              </w:rPr>
              <w:t>Kibernetinio augimo veiksmų planas</w:t>
            </w:r>
          </w:p>
        </w:tc>
        <w:tc>
          <w:tcPr>
            <w:tcW w:w="2148" w:type="dxa"/>
            <w:tcMar>
              <w:top w:w="29" w:type="dxa"/>
              <w:left w:w="115" w:type="dxa"/>
              <w:bottom w:w="29" w:type="dxa"/>
              <w:right w:w="115" w:type="dxa"/>
            </w:tcMar>
          </w:tcPr>
          <w:p w14:paraId="00000216" w14:textId="77777777" w:rsidR="002A5780" w:rsidRDefault="00D91955">
            <w:pPr>
              <w:spacing w:after="0"/>
              <w:jc w:val="both"/>
              <w:rPr>
                <w:sz w:val="20"/>
                <w:szCs w:val="20"/>
              </w:rPr>
            </w:pPr>
            <w:hyperlink r:id="rId154">
              <w:r w:rsidRPr="4954557E">
                <w:rPr>
                  <w:color w:val="0563C1"/>
                  <w:sz w:val="20"/>
                  <w:szCs w:val="20"/>
                  <w:u w:val="single"/>
                </w:rPr>
                <w:t>Cyber Growth Action Plan</w:t>
              </w:r>
            </w:hyperlink>
          </w:p>
        </w:tc>
      </w:tr>
      <w:tr w:rsidR="002A5780" w14:paraId="473C2A9E" w14:textId="77777777" w:rsidTr="2AC19007">
        <w:trPr>
          <w:trHeight w:val="41"/>
        </w:trPr>
        <w:tc>
          <w:tcPr>
            <w:tcW w:w="776" w:type="dxa"/>
            <w:tcMar>
              <w:top w:w="29" w:type="dxa"/>
              <w:left w:w="115" w:type="dxa"/>
              <w:bottom w:w="29" w:type="dxa"/>
              <w:right w:w="115" w:type="dxa"/>
            </w:tcMar>
          </w:tcPr>
          <w:p w14:paraId="00000217"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18" w14:textId="77777777" w:rsidR="002A5780" w:rsidRDefault="00D91955">
            <w:pPr>
              <w:spacing w:after="0"/>
              <w:jc w:val="both"/>
              <w:rPr>
                <w:sz w:val="20"/>
                <w:szCs w:val="20"/>
              </w:rPr>
            </w:pPr>
            <w:r>
              <w:rPr>
                <w:sz w:val="20"/>
                <w:szCs w:val="20"/>
              </w:rPr>
              <w:t>Kibernetinio saugumo ilgalaikio tyrimo penktosios bangos rezultatai (pateikia naujausius duomenis apie kibernetinio saugumo praktiką vidutinėse ir didelėse įmonėse bei dideles pajamas gaunančiose labdaros organizacijose JK)</w:t>
            </w:r>
          </w:p>
        </w:tc>
        <w:tc>
          <w:tcPr>
            <w:tcW w:w="2148" w:type="dxa"/>
            <w:tcMar>
              <w:top w:w="29" w:type="dxa"/>
              <w:left w:w="115" w:type="dxa"/>
              <w:bottom w:w="29" w:type="dxa"/>
              <w:right w:w="115" w:type="dxa"/>
            </w:tcMar>
          </w:tcPr>
          <w:p w14:paraId="0000021A" w14:textId="77777777" w:rsidR="002A5780" w:rsidRDefault="00D91955">
            <w:pPr>
              <w:spacing w:after="0"/>
              <w:jc w:val="both"/>
              <w:rPr>
                <w:sz w:val="20"/>
                <w:szCs w:val="20"/>
              </w:rPr>
            </w:pPr>
            <w:hyperlink r:id="rId155">
              <w:r>
                <w:rPr>
                  <w:color w:val="0563C1"/>
                  <w:sz w:val="20"/>
                  <w:szCs w:val="20"/>
                  <w:u w:val="single"/>
                </w:rPr>
                <w:t>GOV.UK</w:t>
              </w:r>
            </w:hyperlink>
            <w:r>
              <w:rPr>
                <w:sz w:val="20"/>
                <w:szCs w:val="20"/>
              </w:rPr>
              <w:t xml:space="preserve"> </w:t>
            </w:r>
          </w:p>
        </w:tc>
      </w:tr>
      <w:tr w:rsidR="002A5780" w14:paraId="2F1E225F" w14:textId="77777777" w:rsidTr="2AC19007">
        <w:trPr>
          <w:trHeight w:val="41"/>
        </w:trPr>
        <w:tc>
          <w:tcPr>
            <w:tcW w:w="776" w:type="dxa"/>
            <w:tcMar>
              <w:top w:w="29" w:type="dxa"/>
              <w:left w:w="115" w:type="dxa"/>
              <w:bottom w:w="29" w:type="dxa"/>
              <w:right w:w="115" w:type="dxa"/>
            </w:tcMar>
          </w:tcPr>
          <w:p w14:paraId="0000021B"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1C" w14:textId="77777777" w:rsidR="002A5780" w:rsidRDefault="00D91955">
            <w:pPr>
              <w:spacing w:after="0" w:line="240" w:lineRule="auto"/>
              <w:jc w:val="both"/>
              <w:rPr>
                <w:sz w:val="20"/>
                <w:szCs w:val="20"/>
              </w:rPr>
            </w:pPr>
            <w:r>
              <w:rPr>
                <w:sz w:val="20"/>
                <w:szCs w:val="20"/>
              </w:rPr>
              <w:t xml:space="preserve">Kibernetinio saugumo veiksmų planas </w:t>
            </w:r>
          </w:p>
        </w:tc>
        <w:tc>
          <w:tcPr>
            <w:tcW w:w="2148" w:type="dxa"/>
            <w:tcMar>
              <w:top w:w="29" w:type="dxa"/>
              <w:left w:w="115" w:type="dxa"/>
              <w:bottom w:w="29" w:type="dxa"/>
              <w:right w:w="115" w:type="dxa"/>
            </w:tcMar>
          </w:tcPr>
          <w:p w14:paraId="0000021E" w14:textId="77777777" w:rsidR="002A5780" w:rsidRDefault="00D91955">
            <w:pPr>
              <w:spacing w:after="0"/>
              <w:jc w:val="both"/>
              <w:rPr>
                <w:sz w:val="20"/>
                <w:szCs w:val="20"/>
              </w:rPr>
            </w:pPr>
            <w:hyperlink r:id="rId156" w:anchor="chapter-5">
              <w:r w:rsidRPr="4954557E">
                <w:rPr>
                  <w:color w:val="0563C1"/>
                  <w:sz w:val="20"/>
                  <w:szCs w:val="20"/>
                  <w:u w:val="single"/>
                </w:rPr>
                <w:t>Cyber Action Plan</w:t>
              </w:r>
            </w:hyperlink>
          </w:p>
        </w:tc>
      </w:tr>
      <w:tr w:rsidR="002A5780" w14:paraId="3D74F2F7" w14:textId="77777777" w:rsidTr="2AC19007">
        <w:trPr>
          <w:trHeight w:val="41"/>
        </w:trPr>
        <w:tc>
          <w:tcPr>
            <w:tcW w:w="776" w:type="dxa"/>
            <w:tcMar>
              <w:top w:w="29" w:type="dxa"/>
              <w:left w:w="115" w:type="dxa"/>
              <w:bottom w:w="29" w:type="dxa"/>
              <w:right w:w="115" w:type="dxa"/>
            </w:tcMar>
          </w:tcPr>
          <w:p w14:paraId="0000021F"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220" w14:textId="77777777" w:rsidR="002A5780" w:rsidRDefault="00D91955">
            <w:pPr>
              <w:spacing w:after="0"/>
              <w:jc w:val="both"/>
              <w:rPr>
                <w:sz w:val="20"/>
                <w:szCs w:val="20"/>
              </w:rPr>
            </w:pPr>
            <w:r>
              <w:rPr>
                <w:sz w:val="20"/>
                <w:szCs w:val="20"/>
              </w:rPr>
              <w:t>Mažų ir vidutinių verslų strategija</w:t>
            </w:r>
          </w:p>
        </w:tc>
        <w:tc>
          <w:tcPr>
            <w:tcW w:w="2148" w:type="dxa"/>
            <w:tcMar>
              <w:top w:w="29" w:type="dxa"/>
              <w:left w:w="115" w:type="dxa"/>
              <w:bottom w:w="29" w:type="dxa"/>
              <w:right w:w="115" w:type="dxa"/>
            </w:tcMar>
          </w:tcPr>
          <w:p w14:paraId="00000222" w14:textId="77777777" w:rsidR="002A5780" w:rsidRDefault="00D91955">
            <w:pPr>
              <w:spacing w:after="0"/>
              <w:jc w:val="both"/>
              <w:rPr>
                <w:sz w:val="20"/>
                <w:szCs w:val="20"/>
              </w:rPr>
            </w:pPr>
            <w:hyperlink r:id="rId157">
              <w:r>
                <w:rPr>
                  <w:color w:val="0563C1"/>
                  <w:sz w:val="20"/>
                  <w:szCs w:val="20"/>
                  <w:u w:val="single"/>
                </w:rPr>
                <w:t>GOV.UK</w:t>
              </w:r>
            </w:hyperlink>
            <w:r>
              <w:rPr>
                <w:sz w:val="20"/>
                <w:szCs w:val="20"/>
              </w:rPr>
              <w:t xml:space="preserve"> </w:t>
            </w:r>
          </w:p>
        </w:tc>
      </w:tr>
      <w:tr w:rsidR="002A5780" w14:paraId="272357DD" w14:textId="77777777" w:rsidTr="2AC19007">
        <w:trPr>
          <w:trHeight w:val="41"/>
        </w:trPr>
        <w:tc>
          <w:tcPr>
            <w:tcW w:w="776" w:type="dxa"/>
            <w:tcMar>
              <w:top w:w="29" w:type="dxa"/>
              <w:left w:w="115" w:type="dxa"/>
              <w:bottom w:w="29" w:type="dxa"/>
              <w:right w:w="115" w:type="dxa"/>
            </w:tcMar>
          </w:tcPr>
          <w:p w14:paraId="00000223"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224" w14:textId="77777777" w:rsidR="002A5780" w:rsidRDefault="00D91955">
            <w:pPr>
              <w:spacing w:after="0"/>
              <w:jc w:val="both"/>
              <w:rPr>
                <w:sz w:val="20"/>
                <w:szCs w:val="20"/>
              </w:rPr>
            </w:pPr>
            <w:r>
              <w:rPr>
                <w:sz w:val="20"/>
                <w:szCs w:val="20"/>
              </w:rPr>
              <w:t>Mokėjimų infrastruktūros strategija</w:t>
            </w:r>
          </w:p>
        </w:tc>
        <w:tc>
          <w:tcPr>
            <w:tcW w:w="2148" w:type="dxa"/>
            <w:tcMar>
              <w:top w:w="29" w:type="dxa"/>
              <w:left w:w="115" w:type="dxa"/>
              <w:bottom w:w="29" w:type="dxa"/>
              <w:right w:w="115" w:type="dxa"/>
            </w:tcMar>
          </w:tcPr>
          <w:p w14:paraId="00000226" w14:textId="77777777" w:rsidR="002A5780" w:rsidRDefault="00D91955">
            <w:pPr>
              <w:spacing w:after="0"/>
              <w:jc w:val="both"/>
              <w:rPr>
                <w:color w:val="000000"/>
                <w:sz w:val="20"/>
                <w:szCs w:val="20"/>
              </w:rPr>
            </w:pPr>
            <w:hyperlink r:id="rId158">
              <w:r w:rsidRPr="4954557E">
                <w:rPr>
                  <w:color w:val="0563C1"/>
                  <w:sz w:val="20"/>
                  <w:szCs w:val="20"/>
                  <w:u w:val="single"/>
                </w:rPr>
                <w:t>Strategy</w:t>
              </w:r>
            </w:hyperlink>
          </w:p>
        </w:tc>
      </w:tr>
      <w:tr w:rsidR="002A5780" w14:paraId="25B7CD51" w14:textId="77777777" w:rsidTr="2AC19007">
        <w:trPr>
          <w:trHeight w:val="41"/>
        </w:trPr>
        <w:tc>
          <w:tcPr>
            <w:tcW w:w="776" w:type="dxa"/>
            <w:tcMar>
              <w:top w:w="29" w:type="dxa"/>
              <w:left w:w="115" w:type="dxa"/>
              <w:bottom w:w="29" w:type="dxa"/>
              <w:right w:w="115" w:type="dxa"/>
            </w:tcMar>
          </w:tcPr>
          <w:p w14:paraId="00000227"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28" w14:textId="77777777" w:rsidR="002A5780" w:rsidRDefault="00D91955">
            <w:pPr>
              <w:spacing w:after="0"/>
              <w:jc w:val="both"/>
              <w:rPr>
                <w:sz w:val="20"/>
                <w:szCs w:val="20"/>
              </w:rPr>
            </w:pPr>
            <w:r>
              <w:rPr>
                <w:sz w:val="20"/>
                <w:szCs w:val="20"/>
              </w:rPr>
              <w:t>Nauja tarptautinio švietimo strategija</w:t>
            </w:r>
          </w:p>
        </w:tc>
        <w:tc>
          <w:tcPr>
            <w:tcW w:w="2148" w:type="dxa"/>
            <w:tcMar>
              <w:top w:w="29" w:type="dxa"/>
              <w:left w:w="115" w:type="dxa"/>
              <w:bottom w:w="29" w:type="dxa"/>
              <w:right w:w="115" w:type="dxa"/>
            </w:tcMar>
          </w:tcPr>
          <w:p w14:paraId="0000022A" w14:textId="77777777" w:rsidR="002A5780" w:rsidRDefault="00D91955">
            <w:pPr>
              <w:spacing w:after="0"/>
              <w:jc w:val="both"/>
              <w:rPr>
                <w:sz w:val="20"/>
                <w:szCs w:val="20"/>
              </w:rPr>
            </w:pPr>
            <w:hyperlink r:id="rId159">
              <w:r w:rsidRPr="4954557E">
                <w:rPr>
                  <w:color w:val="0563C1"/>
                  <w:sz w:val="20"/>
                  <w:szCs w:val="20"/>
                  <w:u w:val="single"/>
                </w:rPr>
                <w:t>GOV.UK</w:t>
              </w:r>
            </w:hyperlink>
          </w:p>
        </w:tc>
      </w:tr>
      <w:tr w:rsidR="002A5780" w14:paraId="2C9DB1F7" w14:textId="77777777" w:rsidTr="2AC19007">
        <w:trPr>
          <w:trHeight w:val="41"/>
        </w:trPr>
        <w:tc>
          <w:tcPr>
            <w:tcW w:w="776" w:type="dxa"/>
            <w:tcMar>
              <w:top w:w="29" w:type="dxa"/>
              <w:left w:w="115" w:type="dxa"/>
              <w:bottom w:w="29" w:type="dxa"/>
              <w:right w:w="115" w:type="dxa"/>
            </w:tcMar>
          </w:tcPr>
          <w:p w14:paraId="0000022B"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22C" w14:textId="77777777" w:rsidR="002A5780" w:rsidRDefault="00D91955">
            <w:pPr>
              <w:spacing w:after="0"/>
              <w:jc w:val="both"/>
              <w:rPr>
                <w:sz w:val="20"/>
                <w:szCs w:val="20"/>
              </w:rPr>
            </w:pPr>
            <w:r>
              <w:rPr>
                <w:sz w:val="20"/>
                <w:szCs w:val="20"/>
              </w:rPr>
              <w:t>Pramonės strategija</w:t>
            </w:r>
          </w:p>
        </w:tc>
        <w:tc>
          <w:tcPr>
            <w:tcW w:w="2148" w:type="dxa"/>
            <w:tcMar>
              <w:top w:w="29" w:type="dxa"/>
              <w:left w:w="115" w:type="dxa"/>
              <w:bottom w:w="29" w:type="dxa"/>
              <w:right w:w="115" w:type="dxa"/>
            </w:tcMar>
          </w:tcPr>
          <w:p w14:paraId="0000022E" w14:textId="77777777" w:rsidR="002A5780" w:rsidRDefault="00D91955">
            <w:pPr>
              <w:spacing w:after="0"/>
              <w:jc w:val="both"/>
              <w:rPr>
                <w:sz w:val="20"/>
                <w:szCs w:val="20"/>
              </w:rPr>
            </w:pPr>
            <w:hyperlink r:id="rId160">
              <w:r>
                <w:rPr>
                  <w:color w:val="0563C1"/>
                  <w:sz w:val="20"/>
                  <w:szCs w:val="20"/>
                  <w:u w:val="single"/>
                </w:rPr>
                <w:t>Industrial Strategy</w:t>
              </w:r>
            </w:hyperlink>
            <w:r>
              <w:rPr>
                <w:sz w:val="20"/>
                <w:szCs w:val="20"/>
              </w:rPr>
              <w:t xml:space="preserve"> </w:t>
            </w:r>
          </w:p>
        </w:tc>
      </w:tr>
      <w:tr w:rsidR="002A5780" w14:paraId="451AB478" w14:textId="77777777" w:rsidTr="2AC19007">
        <w:trPr>
          <w:trHeight w:val="41"/>
        </w:trPr>
        <w:tc>
          <w:tcPr>
            <w:tcW w:w="776" w:type="dxa"/>
            <w:tcMar>
              <w:top w:w="29" w:type="dxa"/>
              <w:left w:w="115" w:type="dxa"/>
              <w:bottom w:w="29" w:type="dxa"/>
              <w:right w:w="115" w:type="dxa"/>
            </w:tcMar>
          </w:tcPr>
          <w:p w14:paraId="0000022F"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230" w14:textId="77777777" w:rsidR="002A5780" w:rsidRDefault="00D91955">
            <w:pPr>
              <w:spacing w:after="0"/>
              <w:jc w:val="both"/>
              <w:rPr>
                <w:sz w:val="20"/>
                <w:szCs w:val="20"/>
              </w:rPr>
            </w:pPr>
            <w:r>
              <w:rPr>
                <w:sz w:val="20"/>
                <w:szCs w:val="20"/>
              </w:rPr>
              <w:t>Pramonės strategijos sektorinės dalys (</w:t>
            </w:r>
            <w:r>
              <w:rPr>
                <w:i/>
                <w:iCs/>
                <w:sz w:val="20"/>
                <w:szCs w:val="20"/>
              </w:rPr>
              <w:t>advanced manufacturing, creative industries, clean energy industries, digital and technologies, professional and business services, life sciences, financial services, defence</w:t>
            </w:r>
            <w:r>
              <w:rPr>
                <w:sz w:val="20"/>
                <w:szCs w:val="20"/>
              </w:rPr>
              <w:t>)</w:t>
            </w:r>
          </w:p>
        </w:tc>
        <w:tc>
          <w:tcPr>
            <w:tcW w:w="2148" w:type="dxa"/>
            <w:tcMar>
              <w:top w:w="29" w:type="dxa"/>
              <w:left w:w="115" w:type="dxa"/>
              <w:bottom w:w="29" w:type="dxa"/>
              <w:right w:w="115" w:type="dxa"/>
            </w:tcMar>
          </w:tcPr>
          <w:p w14:paraId="00000232" w14:textId="77777777" w:rsidR="002A5780" w:rsidRDefault="00D91955">
            <w:pPr>
              <w:spacing w:after="0"/>
              <w:jc w:val="both"/>
              <w:rPr>
                <w:sz w:val="20"/>
                <w:szCs w:val="20"/>
              </w:rPr>
            </w:pPr>
            <w:hyperlink r:id="rId161">
              <w:r>
                <w:rPr>
                  <w:color w:val="0563C1"/>
                  <w:sz w:val="20"/>
                  <w:szCs w:val="20"/>
                  <w:u w:val="single"/>
                </w:rPr>
                <w:t>Sectors</w:t>
              </w:r>
            </w:hyperlink>
            <w:r>
              <w:rPr>
                <w:sz w:val="20"/>
                <w:szCs w:val="20"/>
              </w:rPr>
              <w:t xml:space="preserve"> </w:t>
            </w:r>
          </w:p>
        </w:tc>
      </w:tr>
      <w:tr w:rsidR="002A5780" w14:paraId="47F2C3E8" w14:textId="77777777" w:rsidTr="2AC19007">
        <w:trPr>
          <w:trHeight w:val="41"/>
        </w:trPr>
        <w:tc>
          <w:tcPr>
            <w:tcW w:w="776" w:type="dxa"/>
            <w:tcMar>
              <w:top w:w="29" w:type="dxa"/>
              <w:left w:w="115" w:type="dxa"/>
              <w:bottom w:w="29" w:type="dxa"/>
              <w:right w:w="115" w:type="dxa"/>
            </w:tcMar>
          </w:tcPr>
          <w:p w14:paraId="00000233"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234" w14:textId="77777777" w:rsidR="002A5780" w:rsidRDefault="00D91955">
            <w:pPr>
              <w:spacing w:after="0"/>
              <w:jc w:val="both"/>
              <w:rPr>
                <w:sz w:val="20"/>
                <w:szCs w:val="20"/>
              </w:rPr>
            </w:pPr>
            <w:r>
              <w:rPr>
                <w:sz w:val="20"/>
                <w:szCs w:val="20"/>
              </w:rPr>
              <w:t>Prekybos strategija</w:t>
            </w:r>
          </w:p>
        </w:tc>
        <w:tc>
          <w:tcPr>
            <w:tcW w:w="2148" w:type="dxa"/>
            <w:tcMar>
              <w:top w:w="29" w:type="dxa"/>
              <w:left w:w="115" w:type="dxa"/>
              <w:bottom w:w="29" w:type="dxa"/>
              <w:right w:w="115" w:type="dxa"/>
            </w:tcMar>
          </w:tcPr>
          <w:p w14:paraId="00000236" w14:textId="77777777" w:rsidR="002A5780" w:rsidRDefault="00D91955">
            <w:pPr>
              <w:spacing w:after="0"/>
              <w:jc w:val="both"/>
              <w:rPr>
                <w:sz w:val="20"/>
                <w:szCs w:val="20"/>
              </w:rPr>
            </w:pPr>
            <w:hyperlink r:id="rId162">
              <w:r>
                <w:rPr>
                  <w:color w:val="0563C1"/>
                  <w:sz w:val="20"/>
                  <w:szCs w:val="20"/>
                  <w:u w:val="single"/>
                </w:rPr>
                <w:t>UK Trade Strategy</w:t>
              </w:r>
            </w:hyperlink>
            <w:r>
              <w:rPr>
                <w:sz w:val="20"/>
                <w:szCs w:val="20"/>
              </w:rPr>
              <w:t xml:space="preserve"> </w:t>
            </w:r>
          </w:p>
        </w:tc>
      </w:tr>
      <w:tr w:rsidR="002A5780" w14:paraId="005DB7F8" w14:textId="77777777" w:rsidTr="2AC19007">
        <w:trPr>
          <w:trHeight w:val="41"/>
        </w:trPr>
        <w:tc>
          <w:tcPr>
            <w:tcW w:w="776" w:type="dxa"/>
            <w:tcMar>
              <w:top w:w="29" w:type="dxa"/>
              <w:left w:w="115" w:type="dxa"/>
              <w:bottom w:w="29" w:type="dxa"/>
              <w:right w:w="115" w:type="dxa"/>
            </w:tcMar>
          </w:tcPr>
          <w:p w14:paraId="00000237"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38" w14:textId="77777777" w:rsidR="002A5780" w:rsidRDefault="00D91955">
            <w:pPr>
              <w:spacing w:after="0"/>
              <w:jc w:val="both"/>
              <w:rPr>
                <w:sz w:val="20"/>
                <w:szCs w:val="20"/>
              </w:rPr>
            </w:pPr>
            <w:r>
              <w:rPr>
                <w:sz w:val="20"/>
                <w:szCs w:val="20"/>
              </w:rPr>
              <w:t>Švarios energijos 2030 veiksmų planas</w:t>
            </w:r>
          </w:p>
        </w:tc>
        <w:tc>
          <w:tcPr>
            <w:tcW w:w="2148" w:type="dxa"/>
            <w:tcMar>
              <w:top w:w="29" w:type="dxa"/>
              <w:left w:w="115" w:type="dxa"/>
              <w:bottom w:w="29" w:type="dxa"/>
              <w:right w:w="115" w:type="dxa"/>
            </w:tcMar>
          </w:tcPr>
          <w:p w14:paraId="0000023A" w14:textId="77777777" w:rsidR="002A5780" w:rsidRDefault="00D91955">
            <w:pPr>
              <w:spacing w:after="0"/>
              <w:jc w:val="both"/>
              <w:rPr>
                <w:color w:val="0563C1"/>
                <w:sz w:val="20"/>
                <w:szCs w:val="20"/>
                <w:u w:val="single"/>
              </w:rPr>
            </w:pPr>
            <w:hyperlink r:id="rId163">
              <w:r>
                <w:rPr>
                  <w:color w:val="0563C1"/>
                  <w:sz w:val="20"/>
                  <w:szCs w:val="20"/>
                  <w:u w:val="single"/>
                </w:rPr>
                <w:t>GOV.UK</w:t>
              </w:r>
            </w:hyperlink>
            <w:r>
              <w:rPr>
                <w:sz w:val="20"/>
                <w:szCs w:val="20"/>
              </w:rPr>
              <w:t xml:space="preserve"> </w:t>
            </w:r>
          </w:p>
        </w:tc>
      </w:tr>
      <w:tr w:rsidR="002A5780" w14:paraId="12AA404C" w14:textId="77777777" w:rsidTr="2AC19007">
        <w:trPr>
          <w:trHeight w:val="41"/>
        </w:trPr>
        <w:tc>
          <w:tcPr>
            <w:tcW w:w="776" w:type="dxa"/>
            <w:tcMar>
              <w:top w:w="29" w:type="dxa"/>
              <w:left w:w="115" w:type="dxa"/>
              <w:bottom w:w="29" w:type="dxa"/>
              <w:right w:w="115" w:type="dxa"/>
            </w:tcMar>
          </w:tcPr>
          <w:p w14:paraId="0000023B" w14:textId="77777777" w:rsidR="002A5780" w:rsidRDefault="002A5780">
            <w:pPr>
              <w:pBdr>
                <w:top w:val="nil"/>
                <w:left w:val="nil"/>
                <w:bottom w:val="nil"/>
                <w:right w:val="nil"/>
                <w:between w:val="nil"/>
              </w:pBdr>
              <w:spacing w:after="0"/>
              <w:jc w:val="both"/>
              <w:rPr>
                <w:color w:val="000000"/>
                <w:sz w:val="20"/>
                <w:szCs w:val="20"/>
              </w:rPr>
            </w:pPr>
          </w:p>
        </w:tc>
        <w:tc>
          <w:tcPr>
            <w:tcW w:w="12322" w:type="dxa"/>
            <w:gridSpan w:val="2"/>
            <w:tcMar>
              <w:top w:w="29" w:type="dxa"/>
              <w:left w:w="115" w:type="dxa"/>
              <w:bottom w:w="29" w:type="dxa"/>
              <w:right w:w="115" w:type="dxa"/>
            </w:tcMar>
          </w:tcPr>
          <w:p w14:paraId="0000023C" w14:textId="77777777" w:rsidR="002A5780" w:rsidRDefault="00D91955">
            <w:pPr>
              <w:spacing w:after="0"/>
              <w:jc w:val="both"/>
              <w:rPr>
                <w:sz w:val="20"/>
                <w:szCs w:val="20"/>
              </w:rPr>
            </w:pPr>
            <w:r>
              <w:rPr>
                <w:b/>
                <w:bCs/>
                <w:sz w:val="20"/>
                <w:szCs w:val="20"/>
              </w:rPr>
              <w:t>Viešieji pirkimai.</w:t>
            </w:r>
            <w:r>
              <w:rPr>
                <w:sz w:val="20"/>
                <w:szCs w:val="20"/>
              </w:rPr>
              <w:t xml:space="preserve"> Nuo 2021 m. ES verslai gali dalyvauti JK viešuosiuose pirkimuose pagal naują tvarką: pareiškėjų teisės, įsipareigojimai ir kitos sąlygos bus reglamentuojamos JK teisės aktais bei PPO Vyriausybės viešųjų pirkimų susitarimo principais </w:t>
            </w:r>
            <w:r>
              <w:rPr>
                <w:i/>
                <w:iCs/>
                <w:sz w:val="20"/>
                <w:szCs w:val="20"/>
              </w:rPr>
              <w:t>(WTO Government Procurement Agreement – GPA)</w:t>
            </w:r>
            <w:r>
              <w:rPr>
                <w:sz w:val="20"/>
                <w:szCs w:val="20"/>
              </w:rPr>
              <w:t xml:space="preserve">, o nebe ES direktyvomis. Viešuosius pirkimus su reikalavimais tiekėjams galima rasti JK viešųjų pirkimų portale ir filtruoti pagal sektorius.  </w:t>
            </w:r>
          </w:p>
        </w:tc>
        <w:tc>
          <w:tcPr>
            <w:tcW w:w="2148" w:type="dxa"/>
            <w:tcMar>
              <w:top w:w="29" w:type="dxa"/>
              <w:left w:w="115" w:type="dxa"/>
              <w:bottom w:w="29" w:type="dxa"/>
              <w:right w:w="115" w:type="dxa"/>
            </w:tcMar>
          </w:tcPr>
          <w:p w14:paraId="0000023E" w14:textId="77777777" w:rsidR="002A5780" w:rsidRDefault="00D91955">
            <w:pPr>
              <w:spacing w:after="0"/>
              <w:jc w:val="both"/>
              <w:rPr>
                <w:sz w:val="20"/>
                <w:szCs w:val="20"/>
              </w:rPr>
            </w:pPr>
            <w:hyperlink r:id="rId164">
              <w:r>
                <w:rPr>
                  <w:color w:val="0563C1"/>
                  <w:sz w:val="20"/>
                  <w:szCs w:val="20"/>
                  <w:u w:val="single"/>
                </w:rPr>
                <w:t>Find a Tender (find-tender.service.gov.uk)</w:t>
              </w:r>
            </w:hyperlink>
          </w:p>
        </w:tc>
      </w:tr>
      <w:tr w:rsidR="002A5780" w14:paraId="32E07209" w14:textId="77777777" w:rsidTr="2AC19007">
        <w:trPr>
          <w:trHeight w:val="812"/>
        </w:trPr>
        <w:tc>
          <w:tcPr>
            <w:tcW w:w="776" w:type="dxa"/>
            <w:tcMar>
              <w:top w:w="29" w:type="dxa"/>
              <w:left w:w="115" w:type="dxa"/>
              <w:bottom w:w="29" w:type="dxa"/>
              <w:right w:w="115" w:type="dxa"/>
            </w:tcMar>
          </w:tcPr>
          <w:p w14:paraId="0000023F" w14:textId="77777777" w:rsidR="002A5780" w:rsidRDefault="002A5780">
            <w:pPr>
              <w:spacing w:after="0"/>
              <w:jc w:val="both"/>
              <w:rPr>
                <w:sz w:val="20"/>
                <w:szCs w:val="20"/>
              </w:rPr>
            </w:pPr>
          </w:p>
        </w:tc>
        <w:tc>
          <w:tcPr>
            <w:tcW w:w="12322" w:type="dxa"/>
            <w:gridSpan w:val="2"/>
            <w:tcMar>
              <w:top w:w="29" w:type="dxa"/>
              <w:left w:w="115" w:type="dxa"/>
              <w:bottom w:w="29" w:type="dxa"/>
              <w:right w:w="115" w:type="dxa"/>
            </w:tcMar>
          </w:tcPr>
          <w:p w14:paraId="00000240" w14:textId="77777777" w:rsidR="002A5780" w:rsidRDefault="00D91955">
            <w:pPr>
              <w:spacing w:after="0"/>
              <w:jc w:val="both"/>
              <w:rPr>
                <w:sz w:val="20"/>
                <w:szCs w:val="20"/>
              </w:rPr>
            </w:pPr>
            <w:r>
              <w:rPr>
                <w:sz w:val="20"/>
                <w:szCs w:val="20"/>
              </w:rPr>
              <w:t>Žaliosios energetikos planas</w:t>
            </w:r>
          </w:p>
        </w:tc>
        <w:tc>
          <w:tcPr>
            <w:tcW w:w="2148" w:type="dxa"/>
            <w:tcMar>
              <w:top w:w="29" w:type="dxa"/>
              <w:left w:w="115" w:type="dxa"/>
              <w:bottom w:w="29" w:type="dxa"/>
              <w:right w:w="115" w:type="dxa"/>
            </w:tcMar>
          </w:tcPr>
          <w:p w14:paraId="00000242" w14:textId="77777777" w:rsidR="002A5780" w:rsidRDefault="00D91955">
            <w:pPr>
              <w:spacing w:after="0" w:line="240" w:lineRule="auto"/>
              <w:jc w:val="both"/>
              <w:rPr>
                <w:sz w:val="20"/>
                <w:szCs w:val="20"/>
              </w:rPr>
            </w:pPr>
            <w:hyperlink r:id="rId165">
              <w:r>
                <w:rPr>
                  <w:color w:val="0563C1"/>
                  <w:sz w:val="20"/>
                  <w:szCs w:val="20"/>
                  <w:u w:val="single"/>
                </w:rPr>
                <w:t>GOV.UK</w:t>
              </w:r>
            </w:hyperlink>
          </w:p>
          <w:p w14:paraId="00000243" w14:textId="77777777" w:rsidR="002A5780" w:rsidRDefault="00D91955">
            <w:pPr>
              <w:spacing w:after="0"/>
              <w:jc w:val="both"/>
              <w:rPr>
                <w:sz w:val="20"/>
                <w:szCs w:val="20"/>
              </w:rPr>
            </w:pPr>
            <w:hyperlink r:id="rId166">
              <w:r>
                <w:rPr>
                  <w:color w:val="0563C1"/>
                  <w:sz w:val="20"/>
                  <w:szCs w:val="20"/>
                  <w:u w:val="single"/>
                </w:rPr>
                <w:t>Clean Power 2030: Action Plan</w:t>
              </w:r>
            </w:hyperlink>
          </w:p>
        </w:tc>
      </w:tr>
      <w:tr w:rsidR="002A5780" w14:paraId="4CBE4025" w14:textId="77777777" w:rsidTr="2AC19007">
        <w:trPr>
          <w:trHeight w:val="111"/>
        </w:trPr>
        <w:tc>
          <w:tcPr>
            <w:tcW w:w="15246" w:type="dxa"/>
            <w:gridSpan w:val="4"/>
            <w:shd w:val="clear" w:color="auto" w:fill="DEEAF6"/>
            <w:tcMar>
              <w:top w:w="29" w:type="dxa"/>
              <w:left w:w="115" w:type="dxa"/>
              <w:bottom w:w="29" w:type="dxa"/>
              <w:right w:w="115" w:type="dxa"/>
            </w:tcMar>
          </w:tcPr>
          <w:p w14:paraId="00000244" w14:textId="77777777" w:rsidR="002A5780" w:rsidRDefault="00D91955">
            <w:pPr>
              <w:spacing w:after="0"/>
            </w:pPr>
            <w:r>
              <w:rPr>
                <w:b/>
                <w:bCs/>
              </w:rPr>
              <w:t>PORTUGALIJA</w:t>
            </w:r>
          </w:p>
        </w:tc>
      </w:tr>
      <w:tr w:rsidR="002A5780" w14:paraId="6F5ACAD9" w14:textId="77777777" w:rsidTr="2AC19007">
        <w:trPr>
          <w:trHeight w:val="371"/>
        </w:trPr>
        <w:tc>
          <w:tcPr>
            <w:tcW w:w="15246" w:type="dxa"/>
            <w:gridSpan w:val="4"/>
            <w:shd w:val="clear" w:color="auto" w:fill="DEEAF6"/>
            <w:tcMar>
              <w:top w:w="29" w:type="dxa"/>
              <w:left w:w="115" w:type="dxa"/>
              <w:bottom w:w="29" w:type="dxa"/>
              <w:right w:w="115" w:type="dxa"/>
            </w:tcMar>
          </w:tcPr>
          <w:p w14:paraId="00000248" w14:textId="77777777" w:rsidR="002A5780" w:rsidRDefault="00D91955">
            <w:pPr>
              <w:spacing w:after="0"/>
              <w:rPr>
                <w:b/>
                <w:bCs/>
              </w:rPr>
            </w:pPr>
            <w:r>
              <w:rPr>
                <w:b/>
                <w:bCs/>
              </w:rPr>
              <w:t>Bendra ekonominė informacija</w:t>
            </w:r>
          </w:p>
        </w:tc>
      </w:tr>
      <w:tr w:rsidR="002A5780" w14:paraId="6A67F54D" w14:textId="77777777" w:rsidTr="2AC19007">
        <w:trPr>
          <w:trHeight w:val="369"/>
        </w:trPr>
        <w:tc>
          <w:tcPr>
            <w:tcW w:w="776" w:type="dxa"/>
            <w:tcMar>
              <w:top w:w="29" w:type="dxa"/>
              <w:left w:w="115" w:type="dxa"/>
              <w:bottom w:w="29" w:type="dxa"/>
              <w:right w:w="115" w:type="dxa"/>
            </w:tcMar>
          </w:tcPr>
          <w:p w14:paraId="0000024C" w14:textId="77777777" w:rsidR="002A5780" w:rsidRDefault="002A5780">
            <w:pPr>
              <w:spacing w:after="0" w:line="240" w:lineRule="auto"/>
              <w:jc w:val="both"/>
              <w:rPr>
                <w:sz w:val="20"/>
                <w:szCs w:val="20"/>
              </w:rPr>
            </w:pPr>
          </w:p>
        </w:tc>
        <w:tc>
          <w:tcPr>
            <w:tcW w:w="12322" w:type="dxa"/>
            <w:gridSpan w:val="2"/>
            <w:tcMar>
              <w:top w:w="29" w:type="dxa"/>
              <w:left w:w="115" w:type="dxa"/>
              <w:bottom w:w="29" w:type="dxa"/>
              <w:right w:w="115" w:type="dxa"/>
            </w:tcMar>
          </w:tcPr>
          <w:p w14:paraId="0000024D" w14:textId="77777777" w:rsidR="002A5780" w:rsidRDefault="00D91955" w:rsidP="2AC19007">
            <w:pPr>
              <w:spacing w:after="0"/>
              <w:jc w:val="both"/>
              <w:rPr>
                <w:sz w:val="20"/>
                <w:szCs w:val="20"/>
              </w:rPr>
            </w:pPr>
            <w:r w:rsidRPr="2AC19007">
              <w:rPr>
                <w:sz w:val="20"/>
                <w:szCs w:val="20"/>
              </w:rPr>
              <w:t>Portugalijos verslo, ekonomikos ir finansų renginiai.</w:t>
            </w:r>
          </w:p>
        </w:tc>
        <w:tc>
          <w:tcPr>
            <w:tcW w:w="2148" w:type="dxa"/>
            <w:tcMar>
              <w:top w:w="29" w:type="dxa"/>
              <w:left w:w="115" w:type="dxa"/>
              <w:bottom w:w="29" w:type="dxa"/>
              <w:right w:w="115" w:type="dxa"/>
            </w:tcMar>
          </w:tcPr>
          <w:p w14:paraId="0000024F" w14:textId="77777777" w:rsidR="002A5780" w:rsidRDefault="00D91955" w:rsidP="2AC19007">
            <w:pPr>
              <w:spacing w:after="0" w:line="240" w:lineRule="auto"/>
              <w:jc w:val="both"/>
              <w:rPr>
                <w:sz w:val="20"/>
                <w:szCs w:val="20"/>
              </w:rPr>
            </w:pPr>
            <w:hyperlink r:id="rId167">
              <w:r w:rsidRPr="2AC19007">
                <w:rPr>
                  <w:color w:val="0563C1"/>
                  <w:sz w:val="20"/>
                  <w:szCs w:val="20"/>
                  <w:u w:val="single"/>
                </w:rPr>
                <w:t>https://eco.sapo.pt/eventos/</w:t>
              </w:r>
            </w:hyperlink>
            <w:r w:rsidRPr="2AC19007">
              <w:rPr>
                <w:sz w:val="20"/>
                <w:szCs w:val="20"/>
              </w:rPr>
              <w:t xml:space="preserve"> </w:t>
            </w:r>
          </w:p>
        </w:tc>
      </w:tr>
      <w:tr w:rsidR="002A5780" w14:paraId="6E32744C" w14:textId="77777777" w:rsidTr="2AC19007">
        <w:trPr>
          <w:trHeight w:val="369"/>
        </w:trPr>
        <w:tc>
          <w:tcPr>
            <w:tcW w:w="776" w:type="dxa"/>
            <w:tcMar>
              <w:top w:w="29" w:type="dxa"/>
              <w:left w:w="115" w:type="dxa"/>
              <w:bottom w:w="29" w:type="dxa"/>
              <w:right w:w="115" w:type="dxa"/>
            </w:tcMar>
          </w:tcPr>
          <w:p w14:paraId="00000250" w14:textId="77777777" w:rsidR="002A5780" w:rsidRDefault="002A5780">
            <w:pPr>
              <w:spacing w:after="0" w:line="240" w:lineRule="auto"/>
              <w:jc w:val="both"/>
              <w:rPr>
                <w:sz w:val="20"/>
                <w:szCs w:val="20"/>
              </w:rPr>
            </w:pPr>
          </w:p>
        </w:tc>
        <w:tc>
          <w:tcPr>
            <w:tcW w:w="12322" w:type="dxa"/>
            <w:gridSpan w:val="2"/>
            <w:tcMar>
              <w:top w:w="29" w:type="dxa"/>
              <w:left w:w="115" w:type="dxa"/>
              <w:bottom w:w="29" w:type="dxa"/>
              <w:right w:w="115" w:type="dxa"/>
            </w:tcMar>
          </w:tcPr>
          <w:p w14:paraId="00000251" w14:textId="77777777" w:rsidR="002A5780" w:rsidRDefault="00D91955" w:rsidP="2AC19007">
            <w:pPr>
              <w:spacing w:after="0"/>
              <w:jc w:val="both"/>
              <w:rPr>
                <w:sz w:val="20"/>
                <w:szCs w:val="20"/>
              </w:rPr>
            </w:pPr>
            <w:r w:rsidRPr="2AC19007">
              <w:rPr>
                <w:sz w:val="20"/>
                <w:szCs w:val="20"/>
              </w:rPr>
              <w:t>Europos Sąjungos įvykiai, iniciatyvos Portugalijoje.</w:t>
            </w:r>
          </w:p>
        </w:tc>
        <w:tc>
          <w:tcPr>
            <w:tcW w:w="2148" w:type="dxa"/>
            <w:tcMar>
              <w:top w:w="29" w:type="dxa"/>
              <w:left w:w="115" w:type="dxa"/>
              <w:bottom w:w="29" w:type="dxa"/>
              <w:right w:w="115" w:type="dxa"/>
            </w:tcMar>
          </w:tcPr>
          <w:p w14:paraId="00000253" w14:textId="77777777" w:rsidR="002A5780" w:rsidRDefault="00D91955" w:rsidP="2AC19007">
            <w:pPr>
              <w:spacing w:after="0" w:line="240" w:lineRule="auto"/>
              <w:jc w:val="both"/>
              <w:rPr>
                <w:sz w:val="20"/>
                <w:szCs w:val="20"/>
              </w:rPr>
            </w:pPr>
            <w:hyperlink r:id="rId168">
              <w:r w:rsidRPr="2AC19007">
                <w:rPr>
                  <w:color w:val="0563C1"/>
                  <w:sz w:val="20"/>
                  <w:szCs w:val="20"/>
                  <w:u w:val="single"/>
                </w:rPr>
                <w:t xml:space="preserve">Euagenda.eu </w:t>
              </w:r>
            </w:hyperlink>
            <w:r w:rsidRPr="2AC19007">
              <w:rPr>
                <w:sz w:val="20"/>
                <w:szCs w:val="20"/>
              </w:rPr>
              <w:t xml:space="preserve"> </w:t>
            </w:r>
          </w:p>
        </w:tc>
      </w:tr>
      <w:tr w:rsidR="002A5780" w14:paraId="7AC4683C" w14:textId="77777777" w:rsidTr="2AC19007">
        <w:trPr>
          <w:trHeight w:val="316"/>
        </w:trPr>
        <w:tc>
          <w:tcPr>
            <w:tcW w:w="776" w:type="dxa"/>
            <w:tcMar>
              <w:top w:w="29" w:type="dxa"/>
              <w:left w:w="115" w:type="dxa"/>
              <w:bottom w:w="29" w:type="dxa"/>
              <w:right w:w="115" w:type="dxa"/>
            </w:tcMar>
          </w:tcPr>
          <w:p w14:paraId="00000254" w14:textId="77777777" w:rsidR="002A5780" w:rsidRDefault="002A5780">
            <w:pPr>
              <w:spacing w:after="0" w:line="240" w:lineRule="auto"/>
              <w:jc w:val="both"/>
              <w:rPr>
                <w:sz w:val="20"/>
                <w:szCs w:val="20"/>
              </w:rPr>
            </w:pPr>
          </w:p>
        </w:tc>
        <w:tc>
          <w:tcPr>
            <w:tcW w:w="12322" w:type="dxa"/>
            <w:gridSpan w:val="2"/>
            <w:tcMar>
              <w:top w:w="29" w:type="dxa"/>
              <w:left w:w="115" w:type="dxa"/>
              <w:bottom w:w="29" w:type="dxa"/>
              <w:right w:w="115" w:type="dxa"/>
            </w:tcMar>
          </w:tcPr>
          <w:p w14:paraId="00000255" w14:textId="5176B87E" w:rsidR="002A5780" w:rsidRDefault="4BFE22D0" w:rsidP="2AC19007">
            <w:pPr>
              <w:spacing w:after="0"/>
              <w:jc w:val="both"/>
              <w:rPr>
                <w:sz w:val="20"/>
                <w:szCs w:val="20"/>
              </w:rPr>
            </w:pPr>
            <w:r w:rsidRPr="2AC19007">
              <w:rPr>
                <w:sz w:val="20"/>
                <w:szCs w:val="20"/>
              </w:rPr>
              <w:t>BVP – 2,5 proc.</w:t>
            </w:r>
          </w:p>
        </w:tc>
        <w:tc>
          <w:tcPr>
            <w:tcW w:w="2148" w:type="dxa"/>
            <w:tcMar>
              <w:top w:w="29" w:type="dxa"/>
              <w:left w:w="115" w:type="dxa"/>
              <w:bottom w:w="29" w:type="dxa"/>
              <w:right w:w="115" w:type="dxa"/>
            </w:tcMar>
          </w:tcPr>
          <w:p w14:paraId="00000257" w14:textId="77777777" w:rsidR="002A5780" w:rsidRDefault="00D91955" w:rsidP="2AC19007">
            <w:pPr>
              <w:spacing w:after="0" w:line="240" w:lineRule="auto"/>
              <w:jc w:val="both"/>
              <w:rPr>
                <w:sz w:val="20"/>
                <w:szCs w:val="20"/>
              </w:rPr>
            </w:pPr>
            <w:hyperlink r:id="rId169">
              <w:r w:rsidRPr="2AC19007">
                <w:rPr>
                  <w:color w:val="0563C1"/>
                  <w:sz w:val="20"/>
                  <w:szCs w:val="20"/>
                  <w:u w:val="single"/>
                </w:rPr>
                <w:t>Statistics Portugal</w:t>
              </w:r>
            </w:hyperlink>
            <w:r w:rsidRPr="2AC19007">
              <w:rPr>
                <w:sz w:val="20"/>
                <w:szCs w:val="20"/>
              </w:rPr>
              <w:t xml:space="preserve"> </w:t>
            </w:r>
          </w:p>
        </w:tc>
      </w:tr>
      <w:tr w:rsidR="002A5780" w14:paraId="3A5D34D7" w14:textId="77777777" w:rsidTr="2AC19007">
        <w:trPr>
          <w:trHeight w:val="369"/>
        </w:trPr>
        <w:tc>
          <w:tcPr>
            <w:tcW w:w="776" w:type="dxa"/>
            <w:tcMar>
              <w:top w:w="29" w:type="dxa"/>
              <w:left w:w="115" w:type="dxa"/>
              <w:bottom w:w="29" w:type="dxa"/>
              <w:right w:w="115" w:type="dxa"/>
            </w:tcMar>
          </w:tcPr>
          <w:p w14:paraId="00000258" w14:textId="77777777" w:rsidR="002A5780" w:rsidRDefault="002A5780">
            <w:pPr>
              <w:spacing w:after="0" w:line="240" w:lineRule="auto"/>
              <w:jc w:val="both"/>
              <w:rPr>
                <w:sz w:val="20"/>
                <w:szCs w:val="20"/>
              </w:rPr>
            </w:pPr>
          </w:p>
        </w:tc>
        <w:tc>
          <w:tcPr>
            <w:tcW w:w="12322" w:type="dxa"/>
            <w:gridSpan w:val="2"/>
            <w:tcMar>
              <w:top w:w="29" w:type="dxa"/>
              <w:left w:w="115" w:type="dxa"/>
              <w:bottom w:w="29" w:type="dxa"/>
              <w:right w:w="115" w:type="dxa"/>
            </w:tcMar>
          </w:tcPr>
          <w:p w14:paraId="00000259" w14:textId="3B775B3E" w:rsidR="002A5780" w:rsidRDefault="002A5780" w:rsidP="2AC19007">
            <w:pPr>
              <w:tabs>
                <w:tab w:val="left" w:pos="1982"/>
              </w:tabs>
              <w:spacing w:after="0"/>
              <w:jc w:val="both"/>
            </w:pPr>
          </w:p>
        </w:tc>
        <w:tc>
          <w:tcPr>
            <w:tcW w:w="2148" w:type="dxa"/>
            <w:tcMar>
              <w:top w:w="29" w:type="dxa"/>
              <w:left w:w="115" w:type="dxa"/>
              <w:bottom w:w="29" w:type="dxa"/>
              <w:right w:w="115" w:type="dxa"/>
            </w:tcMar>
          </w:tcPr>
          <w:p w14:paraId="0000025B" w14:textId="77777777" w:rsidR="002A5780" w:rsidRDefault="00D91955" w:rsidP="2AC19007">
            <w:pPr>
              <w:spacing w:after="0" w:line="240" w:lineRule="auto"/>
              <w:jc w:val="both"/>
              <w:rPr>
                <w:sz w:val="20"/>
                <w:szCs w:val="20"/>
              </w:rPr>
            </w:pPr>
            <w:hyperlink r:id="rId170">
              <w:r w:rsidRPr="2AC19007">
                <w:rPr>
                  <w:color w:val="0563C1"/>
                  <w:sz w:val="20"/>
                  <w:szCs w:val="20"/>
                  <w:u w:val="single"/>
                </w:rPr>
                <w:t>Trading Economics</w:t>
              </w:r>
            </w:hyperlink>
            <w:r w:rsidRPr="2AC19007">
              <w:rPr>
                <w:sz w:val="20"/>
                <w:szCs w:val="20"/>
              </w:rPr>
              <w:t xml:space="preserve"> </w:t>
            </w:r>
          </w:p>
        </w:tc>
      </w:tr>
      <w:tr w:rsidR="002A5780" w14:paraId="18F8DEC6" w14:textId="77777777" w:rsidTr="2AC19007">
        <w:trPr>
          <w:trHeight w:val="369"/>
        </w:trPr>
        <w:tc>
          <w:tcPr>
            <w:tcW w:w="776" w:type="dxa"/>
            <w:tcMar>
              <w:top w:w="29" w:type="dxa"/>
              <w:left w:w="115" w:type="dxa"/>
              <w:bottom w:w="29" w:type="dxa"/>
              <w:right w:w="115" w:type="dxa"/>
            </w:tcMar>
          </w:tcPr>
          <w:p w14:paraId="0000025C" w14:textId="77777777" w:rsidR="002A5780" w:rsidRDefault="002A5780">
            <w:pPr>
              <w:spacing w:after="0" w:line="240" w:lineRule="auto"/>
              <w:jc w:val="both"/>
              <w:rPr>
                <w:sz w:val="20"/>
                <w:szCs w:val="20"/>
              </w:rPr>
            </w:pPr>
          </w:p>
        </w:tc>
        <w:tc>
          <w:tcPr>
            <w:tcW w:w="12322" w:type="dxa"/>
            <w:gridSpan w:val="2"/>
            <w:tcMar>
              <w:top w:w="29" w:type="dxa"/>
              <w:left w:w="115" w:type="dxa"/>
              <w:bottom w:w="29" w:type="dxa"/>
              <w:right w:w="115" w:type="dxa"/>
            </w:tcMar>
          </w:tcPr>
          <w:p w14:paraId="0000025D" w14:textId="468D4C8B" w:rsidR="002A5780" w:rsidRDefault="114540AE" w:rsidP="2AC19007">
            <w:pPr>
              <w:spacing w:after="0"/>
              <w:jc w:val="both"/>
              <w:rPr>
                <w:sz w:val="20"/>
                <w:szCs w:val="20"/>
              </w:rPr>
            </w:pPr>
            <w:r w:rsidRPr="2AC19007">
              <w:rPr>
                <w:sz w:val="20"/>
                <w:szCs w:val="20"/>
              </w:rPr>
              <w:t>Nedarbo lygis – 5,3 proc.</w:t>
            </w:r>
          </w:p>
        </w:tc>
        <w:tc>
          <w:tcPr>
            <w:tcW w:w="2148" w:type="dxa"/>
            <w:tcMar>
              <w:top w:w="29" w:type="dxa"/>
              <w:left w:w="115" w:type="dxa"/>
              <w:bottom w:w="29" w:type="dxa"/>
              <w:right w:w="115" w:type="dxa"/>
            </w:tcMar>
          </w:tcPr>
          <w:p w14:paraId="0000025F" w14:textId="77777777" w:rsidR="002A5780" w:rsidRDefault="00D91955" w:rsidP="2AC19007">
            <w:pPr>
              <w:spacing w:after="0" w:line="240" w:lineRule="auto"/>
              <w:jc w:val="both"/>
              <w:rPr>
                <w:color w:val="0563C1"/>
                <w:sz w:val="20"/>
                <w:szCs w:val="20"/>
                <w:u w:val="single"/>
              </w:rPr>
            </w:pPr>
            <w:hyperlink r:id="rId171">
              <w:r w:rsidRPr="2AC19007">
                <w:rPr>
                  <w:color w:val="0563C1"/>
                  <w:sz w:val="20"/>
                  <w:szCs w:val="20"/>
                  <w:u w:val="single"/>
                </w:rPr>
                <w:t>Statistics Portugal</w:t>
              </w:r>
            </w:hyperlink>
          </w:p>
        </w:tc>
      </w:tr>
      <w:tr w:rsidR="4954557E" w14:paraId="63F637EC" w14:textId="77777777" w:rsidTr="2AC19007">
        <w:trPr>
          <w:trHeight w:val="369"/>
        </w:trPr>
        <w:tc>
          <w:tcPr>
            <w:tcW w:w="776" w:type="dxa"/>
            <w:tcMar>
              <w:top w:w="29" w:type="dxa"/>
              <w:left w:w="115" w:type="dxa"/>
              <w:bottom w:w="29" w:type="dxa"/>
              <w:right w:w="115" w:type="dxa"/>
            </w:tcMar>
          </w:tcPr>
          <w:p w14:paraId="025AA5C5" w14:textId="0149FE81" w:rsidR="1F852F2F" w:rsidRDefault="1F852F2F" w:rsidP="4954557E">
            <w:pPr>
              <w:spacing w:line="240" w:lineRule="auto"/>
              <w:jc w:val="both"/>
            </w:pPr>
            <w:r w:rsidRPr="4954557E">
              <w:rPr>
                <w:sz w:val="20"/>
                <w:szCs w:val="20"/>
              </w:rPr>
              <w:t>03/08</w:t>
            </w:r>
          </w:p>
        </w:tc>
        <w:tc>
          <w:tcPr>
            <w:tcW w:w="12322" w:type="dxa"/>
            <w:gridSpan w:val="2"/>
            <w:tcMar>
              <w:top w:w="29" w:type="dxa"/>
              <w:left w:w="115" w:type="dxa"/>
              <w:bottom w:w="29" w:type="dxa"/>
              <w:right w:w="115" w:type="dxa"/>
            </w:tcMar>
          </w:tcPr>
          <w:p w14:paraId="7454EB8C" w14:textId="39B0E43D" w:rsidR="1F852F2F" w:rsidRDefault="1F852F2F" w:rsidP="4954557E">
            <w:pPr>
              <w:jc w:val="both"/>
            </w:pPr>
            <w:r w:rsidRPr="4954557E">
              <w:rPr>
                <w:sz w:val="20"/>
                <w:szCs w:val="20"/>
              </w:rPr>
              <w:t>Portugalijos ekonomika 2026 m. II ketvirtį, palyginti su ankstesniu ketvirčiu, išaugo 0,8 proc. – daugiau nei tikėtasi, o I ketvirčio augimas patikslintas iki 0,1 proc., todėl metinis BVP augimas gali siekti apie 2 proc. Ekonomikos augimą skatina namų ūkių vartojimas, aukštas užimtumas ir atsigaunantis eksportas, tačiau investicijų augimas lėtėja, o žemas produktyvumas išlieka iššūkiu. Augantis užimtumas ir vartojimas taip pat didina mokestines pajamas, o Vyriausybė 2026 m. tikisi subalansuoto biudžeto. Tolesnis energijos kainų augimas dėl konflikto Artimuosiuose Rytuose išlieka viena pagrindinių rizikų ekonomikos perspektyvoms.</w:t>
            </w:r>
          </w:p>
        </w:tc>
        <w:tc>
          <w:tcPr>
            <w:tcW w:w="2148" w:type="dxa"/>
            <w:tcMar>
              <w:top w:w="29" w:type="dxa"/>
              <w:left w:w="115" w:type="dxa"/>
              <w:bottom w:w="29" w:type="dxa"/>
              <w:right w:w="115" w:type="dxa"/>
            </w:tcMar>
          </w:tcPr>
          <w:p w14:paraId="476763E7" w14:textId="5B74ED88" w:rsidR="1F852F2F" w:rsidRDefault="1F852F2F" w:rsidP="085EE119">
            <w:pPr>
              <w:spacing w:after="0"/>
              <w:jc w:val="both"/>
              <w:rPr>
                <w:u w:val="single"/>
              </w:rPr>
            </w:pPr>
            <w:hyperlink r:id="rId172">
              <w:r w:rsidRPr="085EE119">
                <w:rPr>
                  <w:rStyle w:val="Hyperlink"/>
                  <w:color w:val="1155CC"/>
                </w:rPr>
                <w:t>Portuguese economy defies turmoil as 2% growth comes within reach</w:t>
              </w:r>
            </w:hyperlink>
          </w:p>
        </w:tc>
      </w:tr>
      <w:tr w:rsidR="4954557E" w14:paraId="6CB6F746" w14:textId="77777777" w:rsidTr="2AC19007">
        <w:trPr>
          <w:trHeight w:val="369"/>
        </w:trPr>
        <w:tc>
          <w:tcPr>
            <w:tcW w:w="776" w:type="dxa"/>
            <w:tcMar>
              <w:top w:w="29" w:type="dxa"/>
              <w:left w:w="115" w:type="dxa"/>
              <w:bottom w:w="29" w:type="dxa"/>
              <w:right w:w="115" w:type="dxa"/>
            </w:tcMar>
          </w:tcPr>
          <w:p w14:paraId="41128E69" w14:textId="4CBBA662" w:rsidR="1F852F2F" w:rsidRDefault="1F852F2F" w:rsidP="4954557E">
            <w:pPr>
              <w:spacing w:line="240" w:lineRule="auto"/>
              <w:jc w:val="both"/>
            </w:pPr>
            <w:r w:rsidRPr="4954557E">
              <w:rPr>
                <w:sz w:val="20"/>
                <w:szCs w:val="20"/>
              </w:rPr>
              <w:t>11/08</w:t>
            </w:r>
          </w:p>
        </w:tc>
        <w:tc>
          <w:tcPr>
            <w:tcW w:w="12322" w:type="dxa"/>
            <w:gridSpan w:val="2"/>
            <w:tcMar>
              <w:top w:w="29" w:type="dxa"/>
              <w:left w:w="115" w:type="dxa"/>
              <w:bottom w:w="29" w:type="dxa"/>
              <w:right w:w="115" w:type="dxa"/>
            </w:tcMar>
          </w:tcPr>
          <w:p w14:paraId="618F47C6" w14:textId="5EC57285" w:rsidR="1F852F2F" w:rsidRDefault="1F852F2F" w:rsidP="4954557E">
            <w:pPr>
              <w:jc w:val="both"/>
            </w:pPr>
            <w:r w:rsidRPr="4954557E">
              <w:rPr>
                <w:sz w:val="20"/>
                <w:szCs w:val="20"/>
              </w:rPr>
              <w:t>JLL vertinimu, Portugalija yra viena konkurencingiausių Europos rinkų duomenų centrų plėtrai dėl didelės atsinaujinančių išteklių energijos pasiūlos, išvystytos tarptautinio ryšio infrastruktūros ir tinkamų teritorijų prieinamumo. Lisabonos regione planuojami duomenų centrų pajėgumai siekia apie 1 300 MW, o nuo 2024 m. šalyje įrengti pajėgumai išaugo 23 proc., todėl Portugalija patenka tarp dešimties sparčiausiai augančių duomenų centrų rinkų pasaulyje. Pagrindiniai sektoriaus plėtros iššūkiai – kvalifikuotų darbuotojų trūkumas, vietos tiekimo grandinių plėtra ir aplinkosauginio skaidrumo užtikrinimas.</w:t>
            </w:r>
          </w:p>
        </w:tc>
        <w:tc>
          <w:tcPr>
            <w:tcW w:w="2148" w:type="dxa"/>
            <w:tcMar>
              <w:top w:w="29" w:type="dxa"/>
              <w:left w:w="115" w:type="dxa"/>
              <w:bottom w:w="29" w:type="dxa"/>
              <w:right w:w="115" w:type="dxa"/>
            </w:tcMar>
          </w:tcPr>
          <w:p w14:paraId="19806B51" w14:textId="15E48990" w:rsidR="1F852F2F" w:rsidRDefault="1F852F2F" w:rsidP="085EE119">
            <w:pPr>
              <w:spacing w:after="0"/>
              <w:jc w:val="both"/>
              <w:rPr>
                <w:u w:val="single"/>
              </w:rPr>
            </w:pPr>
            <w:hyperlink r:id="rId173">
              <w:r w:rsidRPr="085EE119">
                <w:rPr>
                  <w:rStyle w:val="Hyperlink"/>
                  <w:color w:val="1155CC"/>
                </w:rPr>
                <w:t>Portugal is among the most competitive European markets for data centers</w:t>
              </w:r>
            </w:hyperlink>
          </w:p>
        </w:tc>
      </w:tr>
      <w:tr w:rsidR="4954557E" w14:paraId="421C8643" w14:textId="77777777" w:rsidTr="2AC19007">
        <w:trPr>
          <w:trHeight w:val="369"/>
        </w:trPr>
        <w:tc>
          <w:tcPr>
            <w:tcW w:w="776" w:type="dxa"/>
            <w:tcMar>
              <w:top w:w="29" w:type="dxa"/>
              <w:left w:w="115" w:type="dxa"/>
              <w:bottom w:w="29" w:type="dxa"/>
              <w:right w:w="115" w:type="dxa"/>
            </w:tcMar>
          </w:tcPr>
          <w:p w14:paraId="3BBA328F" w14:textId="489C8C1A" w:rsidR="1F852F2F" w:rsidRDefault="1F852F2F" w:rsidP="4954557E">
            <w:pPr>
              <w:spacing w:line="240" w:lineRule="auto"/>
              <w:jc w:val="both"/>
            </w:pPr>
            <w:r w:rsidRPr="4954557E">
              <w:rPr>
                <w:sz w:val="20"/>
                <w:szCs w:val="20"/>
              </w:rPr>
              <w:t>17/08</w:t>
            </w:r>
          </w:p>
        </w:tc>
        <w:tc>
          <w:tcPr>
            <w:tcW w:w="12322" w:type="dxa"/>
            <w:gridSpan w:val="2"/>
            <w:tcMar>
              <w:top w:w="29" w:type="dxa"/>
              <w:left w:w="115" w:type="dxa"/>
              <w:bottom w:w="29" w:type="dxa"/>
              <w:right w:w="115" w:type="dxa"/>
            </w:tcMar>
          </w:tcPr>
          <w:p w14:paraId="0A24CE8E" w14:textId="76B0729B" w:rsidR="1F852F2F" w:rsidRDefault="1F852F2F" w:rsidP="4954557E">
            <w:pPr>
              <w:jc w:val="both"/>
            </w:pPr>
            <w:r w:rsidRPr="4954557E">
              <w:rPr>
                <w:sz w:val="20"/>
                <w:szCs w:val="20"/>
              </w:rPr>
              <w:t>Portugalijoje išlieka vienas didžiausių būsto trūkumų EU – skaičiuojama, kad 2021–2025 m. susidarė apie 300 tūkst. būstų trūkumas, atitinkantis 6,6 proc. šalies namų ūkių, palyginti su 0,5 proc. euro zonos vidurkiu. Būsto trūkumas, ypač juntamas Lisabonoje ir Porte, siejamas su sparčiu namų ūkių skaičiaus augimu, kurį iš dalies skatino imigracija, taip pat didelėmis statybos sąnaudomis, ribotais statybų sektoriaus pajėgumais ir ilgomis leidimų išdavimo procedūromis. Nors 2025 m. būsto statybos mastas iš esmės atitiko naujų namų ūkių kūrimosi tempą, ankstesniais metais susidaręs trūkumas išlieka. Siekdama didinti būsto pasiūlą, Vyriausybė sumažino PVM statybos darbams ir supaprastino leidimų išdavimo procedūras.</w:t>
            </w:r>
          </w:p>
        </w:tc>
        <w:tc>
          <w:tcPr>
            <w:tcW w:w="2148" w:type="dxa"/>
            <w:tcMar>
              <w:top w:w="29" w:type="dxa"/>
              <w:left w:w="115" w:type="dxa"/>
              <w:bottom w:w="29" w:type="dxa"/>
              <w:right w:w="115" w:type="dxa"/>
            </w:tcMar>
          </w:tcPr>
          <w:p w14:paraId="04B681A2" w14:textId="626F4320" w:rsidR="1F852F2F" w:rsidRDefault="1F852F2F" w:rsidP="085EE119">
            <w:pPr>
              <w:spacing w:after="0"/>
              <w:jc w:val="both"/>
              <w:rPr>
                <w:u w:val="single"/>
              </w:rPr>
            </w:pPr>
            <w:hyperlink r:id="rId174">
              <w:r w:rsidRPr="085EE119">
                <w:rPr>
                  <w:rStyle w:val="Hyperlink"/>
                  <w:color w:val="1155CC"/>
                </w:rPr>
                <w:t>Portugal and Spain struggle as EU housing black spots</w:t>
              </w:r>
            </w:hyperlink>
          </w:p>
        </w:tc>
      </w:tr>
      <w:tr w:rsidR="4954557E" w14:paraId="5A13DC21" w14:textId="77777777" w:rsidTr="2AC19007">
        <w:trPr>
          <w:trHeight w:val="369"/>
        </w:trPr>
        <w:tc>
          <w:tcPr>
            <w:tcW w:w="776" w:type="dxa"/>
            <w:tcMar>
              <w:top w:w="29" w:type="dxa"/>
              <w:left w:w="115" w:type="dxa"/>
              <w:bottom w:w="29" w:type="dxa"/>
              <w:right w:w="115" w:type="dxa"/>
            </w:tcMar>
          </w:tcPr>
          <w:p w14:paraId="6413F69F" w14:textId="78222334" w:rsidR="1BC6C123" w:rsidRDefault="1BC6C123" w:rsidP="4954557E">
            <w:pPr>
              <w:spacing w:line="240" w:lineRule="auto"/>
              <w:jc w:val="both"/>
            </w:pPr>
            <w:r w:rsidRPr="4954557E">
              <w:rPr>
                <w:sz w:val="20"/>
                <w:szCs w:val="20"/>
              </w:rPr>
              <w:t>19/08</w:t>
            </w:r>
          </w:p>
        </w:tc>
        <w:tc>
          <w:tcPr>
            <w:tcW w:w="12322" w:type="dxa"/>
            <w:gridSpan w:val="2"/>
            <w:tcMar>
              <w:top w:w="29" w:type="dxa"/>
              <w:left w:w="115" w:type="dxa"/>
              <w:bottom w:w="29" w:type="dxa"/>
              <w:right w:w="115" w:type="dxa"/>
            </w:tcMar>
          </w:tcPr>
          <w:p w14:paraId="24636F77" w14:textId="66EB83F9" w:rsidR="1BC6C123" w:rsidRDefault="1BC6C123" w:rsidP="4954557E">
            <w:pPr>
              <w:jc w:val="both"/>
            </w:pPr>
            <w:r w:rsidRPr="4954557E">
              <w:rPr>
                <w:sz w:val="20"/>
                <w:szCs w:val="20"/>
              </w:rPr>
              <w:t>2026 m. liepą metinė infliacija Portugalijoje siekė 3,1 proc. ir viršijo euro zonos bei EU vidurkius. Euro zonoje labiausiai per metus brango energija (10,3 proc.), o paslaugų kainos padidėjo 3,3 proc. Neįskaitant energijos, metinė infliacija euro zonoje siekė 2,2 proc. Taigi infliacija Portugalijoje išliko aukštesnė nei vidutiniškai euro zonoje.</w:t>
            </w:r>
          </w:p>
        </w:tc>
        <w:tc>
          <w:tcPr>
            <w:tcW w:w="2148" w:type="dxa"/>
            <w:tcMar>
              <w:top w:w="29" w:type="dxa"/>
              <w:left w:w="115" w:type="dxa"/>
              <w:bottom w:w="29" w:type="dxa"/>
              <w:right w:w="115" w:type="dxa"/>
            </w:tcMar>
          </w:tcPr>
          <w:p w14:paraId="62392480" w14:textId="6A445D92" w:rsidR="1BC6C123" w:rsidRDefault="1BC6C123" w:rsidP="4954557E">
            <w:pPr>
              <w:spacing w:line="240" w:lineRule="auto"/>
              <w:jc w:val="both"/>
            </w:pPr>
            <w:hyperlink r:id="rId175">
              <w:r w:rsidRPr="4954557E">
                <w:rPr>
                  <w:rStyle w:val="Hyperlink"/>
                </w:rPr>
                <w:t>Inflation accelerates to 2.9% in the Eurozone and 3% in the EU</w:t>
              </w:r>
            </w:hyperlink>
          </w:p>
        </w:tc>
      </w:tr>
      <w:tr w:rsidR="4954557E" w14:paraId="0F9A51CA" w14:textId="77777777" w:rsidTr="2AC19007">
        <w:trPr>
          <w:trHeight w:val="369"/>
        </w:trPr>
        <w:tc>
          <w:tcPr>
            <w:tcW w:w="776" w:type="dxa"/>
            <w:tcMar>
              <w:top w:w="29" w:type="dxa"/>
              <w:left w:w="115" w:type="dxa"/>
              <w:bottom w:w="29" w:type="dxa"/>
              <w:right w:w="115" w:type="dxa"/>
            </w:tcMar>
          </w:tcPr>
          <w:p w14:paraId="2C952514" w14:textId="1524D594" w:rsidR="5E69E0DE" w:rsidRDefault="5E69E0DE" w:rsidP="4954557E">
            <w:pPr>
              <w:spacing w:line="240" w:lineRule="auto"/>
              <w:jc w:val="both"/>
            </w:pPr>
            <w:r w:rsidRPr="4954557E">
              <w:rPr>
                <w:sz w:val="20"/>
                <w:szCs w:val="20"/>
              </w:rPr>
              <w:t>20/08</w:t>
            </w:r>
          </w:p>
        </w:tc>
        <w:tc>
          <w:tcPr>
            <w:tcW w:w="12322" w:type="dxa"/>
            <w:gridSpan w:val="2"/>
            <w:tcMar>
              <w:top w:w="29" w:type="dxa"/>
              <w:left w:w="115" w:type="dxa"/>
              <w:bottom w:w="29" w:type="dxa"/>
              <w:right w:w="115" w:type="dxa"/>
            </w:tcMar>
          </w:tcPr>
          <w:p w14:paraId="5B1A7DE5" w14:textId="38FD596C" w:rsidR="5E69E0DE" w:rsidRDefault="5E69E0DE" w:rsidP="4954557E">
            <w:pPr>
              <w:jc w:val="both"/>
            </w:pPr>
            <w:r w:rsidRPr="4954557E">
              <w:rPr>
                <w:sz w:val="20"/>
                <w:szCs w:val="20"/>
              </w:rPr>
              <w:t>Užsienio kapitalo bendrovės sudaro tik apie 3 proc. visų Portugalijos įmonių, tačiau joms tenka 46 proc. šalies eksporto, 31 proc. verslo sektoriaus apyvartos ir 22 proc. darbo vietų, rodo „Informa D&amp;B“ tyrimas. Maždaug 17 tūkst. tokių bendrovių Portugalijoje dirba 808 tūkst. darbuotojų, o jų eksportas siekia 52 mlrd. eurų. Užsienio kapitalo bendrovės taip pat yra labiau orientuotos į eksportą ir pasižymi didesniu produktyvumu: eksportuoja 28 proc. šių bendrovių, palyginti su 8 proc. Portugalijos kapitalo įmonių, o 40 proc. jų priskiriamos aukšto arba vidutiniškai aukšto produktyvumo įmonėms.</w:t>
            </w:r>
          </w:p>
        </w:tc>
        <w:tc>
          <w:tcPr>
            <w:tcW w:w="2148" w:type="dxa"/>
            <w:tcMar>
              <w:top w:w="29" w:type="dxa"/>
              <w:left w:w="115" w:type="dxa"/>
              <w:bottom w:w="29" w:type="dxa"/>
              <w:right w:w="115" w:type="dxa"/>
            </w:tcMar>
          </w:tcPr>
          <w:p w14:paraId="725EB00F" w14:textId="426B3FB1" w:rsidR="5E69E0DE" w:rsidRDefault="5E69E0DE" w:rsidP="4954557E">
            <w:pPr>
              <w:spacing w:line="240" w:lineRule="auto"/>
              <w:jc w:val="both"/>
            </w:pPr>
            <w:hyperlink r:id="rId176">
              <w:r w:rsidRPr="4954557E">
                <w:rPr>
                  <w:rStyle w:val="Hyperlink"/>
                </w:rPr>
                <w:t>Foreign-owned companies account for almost half of Portugal’s exports</w:t>
              </w:r>
            </w:hyperlink>
          </w:p>
        </w:tc>
      </w:tr>
      <w:tr w:rsidR="2AC19007" w14:paraId="1C87977E" w14:textId="77777777" w:rsidTr="2AC19007">
        <w:trPr>
          <w:trHeight w:val="369"/>
        </w:trPr>
        <w:tc>
          <w:tcPr>
            <w:tcW w:w="776" w:type="dxa"/>
            <w:tcMar>
              <w:top w:w="29" w:type="dxa"/>
              <w:left w:w="115" w:type="dxa"/>
              <w:bottom w:w="29" w:type="dxa"/>
              <w:right w:w="115" w:type="dxa"/>
            </w:tcMar>
          </w:tcPr>
          <w:p w14:paraId="20A3DFC2" w14:textId="47AEAD05" w:rsidR="640DEB04" w:rsidRDefault="640DEB04" w:rsidP="2AC19007">
            <w:pPr>
              <w:spacing w:line="240" w:lineRule="auto"/>
              <w:jc w:val="both"/>
            </w:pPr>
            <w:r w:rsidRPr="2AC19007">
              <w:rPr>
                <w:sz w:val="20"/>
                <w:szCs w:val="20"/>
              </w:rPr>
              <w:t>28/08</w:t>
            </w:r>
          </w:p>
        </w:tc>
        <w:tc>
          <w:tcPr>
            <w:tcW w:w="12322" w:type="dxa"/>
            <w:gridSpan w:val="2"/>
            <w:tcMar>
              <w:top w:w="29" w:type="dxa"/>
              <w:left w:w="115" w:type="dxa"/>
              <w:bottom w:w="29" w:type="dxa"/>
              <w:right w:w="115" w:type="dxa"/>
            </w:tcMar>
          </w:tcPr>
          <w:p w14:paraId="6A3C28D8" w14:textId="257378EE" w:rsidR="640DEB04" w:rsidRDefault="640DEB04" w:rsidP="2AC19007">
            <w:pPr>
              <w:jc w:val="both"/>
            </w:pPr>
            <w:r w:rsidRPr="2AC19007">
              <w:rPr>
                <w:sz w:val="20"/>
                <w:szCs w:val="20"/>
              </w:rPr>
              <w:t xml:space="preserve">Portugalijos vyriausybė paskelbė užbaigusi 22 mlrd. eurų vertės Ekonomikos gaivinimo ir atsparumo didinimo plano (RRP) įgyvendinimą. Perskirsčius plano lėšas, daugiau finansavimo nukreipta inovacijoms ir verslo konkurencingumui stiprinti: 800 mln. eurų skirta dirbtinio intelekto sprendimų diegimui įmonėse, papildomi 400 mln. eurų – giliųjų technologijų įmonėms, taip pat padidintas finansavimas reindustrializacijos, gynybos ir saugumo projektams. Universitetų ir mokslinių tyrimų centrų žinių bei inovacijų pritaikymui versle skirtos „Mobilising Agendas“ programos finansavimas </w:t>
            </w:r>
            <w:r w:rsidRPr="2AC19007">
              <w:rPr>
                <w:sz w:val="20"/>
                <w:szCs w:val="20"/>
              </w:rPr>
              <w:lastRenderedPageBreak/>
              <w:t>padidintas nuo 930 mln. iki maždaug 3 mlrd. eurų. Įgyvendinant šią iniciatyvą sukurti 51 konsorciumas, vykdantis projektus sveikatos, aeronautikos ir kosmoso, tvaraus judumo, energetikos, pramonės skaitmenizacijos, biotechnologijų ir statybos srityse, taip pat sukurta 11 tūkst. aukštos kvalifikacijos darbo vietų.</w:t>
            </w:r>
          </w:p>
        </w:tc>
        <w:tc>
          <w:tcPr>
            <w:tcW w:w="2148" w:type="dxa"/>
            <w:tcMar>
              <w:top w:w="29" w:type="dxa"/>
              <w:left w:w="115" w:type="dxa"/>
              <w:bottom w:w="29" w:type="dxa"/>
              <w:right w:w="115" w:type="dxa"/>
            </w:tcMar>
          </w:tcPr>
          <w:p w14:paraId="26D2B52E" w14:textId="0FFF4ABE" w:rsidR="640DEB04" w:rsidRDefault="640DEB04" w:rsidP="2AC19007">
            <w:pPr>
              <w:spacing w:line="240" w:lineRule="auto"/>
              <w:jc w:val="both"/>
            </w:pPr>
            <w:hyperlink r:id="rId177">
              <w:r w:rsidRPr="2AC19007">
                <w:rPr>
                  <w:rStyle w:val="Hyperlink"/>
                </w:rPr>
                <w:t xml:space="preserve">Minister of Economy and Territorial Cohesion: “Recovery </w:t>
              </w:r>
              <w:r w:rsidRPr="2AC19007">
                <w:rPr>
                  <w:rStyle w:val="Hyperlink"/>
                </w:rPr>
                <w:lastRenderedPageBreak/>
                <w:t>and Resilience Plan fully implemented”</w:t>
              </w:r>
            </w:hyperlink>
          </w:p>
        </w:tc>
      </w:tr>
      <w:tr w:rsidR="5CD04D43" w14:paraId="75FDD2F9" w14:textId="77777777" w:rsidTr="2AC19007">
        <w:trPr>
          <w:trHeight w:val="385"/>
        </w:trPr>
        <w:tc>
          <w:tcPr>
            <w:tcW w:w="15246" w:type="dxa"/>
            <w:gridSpan w:val="4"/>
            <w:shd w:val="clear" w:color="auto" w:fill="DEEAF6"/>
            <w:tcMar>
              <w:top w:w="29" w:type="dxa"/>
              <w:left w:w="115" w:type="dxa"/>
              <w:bottom w:w="29" w:type="dxa"/>
              <w:right w:w="115" w:type="dxa"/>
            </w:tcMar>
            <w:vAlign w:val="center"/>
          </w:tcPr>
          <w:p w14:paraId="69C6B0BA" w14:textId="77777777" w:rsidR="5CD04D43" w:rsidRDefault="5CD04D43" w:rsidP="5CD04D43">
            <w:pPr>
              <w:spacing w:after="0"/>
              <w:rPr>
                <w:sz w:val="20"/>
                <w:szCs w:val="20"/>
              </w:rPr>
            </w:pPr>
            <w:r w:rsidRPr="5CD04D43">
              <w:rPr>
                <w:b/>
                <w:bCs/>
                <w:sz w:val="20"/>
                <w:szCs w:val="20"/>
              </w:rPr>
              <w:lastRenderedPageBreak/>
              <w:t>OMANAS</w:t>
            </w:r>
          </w:p>
        </w:tc>
      </w:tr>
      <w:tr w:rsidR="5CD04D43" w14:paraId="5F1BA374" w14:textId="77777777" w:rsidTr="2AC19007">
        <w:trPr>
          <w:trHeight w:val="385"/>
        </w:trPr>
        <w:tc>
          <w:tcPr>
            <w:tcW w:w="15246" w:type="dxa"/>
            <w:gridSpan w:val="4"/>
            <w:shd w:val="clear" w:color="auto" w:fill="DEEAF6"/>
            <w:tcMar>
              <w:top w:w="29" w:type="dxa"/>
              <w:left w:w="115" w:type="dxa"/>
              <w:bottom w:w="29" w:type="dxa"/>
              <w:right w:w="115" w:type="dxa"/>
            </w:tcMar>
            <w:vAlign w:val="center"/>
          </w:tcPr>
          <w:p w14:paraId="5AB6590D" w14:textId="77777777" w:rsidR="5CD04D43" w:rsidRDefault="5CD04D43" w:rsidP="5CD04D43">
            <w:pPr>
              <w:spacing w:after="0"/>
              <w:jc w:val="both"/>
              <w:rPr>
                <w:sz w:val="20"/>
                <w:szCs w:val="20"/>
              </w:rPr>
            </w:pPr>
            <w:r w:rsidRPr="5CD04D43">
              <w:rPr>
                <w:b/>
                <w:bCs/>
                <w:sz w:val="20"/>
                <w:szCs w:val="20"/>
              </w:rPr>
              <w:t xml:space="preserve">Bendra ekonominė informacija </w:t>
            </w:r>
          </w:p>
        </w:tc>
      </w:tr>
      <w:tr w:rsidR="4954557E" w14:paraId="2066D009" w14:textId="77777777" w:rsidTr="2AC19007">
        <w:trPr>
          <w:trHeight w:val="369"/>
        </w:trPr>
        <w:tc>
          <w:tcPr>
            <w:tcW w:w="776" w:type="dxa"/>
            <w:tcMar>
              <w:top w:w="29" w:type="dxa"/>
              <w:left w:w="115" w:type="dxa"/>
              <w:bottom w:w="29" w:type="dxa"/>
              <w:right w:w="115" w:type="dxa"/>
            </w:tcMar>
          </w:tcPr>
          <w:p w14:paraId="105DCF71" w14:textId="3AF816A5" w:rsidR="4652CB9B" w:rsidRDefault="4652CB9B" w:rsidP="4954557E">
            <w:pPr>
              <w:spacing w:line="240" w:lineRule="auto"/>
              <w:jc w:val="both"/>
            </w:pPr>
            <w:r w:rsidRPr="4954557E">
              <w:rPr>
                <w:sz w:val="20"/>
                <w:szCs w:val="20"/>
              </w:rPr>
              <w:t>04/08</w:t>
            </w:r>
          </w:p>
        </w:tc>
        <w:tc>
          <w:tcPr>
            <w:tcW w:w="12322" w:type="dxa"/>
            <w:gridSpan w:val="2"/>
            <w:tcMar>
              <w:top w:w="29" w:type="dxa"/>
              <w:left w:w="115" w:type="dxa"/>
              <w:bottom w:w="29" w:type="dxa"/>
              <w:right w:w="115" w:type="dxa"/>
            </w:tcMar>
          </w:tcPr>
          <w:p w14:paraId="458661A8" w14:textId="2427605A" w:rsidR="4652CB9B" w:rsidRDefault="4652CB9B" w:rsidP="4954557E">
            <w:pPr>
              <w:jc w:val="both"/>
            </w:pPr>
            <w:r w:rsidRPr="4954557E">
              <w:rPr>
                <w:sz w:val="20"/>
                <w:szCs w:val="20"/>
              </w:rPr>
              <w:t>Maskato vertybinių popierių biržoje kotiruojamų bendrovių bendras grynasis pelnas 2026 m. pirmąjį pusmetį išaugo 12 proc. iki 867 mln. OMR, prie augimo prisidėjo aukštesnės naftos kainos ir geresni pramonės sektoriaus rezultatai. Pelningiausia biržoje kotiruojama bendrovė buvo „OQ Exploration and Production“ (OQEP), kurios grynasis pelnas padidėjo 18 proc. iki 197 mln. OMR. Kapitalo rinkos aktyvumą taip pat sustiprino „Oman India Fertiliser Company“ (Omifco) įtraukimas į biržos sąrašus bendrovės pirminis viešas akcijų siūlymas (IPO) sulaukė 4,7 mlrd. OMR vertės investuotojų paraiškų, o paklausa pasiūlą viršijo 18 kartų. 2026 m. planuojami dar du IPO, Omano investicijų institucijai (OIA) tęsiant valstybės valdomo turto pardavimo programą.</w:t>
            </w:r>
          </w:p>
        </w:tc>
        <w:tc>
          <w:tcPr>
            <w:tcW w:w="2148" w:type="dxa"/>
            <w:tcMar>
              <w:top w:w="29" w:type="dxa"/>
              <w:left w:w="115" w:type="dxa"/>
              <w:bottom w:w="29" w:type="dxa"/>
              <w:right w:w="115" w:type="dxa"/>
            </w:tcMar>
          </w:tcPr>
          <w:p w14:paraId="0D6F7B19" w14:textId="03FD9291" w:rsidR="4652CB9B" w:rsidRDefault="4652CB9B" w:rsidP="4954557E">
            <w:hyperlink r:id="rId178">
              <w:r w:rsidRPr="4954557E">
                <w:rPr>
                  <w:rStyle w:val="Hyperlink"/>
                  <w:lang w:val="en-US"/>
                </w:rPr>
                <w:t>Higher oil prices lift profits for Omani listed companies</w:t>
              </w:r>
            </w:hyperlink>
          </w:p>
        </w:tc>
      </w:tr>
      <w:tr w:rsidR="4954557E" w14:paraId="042E4144" w14:textId="77777777" w:rsidTr="2AC19007">
        <w:trPr>
          <w:trHeight w:val="355"/>
        </w:trPr>
        <w:tc>
          <w:tcPr>
            <w:tcW w:w="776" w:type="dxa"/>
            <w:tcMar>
              <w:top w:w="29" w:type="dxa"/>
              <w:left w:w="115" w:type="dxa"/>
              <w:bottom w:w="29" w:type="dxa"/>
              <w:right w:w="115" w:type="dxa"/>
            </w:tcMar>
          </w:tcPr>
          <w:p w14:paraId="41DA454C" w14:textId="42B5B46C" w:rsidR="2784D98C" w:rsidRDefault="2784D98C" w:rsidP="4954557E">
            <w:pPr>
              <w:jc w:val="both"/>
            </w:pPr>
            <w:r w:rsidRPr="4954557E">
              <w:rPr>
                <w:sz w:val="20"/>
                <w:szCs w:val="20"/>
              </w:rPr>
              <w:t>05/08</w:t>
            </w:r>
          </w:p>
        </w:tc>
        <w:tc>
          <w:tcPr>
            <w:tcW w:w="12322" w:type="dxa"/>
            <w:gridSpan w:val="2"/>
            <w:tcMar>
              <w:top w:w="29" w:type="dxa"/>
              <w:left w:w="115" w:type="dxa"/>
              <w:bottom w:w="29" w:type="dxa"/>
              <w:right w:w="115" w:type="dxa"/>
            </w:tcMar>
          </w:tcPr>
          <w:p w14:paraId="774981B3" w14:textId="295C748A" w:rsidR="2784D98C" w:rsidRDefault="2784D98C" w:rsidP="4954557E">
            <w:pPr>
              <w:jc w:val="both"/>
              <w:rPr>
                <w:sz w:val="20"/>
                <w:szCs w:val="20"/>
              </w:rPr>
            </w:pPr>
            <w:r w:rsidRPr="4954557E">
              <w:rPr>
                <w:sz w:val="20"/>
                <w:szCs w:val="20"/>
              </w:rPr>
              <w:t>Iranas paskelbė susitaręs su Omanu dėl laikino laivybos maršruto geografinių koordinačių. Numatoma, kad maršrutas galėtų veikti nuo dviejų iki keturių mėnesių, tačiau saugi laivyba dar nebuvo garantuota.</w:t>
            </w:r>
          </w:p>
        </w:tc>
        <w:tc>
          <w:tcPr>
            <w:tcW w:w="2148" w:type="dxa"/>
            <w:tcMar>
              <w:top w:w="29" w:type="dxa"/>
              <w:left w:w="115" w:type="dxa"/>
              <w:bottom w:w="29" w:type="dxa"/>
              <w:right w:w="115" w:type="dxa"/>
            </w:tcMar>
          </w:tcPr>
          <w:p w14:paraId="232F4CF0" w14:textId="45E066A9" w:rsidR="2784D98C" w:rsidRDefault="2784D98C" w:rsidP="085EE119">
            <w:pPr>
              <w:jc w:val="both"/>
              <w:rPr>
                <w:u w:val="single"/>
              </w:rPr>
            </w:pPr>
            <w:hyperlink r:id="rId179">
              <w:r w:rsidRPr="085EE119">
                <w:rPr>
                  <w:rStyle w:val="Hyperlink"/>
                  <w:color w:val="1155CC"/>
                </w:rPr>
                <w:t>Iran says deal with Oman on Strait of Hormuz is in final stages</w:t>
              </w:r>
            </w:hyperlink>
          </w:p>
        </w:tc>
      </w:tr>
      <w:tr w:rsidR="4954557E" w14:paraId="145E8C73" w14:textId="77777777" w:rsidTr="2AC19007">
        <w:trPr>
          <w:trHeight w:val="355"/>
        </w:trPr>
        <w:tc>
          <w:tcPr>
            <w:tcW w:w="776" w:type="dxa"/>
            <w:tcMar>
              <w:top w:w="29" w:type="dxa"/>
              <w:left w:w="115" w:type="dxa"/>
              <w:bottom w:w="29" w:type="dxa"/>
              <w:right w:w="115" w:type="dxa"/>
            </w:tcMar>
          </w:tcPr>
          <w:p w14:paraId="0D72A979" w14:textId="2E45EC11" w:rsidR="2784D98C" w:rsidRDefault="2784D98C" w:rsidP="4954557E">
            <w:pPr>
              <w:jc w:val="both"/>
            </w:pPr>
            <w:r w:rsidRPr="4954557E">
              <w:rPr>
                <w:sz w:val="20"/>
                <w:szCs w:val="20"/>
              </w:rPr>
              <w:t>08/08</w:t>
            </w:r>
          </w:p>
        </w:tc>
        <w:tc>
          <w:tcPr>
            <w:tcW w:w="12322" w:type="dxa"/>
            <w:gridSpan w:val="2"/>
            <w:tcMar>
              <w:top w:w="29" w:type="dxa"/>
              <w:left w:w="115" w:type="dxa"/>
              <w:bottom w:w="29" w:type="dxa"/>
              <w:right w:w="115" w:type="dxa"/>
            </w:tcMar>
          </w:tcPr>
          <w:p w14:paraId="6B6532FA" w14:textId="5C507659" w:rsidR="2784D98C" w:rsidRDefault="2784D98C" w:rsidP="4954557E">
            <w:pPr>
              <w:jc w:val="both"/>
              <w:rPr>
                <w:sz w:val="20"/>
                <w:szCs w:val="20"/>
              </w:rPr>
            </w:pPr>
            <w:r w:rsidRPr="4954557E">
              <w:rPr>
                <w:sz w:val="20"/>
                <w:szCs w:val="20"/>
              </w:rPr>
              <w:t>Vėliau Omanas patvirtino teigiamą derybų pažangą, o už siūlomą maršrutą būtų atsakingos abi šalys. Vis dėlto Iranas pabrėžė, kad susitarimas nereikštų, jog sąsiauris būtų iš karto visiškai atvertas, o išpuoliai prieš laivus ir toliau kėlė riziką laivybai</w:t>
            </w:r>
          </w:p>
        </w:tc>
        <w:tc>
          <w:tcPr>
            <w:tcW w:w="2148" w:type="dxa"/>
            <w:tcMar>
              <w:top w:w="29" w:type="dxa"/>
              <w:left w:w="115" w:type="dxa"/>
              <w:bottom w:w="29" w:type="dxa"/>
              <w:right w:w="115" w:type="dxa"/>
            </w:tcMar>
          </w:tcPr>
          <w:p w14:paraId="3DF5D950" w14:textId="43744E54" w:rsidR="2784D98C" w:rsidRDefault="2784D98C" w:rsidP="085EE119">
            <w:pPr>
              <w:jc w:val="both"/>
              <w:rPr>
                <w:u w:val="single"/>
              </w:rPr>
            </w:pPr>
            <w:hyperlink r:id="rId180">
              <w:r w:rsidRPr="085EE119">
                <w:rPr>
                  <w:rStyle w:val="Hyperlink"/>
                  <w:color w:val="1155CC"/>
                </w:rPr>
                <w:t>Hormuz talks positive, Oman says, as Iran warns deal would not open strait</w:t>
              </w:r>
            </w:hyperlink>
          </w:p>
        </w:tc>
      </w:tr>
      <w:tr w:rsidR="4954557E" w14:paraId="7FCF965A" w14:textId="77777777" w:rsidTr="2AC19007">
        <w:trPr>
          <w:trHeight w:val="355"/>
        </w:trPr>
        <w:tc>
          <w:tcPr>
            <w:tcW w:w="776" w:type="dxa"/>
            <w:tcMar>
              <w:top w:w="29" w:type="dxa"/>
              <w:left w:w="115" w:type="dxa"/>
              <w:bottom w:w="29" w:type="dxa"/>
              <w:right w:w="115" w:type="dxa"/>
            </w:tcMar>
          </w:tcPr>
          <w:p w14:paraId="667DCE8A" w14:textId="491CBD63" w:rsidR="4EF37113" w:rsidRDefault="4EF37113" w:rsidP="4954557E">
            <w:pPr>
              <w:jc w:val="both"/>
            </w:pPr>
            <w:r w:rsidRPr="4954557E">
              <w:rPr>
                <w:sz w:val="20"/>
                <w:szCs w:val="20"/>
              </w:rPr>
              <w:t>13/08</w:t>
            </w:r>
          </w:p>
        </w:tc>
        <w:tc>
          <w:tcPr>
            <w:tcW w:w="12322" w:type="dxa"/>
            <w:gridSpan w:val="2"/>
            <w:tcMar>
              <w:top w:w="29" w:type="dxa"/>
              <w:left w:w="115" w:type="dxa"/>
              <w:bottom w:w="29" w:type="dxa"/>
              <w:right w:w="115" w:type="dxa"/>
            </w:tcMar>
          </w:tcPr>
          <w:p w14:paraId="506DACE9" w14:textId="66490914" w:rsidR="4EF37113" w:rsidRDefault="4EF37113" w:rsidP="4954557E">
            <w:pPr>
              <w:jc w:val="both"/>
            </w:pPr>
            <w:r w:rsidRPr="4954557E">
              <w:rPr>
                <w:sz w:val="20"/>
                <w:szCs w:val="20"/>
              </w:rPr>
              <w:t>Omanas plečia keturis pramoninius miestus Al Suwaiq, Al Mudhaibi, Thumrait ir Madha vietovėse, siekdamas pritraukti vietos ir užsienio investicijų, skatinti smulkiojo ir vidutinio verslo plėtrą bei kurti darbo vietas. Valstybinės bendrovės „Madayn“ plėtojamuose pramoniniuose miestuose numatoma įrengti modernią infrastruktūrą ir teikti logistikos paslaugas, taip siekiant didinti gamybos sektoriaus indėlį į šalies ekonomiką. „Madayn“ šiuo metu valdo 14 pramoninių miestų, kuriuose iki 2024 m. buvo pritraukta 7,7 mlrd. OMR investicijų ir įgyvendinta daugiau kaip 1 800 pramonės projektų. 2026 m. I ketvirčio pabaigoje bendros tiesioginės užsienio investicijos Omane siekė 32,2 mlrd. OMR, 800 mln. OMR daugiau nei prieš metus.</w:t>
            </w:r>
          </w:p>
        </w:tc>
        <w:tc>
          <w:tcPr>
            <w:tcW w:w="2148" w:type="dxa"/>
            <w:tcMar>
              <w:top w:w="29" w:type="dxa"/>
              <w:left w:w="115" w:type="dxa"/>
              <w:bottom w:w="29" w:type="dxa"/>
              <w:right w:w="115" w:type="dxa"/>
            </w:tcMar>
          </w:tcPr>
          <w:p w14:paraId="12ABDC2C" w14:textId="0896B84B" w:rsidR="4EF37113" w:rsidRDefault="4EF37113" w:rsidP="4954557E">
            <w:pPr>
              <w:jc w:val="both"/>
            </w:pPr>
            <w:hyperlink r:id="rId181">
              <w:r w:rsidRPr="4954557E">
                <w:rPr>
                  <w:rStyle w:val="Hyperlink"/>
                </w:rPr>
                <w:t>Oman targets investors with expansion of industrial cities</w:t>
              </w:r>
            </w:hyperlink>
          </w:p>
        </w:tc>
      </w:tr>
      <w:tr w:rsidR="549A126F" w14:paraId="02C0FE96" w14:textId="77777777" w:rsidTr="2AC19007">
        <w:trPr>
          <w:trHeight w:val="369"/>
        </w:trPr>
        <w:tc>
          <w:tcPr>
            <w:tcW w:w="776" w:type="dxa"/>
            <w:tcMar>
              <w:top w:w="29" w:type="dxa"/>
              <w:left w:w="115" w:type="dxa"/>
              <w:bottom w:w="29" w:type="dxa"/>
              <w:right w:w="115" w:type="dxa"/>
            </w:tcMar>
          </w:tcPr>
          <w:p w14:paraId="3FFCCC41" w14:textId="31643DD0" w:rsidR="549A126F" w:rsidRDefault="2784D98C" w:rsidP="549A126F">
            <w:pPr>
              <w:spacing w:line="240" w:lineRule="auto"/>
              <w:jc w:val="both"/>
            </w:pPr>
            <w:r w:rsidRPr="4954557E">
              <w:rPr>
                <w:sz w:val="20"/>
                <w:szCs w:val="20"/>
              </w:rPr>
              <w:t>17/08</w:t>
            </w:r>
          </w:p>
        </w:tc>
        <w:tc>
          <w:tcPr>
            <w:tcW w:w="12322" w:type="dxa"/>
            <w:gridSpan w:val="2"/>
            <w:tcMar>
              <w:top w:w="29" w:type="dxa"/>
              <w:left w:w="115" w:type="dxa"/>
              <w:bottom w:w="29" w:type="dxa"/>
              <w:right w:w="115" w:type="dxa"/>
            </w:tcMar>
          </w:tcPr>
          <w:p w14:paraId="6F44A798" w14:textId="52D6A9A3" w:rsidR="549A126F" w:rsidRDefault="2784D98C" w:rsidP="549A126F">
            <w:pPr>
              <w:jc w:val="both"/>
              <w:rPr>
                <w:sz w:val="20"/>
                <w:szCs w:val="20"/>
              </w:rPr>
            </w:pPr>
            <w:r w:rsidRPr="4954557E">
              <w:rPr>
                <w:sz w:val="20"/>
                <w:szCs w:val="20"/>
              </w:rPr>
              <w:t>Omanui ir Iranui priartėjus prie galutinio susitarimo, Omano tarpininkavimo pastangas apsunkino didėjanti JAV ir Irano įtampa, įskaitant JAV prezidento Donaldo Trumpo grasinimą imtis karinių veiksmų prieš Omaną, jei šis trukdytų JAV deryboms su Teheranu. Tai padidino neapibrėžtumą dėl derybų ir regioninių energijos išteklių bei laivybos srautų.</w:t>
            </w:r>
          </w:p>
        </w:tc>
        <w:tc>
          <w:tcPr>
            <w:tcW w:w="2148" w:type="dxa"/>
            <w:tcMar>
              <w:top w:w="29" w:type="dxa"/>
              <w:left w:w="115" w:type="dxa"/>
              <w:bottom w:w="29" w:type="dxa"/>
              <w:right w:w="115" w:type="dxa"/>
            </w:tcMar>
          </w:tcPr>
          <w:p w14:paraId="06701599" w14:textId="4A07B5EB" w:rsidR="549A126F" w:rsidRDefault="2784D98C" w:rsidP="085EE119">
            <w:pPr>
              <w:rPr>
                <w:u w:val="single"/>
              </w:rPr>
            </w:pPr>
            <w:hyperlink r:id="rId182">
              <w:r w:rsidRPr="085EE119">
                <w:rPr>
                  <w:rStyle w:val="Hyperlink"/>
                  <w:color w:val="1155CC"/>
                  <w:lang w:val="en-US"/>
                </w:rPr>
                <w:t>Trump threatens to bomb US ally Oman if it 'gets in the way' over Iran deal</w:t>
              </w:r>
            </w:hyperlink>
          </w:p>
        </w:tc>
      </w:tr>
      <w:tr w:rsidR="4954557E" w14:paraId="3F74B687" w14:textId="77777777" w:rsidTr="2AC19007">
        <w:trPr>
          <w:trHeight w:val="369"/>
        </w:trPr>
        <w:tc>
          <w:tcPr>
            <w:tcW w:w="776" w:type="dxa"/>
            <w:tcMar>
              <w:top w:w="29" w:type="dxa"/>
              <w:left w:w="115" w:type="dxa"/>
              <w:bottom w:w="29" w:type="dxa"/>
              <w:right w:w="115" w:type="dxa"/>
            </w:tcMar>
          </w:tcPr>
          <w:p w14:paraId="57CDF2FF" w14:textId="42AFEB81" w:rsidR="03AD70AF" w:rsidRDefault="03AD70AF" w:rsidP="4954557E">
            <w:pPr>
              <w:spacing w:line="240" w:lineRule="auto"/>
              <w:jc w:val="both"/>
            </w:pPr>
            <w:r w:rsidRPr="4954557E">
              <w:rPr>
                <w:sz w:val="20"/>
                <w:szCs w:val="20"/>
              </w:rPr>
              <w:lastRenderedPageBreak/>
              <w:t>17/08</w:t>
            </w:r>
          </w:p>
        </w:tc>
        <w:tc>
          <w:tcPr>
            <w:tcW w:w="12322" w:type="dxa"/>
            <w:gridSpan w:val="2"/>
            <w:tcMar>
              <w:top w:w="29" w:type="dxa"/>
              <w:left w:w="115" w:type="dxa"/>
              <w:bottom w:w="29" w:type="dxa"/>
              <w:right w:w="115" w:type="dxa"/>
            </w:tcMar>
          </w:tcPr>
          <w:p w14:paraId="67ECD60F" w14:textId="57AA58C7" w:rsidR="03AD70AF" w:rsidRDefault="03AD70AF" w:rsidP="4954557E">
            <w:pPr>
              <w:jc w:val="both"/>
            </w:pPr>
            <w:r w:rsidRPr="4954557E">
              <w:rPr>
                <w:sz w:val="20"/>
                <w:szCs w:val="20"/>
              </w:rPr>
              <w:t>Omanas nustatė naują investicinės bankininkystės veiklos reguliavimo sistemą, kuria siekiama plėtoti šalies kapitalo rinką ir didinti finansavimo bei investavimo galimybių įvairovę pagal „Oman Vision 2040“. Licencijuoti investiciniai bankai galės teikti investicijų ir portfelių valdymo, finansinių produktų struktūrizavimo, konsultavimo, vertybinių popierių emisijų organizavimo ir garantavimo paslaugas. 2021–2025 m. Omano kapitalo rinkose pritraukta daugiau kaip 7 mlrd. OMR, o naujuoju reguliavimu siekiama stiprinti investicinę aplinką ir pritraukti daugiau vietos bei užsienio kapitalo.</w:t>
            </w:r>
          </w:p>
        </w:tc>
        <w:tc>
          <w:tcPr>
            <w:tcW w:w="2148" w:type="dxa"/>
            <w:tcMar>
              <w:top w:w="29" w:type="dxa"/>
              <w:left w:w="115" w:type="dxa"/>
              <w:bottom w:w="29" w:type="dxa"/>
              <w:right w:w="115" w:type="dxa"/>
            </w:tcMar>
          </w:tcPr>
          <w:p w14:paraId="30A4B1A2" w14:textId="24CEC8D9" w:rsidR="03AD70AF" w:rsidRDefault="03AD70AF" w:rsidP="4954557E">
            <w:hyperlink r:id="rId183">
              <w:r w:rsidRPr="4954557E">
                <w:rPr>
                  <w:rStyle w:val="Hyperlink"/>
                  <w:lang w:val="en-US"/>
                </w:rPr>
                <w:t>Oman regulates investment banking activities</w:t>
              </w:r>
            </w:hyperlink>
            <w:r w:rsidRPr="4954557E">
              <w:rPr>
                <w:color w:val="1155CC"/>
                <w:lang w:val="en-US"/>
              </w:rPr>
              <w:t xml:space="preserve"> </w:t>
            </w:r>
          </w:p>
        </w:tc>
      </w:tr>
      <w:tr w:rsidR="4954557E" w14:paraId="1E2E224C" w14:textId="77777777" w:rsidTr="2AC19007">
        <w:trPr>
          <w:trHeight w:val="369"/>
        </w:trPr>
        <w:tc>
          <w:tcPr>
            <w:tcW w:w="776" w:type="dxa"/>
            <w:tcMar>
              <w:top w:w="29" w:type="dxa"/>
              <w:left w:w="115" w:type="dxa"/>
              <w:bottom w:w="29" w:type="dxa"/>
              <w:right w:w="115" w:type="dxa"/>
            </w:tcMar>
          </w:tcPr>
          <w:p w14:paraId="52EB7A09" w14:textId="49D27D66" w:rsidR="34E3608E" w:rsidRDefault="34E3608E" w:rsidP="4954557E">
            <w:pPr>
              <w:spacing w:line="240" w:lineRule="auto"/>
              <w:jc w:val="both"/>
            </w:pPr>
            <w:r w:rsidRPr="4954557E">
              <w:rPr>
                <w:sz w:val="20"/>
                <w:szCs w:val="20"/>
              </w:rPr>
              <w:t>19/08</w:t>
            </w:r>
          </w:p>
        </w:tc>
        <w:tc>
          <w:tcPr>
            <w:tcW w:w="12322" w:type="dxa"/>
            <w:gridSpan w:val="2"/>
            <w:tcMar>
              <w:top w:w="29" w:type="dxa"/>
              <w:left w:w="115" w:type="dxa"/>
              <w:bottom w:w="29" w:type="dxa"/>
              <w:right w:w="115" w:type="dxa"/>
            </w:tcMar>
          </w:tcPr>
          <w:p w14:paraId="6CEF56EB" w14:textId="1A7B4174" w:rsidR="34E3608E" w:rsidRDefault="34E3608E" w:rsidP="4954557E">
            <w:pPr>
              <w:jc w:val="both"/>
            </w:pPr>
            <w:r w:rsidRPr="4954557E">
              <w:rPr>
                <w:sz w:val="20"/>
                <w:szCs w:val="20"/>
              </w:rPr>
              <w:t>TVF prognozuoja, kad Omano ekonomika 2026 m. augs 3,5 proc., nors dėl pasaulio rinkų nepastovumo augimo prognozė sumažinta 0,5 proc. punkto. Ekonomikos augimą turėtų palaikyti stabili ne naftos sektorių veikla ir tęsiamos fiskalinės reformos. Prognozuojama, kad infliacija išliks žema ir sieks 1,7 proc., valstybės skola sumažės iki maždaug 33 proc. BVP, o einamosios sąskaitos perteklius sieks 7,5 proc. BVP, daugiausia dėl stipraus eksporto ir užsienio likvidumo įplaukų.</w:t>
            </w:r>
          </w:p>
        </w:tc>
        <w:tc>
          <w:tcPr>
            <w:tcW w:w="2148" w:type="dxa"/>
            <w:tcMar>
              <w:top w:w="29" w:type="dxa"/>
              <w:left w:w="115" w:type="dxa"/>
              <w:bottom w:w="29" w:type="dxa"/>
              <w:right w:w="115" w:type="dxa"/>
            </w:tcMar>
          </w:tcPr>
          <w:p w14:paraId="01540FA0" w14:textId="5634E09D" w:rsidR="34E3608E" w:rsidRDefault="34E3608E" w:rsidP="4954557E">
            <w:hyperlink r:id="rId184">
              <w:r w:rsidRPr="4954557E">
                <w:rPr>
                  <w:rStyle w:val="Hyperlink"/>
                  <w:lang w:val="en-US"/>
                </w:rPr>
                <w:t>IMF predicts strong economic outlook for Oman</w:t>
              </w:r>
            </w:hyperlink>
          </w:p>
        </w:tc>
      </w:tr>
      <w:tr w:rsidR="4954557E" w14:paraId="6AB380AB" w14:textId="77777777" w:rsidTr="2AC19007">
        <w:trPr>
          <w:trHeight w:val="369"/>
        </w:trPr>
        <w:tc>
          <w:tcPr>
            <w:tcW w:w="776" w:type="dxa"/>
            <w:tcMar>
              <w:top w:w="29" w:type="dxa"/>
              <w:left w:w="115" w:type="dxa"/>
              <w:bottom w:w="29" w:type="dxa"/>
              <w:right w:w="115" w:type="dxa"/>
            </w:tcMar>
          </w:tcPr>
          <w:p w14:paraId="0726C3A9" w14:textId="0F1CC743" w:rsidR="17022BBB" w:rsidRDefault="17022BBB" w:rsidP="4954557E">
            <w:pPr>
              <w:spacing w:line="240" w:lineRule="auto"/>
              <w:jc w:val="both"/>
            </w:pPr>
            <w:r w:rsidRPr="4954557E">
              <w:rPr>
                <w:sz w:val="20"/>
                <w:szCs w:val="20"/>
              </w:rPr>
              <w:t>19/08</w:t>
            </w:r>
          </w:p>
        </w:tc>
        <w:tc>
          <w:tcPr>
            <w:tcW w:w="12322" w:type="dxa"/>
            <w:gridSpan w:val="2"/>
            <w:tcMar>
              <w:top w:w="29" w:type="dxa"/>
              <w:left w:w="115" w:type="dxa"/>
              <w:bottom w:w="29" w:type="dxa"/>
              <w:right w:w="115" w:type="dxa"/>
            </w:tcMar>
          </w:tcPr>
          <w:p w14:paraId="6B3FE0FC" w14:textId="7F3BE695" w:rsidR="17022BBB" w:rsidRDefault="17022BBB" w:rsidP="4954557E">
            <w:pPr>
              <w:jc w:val="both"/>
            </w:pPr>
            <w:r w:rsidRPr="4954557E">
              <w:rPr>
                <w:sz w:val="20"/>
                <w:szCs w:val="20"/>
              </w:rPr>
              <w:t>2026 m. I pusmetį Soharo uoste perkrauta 52 mln. tonų krovinių – 52 proc. daugiau nei prieš metus, o konteinerių krova išaugo 40 proc. iki 545 tūkst. TEU. Įgyvendinamų ir planuojamų investicijų Soharo uoste ir laisvojoje ekonominėje zonoje vertė siekė 2,62 mlrd. OMR, o laisvojoje zonoje pasirašytos penkios naujos investicijų sutartys, kurių bendra vertė – 226,5 mln. OMR. Šie rezultatai rodo stiprėjantį Soharo, kaip vieno svarbiausių Omano pramonės ir logistikos centrų, vaidmenį šalies ekonomikos diversifikavimo ir tarptautinės prekybos plėtros srityse.</w:t>
            </w:r>
          </w:p>
        </w:tc>
        <w:tc>
          <w:tcPr>
            <w:tcW w:w="2148" w:type="dxa"/>
            <w:tcMar>
              <w:top w:w="29" w:type="dxa"/>
              <w:left w:w="115" w:type="dxa"/>
              <w:bottom w:w="29" w:type="dxa"/>
              <w:right w:w="115" w:type="dxa"/>
            </w:tcMar>
          </w:tcPr>
          <w:p w14:paraId="6D58D6E6" w14:textId="73DBC0B5" w:rsidR="17022BBB" w:rsidRDefault="17022BBB" w:rsidP="4954557E">
            <w:hyperlink r:id="rId185">
              <w:r w:rsidRPr="4954557E">
                <w:rPr>
                  <w:rStyle w:val="Hyperlink"/>
                  <w:lang w:val="en-US"/>
                </w:rPr>
                <w:t>Sohar port sees 52% jump in cargo handling</w:t>
              </w:r>
            </w:hyperlink>
            <w:r w:rsidRPr="4954557E">
              <w:rPr>
                <w:color w:val="1155CC"/>
                <w:lang w:val="en-US"/>
              </w:rPr>
              <w:t xml:space="preserve"> </w:t>
            </w:r>
          </w:p>
        </w:tc>
      </w:tr>
      <w:tr w:rsidR="2AC19007" w14:paraId="47FF1BC1" w14:textId="77777777" w:rsidTr="2AC19007">
        <w:trPr>
          <w:trHeight w:val="369"/>
        </w:trPr>
        <w:tc>
          <w:tcPr>
            <w:tcW w:w="776" w:type="dxa"/>
            <w:tcMar>
              <w:top w:w="29" w:type="dxa"/>
              <w:left w:w="115" w:type="dxa"/>
              <w:bottom w:w="29" w:type="dxa"/>
              <w:right w:w="115" w:type="dxa"/>
            </w:tcMar>
          </w:tcPr>
          <w:p w14:paraId="0CA2BF1F" w14:textId="61A2FEC4" w:rsidR="6F208E9A" w:rsidRDefault="6F208E9A" w:rsidP="2AC19007">
            <w:pPr>
              <w:spacing w:line="240" w:lineRule="auto"/>
              <w:jc w:val="both"/>
            </w:pPr>
            <w:r w:rsidRPr="2AC19007">
              <w:rPr>
                <w:sz w:val="20"/>
                <w:szCs w:val="20"/>
              </w:rPr>
              <w:t>23/08</w:t>
            </w:r>
          </w:p>
        </w:tc>
        <w:tc>
          <w:tcPr>
            <w:tcW w:w="12322" w:type="dxa"/>
            <w:gridSpan w:val="2"/>
            <w:tcMar>
              <w:top w:w="29" w:type="dxa"/>
              <w:left w:w="115" w:type="dxa"/>
              <w:bottom w:w="29" w:type="dxa"/>
              <w:right w:w="115" w:type="dxa"/>
            </w:tcMar>
          </w:tcPr>
          <w:p w14:paraId="0B002A4D" w14:textId="726BB4C5" w:rsidR="6F208E9A" w:rsidRDefault="6F208E9A" w:rsidP="2AC19007">
            <w:pPr>
              <w:jc w:val="both"/>
            </w:pPr>
            <w:r w:rsidRPr="2AC19007">
              <w:rPr>
                <w:sz w:val="20"/>
                <w:szCs w:val="20"/>
              </w:rPr>
              <w:t>Omano išlaidos moksliniams tyrimams ir eksperimentinei plėtrai (MTEP) 2025 m. siekė 189,42 mln. Omano rialų ir sudarė 0,48 proc. BVP palyginamosiomis kainomis. Nacionalinio statistikos ir informacijos centro (NCSI) duomenimis, didžiausia MTEP išlaidų dalis teko privačiajam sektoriui – 46 proc., valdžios sektoriui – 31 proc., o aukštojo mokslo sektoriui – 23 proc. MTEP veikloje dalyvavo daugiau kaip 35,5 tūkst. darbuotojų, iš kurių 42 proc. dirbo privačiajame sektoriuje. MTEP investicijų didinimas yra svarbi Omano ekonomikos diversifikavimo ir perėjimo prie žiniomis bei inovacijomis grindžiamos ekonomikos dalis, atitinkanti „Oman Vision 2040“ tikslus.</w:t>
            </w:r>
          </w:p>
        </w:tc>
        <w:tc>
          <w:tcPr>
            <w:tcW w:w="2148" w:type="dxa"/>
            <w:tcMar>
              <w:top w:w="29" w:type="dxa"/>
              <w:left w:w="115" w:type="dxa"/>
              <w:bottom w:w="29" w:type="dxa"/>
              <w:right w:w="115" w:type="dxa"/>
            </w:tcMar>
          </w:tcPr>
          <w:p w14:paraId="488B26EE" w14:textId="4F8D6F5B" w:rsidR="6F208E9A" w:rsidRDefault="6F208E9A" w:rsidP="2AC19007">
            <w:hyperlink r:id="rId186">
              <w:r w:rsidRPr="2AC19007">
                <w:rPr>
                  <w:rStyle w:val="Hyperlink"/>
                  <w:lang w:val="en-US"/>
                </w:rPr>
                <w:t>Oman’s R&amp;D spennding reaches RO 189.4 million</w:t>
              </w:r>
            </w:hyperlink>
          </w:p>
        </w:tc>
      </w:tr>
      <w:tr w:rsidR="4954557E" w14:paraId="3A0C0558" w14:textId="77777777" w:rsidTr="2AC19007">
        <w:trPr>
          <w:trHeight w:val="369"/>
        </w:trPr>
        <w:tc>
          <w:tcPr>
            <w:tcW w:w="776" w:type="dxa"/>
            <w:tcMar>
              <w:top w:w="29" w:type="dxa"/>
              <w:left w:w="115" w:type="dxa"/>
              <w:bottom w:w="29" w:type="dxa"/>
              <w:right w:w="115" w:type="dxa"/>
            </w:tcMar>
          </w:tcPr>
          <w:p w14:paraId="1C2CAD19" w14:textId="3B71F311" w:rsidR="4954557E" w:rsidRDefault="7A3ACB1B" w:rsidP="4954557E">
            <w:pPr>
              <w:spacing w:line="240" w:lineRule="auto"/>
              <w:jc w:val="both"/>
            </w:pPr>
            <w:r w:rsidRPr="2AC19007">
              <w:rPr>
                <w:sz w:val="20"/>
                <w:szCs w:val="20"/>
              </w:rPr>
              <w:t>30/08</w:t>
            </w:r>
          </w:p>
        </w:tc>
        <w:tc>
          <w:tcPr>
            <w:tcW w:w="12322" w:type="dxa"/>
            <w:gridSpan w:val="2"/>
            <w:tcMar>
              <w:top w:w="29" w:type="dxa"/>
              <w:left w:w="115" w:type="dxa"/>
              <w:bottom w:w="29" w:type="dxa"/>
              <w:right w:w="115" w:type="dxa"/>
            </w:tcMar>
          </w:tcPr>
          <w:p w14:paraId="6E0B6C48" w14:textId="441FF2CB" w:rsidR="4954557E" w:rsidRDefault="7A3ACB1B" w:rsidP="4954557E">
            <w:pPr>
              <w:jc w:val="both"/>
            </w:pPr>
            <w:r w:rsidRPr="2AC19007">
              <w:rPr>
                <w:sz w:val="20"/>
                <w:szCs w:val="20"/>
              </w:rPr>
              <w:t>Pagal Didžiosios Salalos ilgalaikės plėtros planą iki 2040 m. numatoma 300 proc. padidinti vandens saugojimo pajėgumus, užtikrinti visos teritorijos aprūpinimą vandentiekio ir nuotekų tinklais bei sudaryti galimybes pakartotinai panaudoti papildomus 23,8 mln. litrų išvalyto vandens per parą. Plane taip pat numatyta sukurti 400 MW žaliosios energetikos pajėgumų. Šios investicijos skirtos pasirengti tolesnei Salalos plėtrai – prognozuojama, kad iki 2040 m. Didžiojoje Salaloje gyvens apie 674 tūkst. žmonių, o regione bus plečiami gyvenamieji, logistikos, turizmo ir komerciniai projektai.</w:t>
            </w:r>
          </w:p>
        </w:tc>
        <w:tc>
          <w:tcPr>
            <w:tcW w:w="2148" w:type="dxa"/>
            <w:tcMar>
              <w:top w:w="29" w:type="dxa"/>
              <w:left w:w="115" w:type="dxa"/>
              <w:bottom w:w="29" w:type="dxa"/>
              <w:right w:w="115" w:type="dxa"/>
            </w:tcMar>
          </w:tcPr>
          <w:p w14:paraId="5899D121" w14:textId="12E7BFA4" w:rsidR="4954557E" w:rsidRDefault="7A3ACB1B" w:rsidP="4954557E">
            <w:hyperlink r:id="rId187">
              <w:r w:rsidRPr="2AC19007">
                <w:rPr>
                  <w:rStyle w:val="Hyperlink"/>
                  <w:lang w:val="en-US"/>
                </w:rPr>
                <w:t>Salah targets 300% rise in water storage by 2040</w:t>
              </w:r>
            </w:hyperlink>
            <w:r w:rsidRPr="2AC19007">
              <w:rPr>
                <w:color w:val="1155CC"/>
                <w:lang w:val="en-US"/>
              </w:rPr>
              <w:t xml:space="preserve"> </w:t>
            </w:r>
          </w:p>
        </w:tc>
      </w:tr>
      <w:tr w:rsidR="002A5780" w14:paraId="60F98F36" w14:textId="77777777" w:rsidTr="2AC19007">
        <w:trPr>
          <w:trHeight w:val="353"/>
        </w:trPr>
        <w:tc>
          <w:tcPr>
            <w:tcW w:w="15246" w:type="dxa"/>
            <w:gridSpan w:val="4"/>
            <w:tcMar>
              <w:top w:w="29" w:type="dxa"/>
              <w:left w:w="115" w:type="dxa"/>
              <w:bottom w:w="29" w:type="dxa"/>
              <w:right w:w="115" w:type="dxa"/>
            </w:tcMar>
          </w:tcPr>
          <w:p w14:paraId="0000029A" w14:textId="77777777" w:rsidR="002A5780" w:rsidRDefault="00D91955">
            <w:pPr>
              <w:spacing w:after="0"/>
              <w:rPr>
                <w:color w:val="0563C1"/>
                <w:sz w:val="20"/>
                <w:szCs w:val="20"/>
                <w:u w:val="single"/>
              </w:rPr>
            </w:pPr>
            <w:r>
              <w:rPr>
                <w:i/>
                <w:iCs/>
                <w:sz w:val="20"/>
                <w:szCs w:val="20"/>
              </w:rPr>
              <w:t xml:space="preserve">Parengė Simonas Narvydas, LR ambasados Jungtinėje Karalystėje antrasis sekretorius, el. paštas </w:t>
            </w:r>
            <w:hyperlink r:id="rId188">
              <w:r>
                <w:rPr>
                  <w:i/>
                  <w:iCs/>
                  <w:color w:val="0563C1"/>
                  <w:sz w:val="20"/>
                  <w:szCs w:val="20"/>
                  <w:u w:val="single"/>
                </w:rPr>
                <w:t>simonas.narvydas@urm.lt</w:t>
              </w:r>
            </w:hyperlink>
            <w:r>
              <w:rPr>
                <w:i/>
                <w:iCs/>
                <w:sz w:val="20"/>
                <w:szCs w:val="20"/>
              </w:rPr>
              <w:t xml:space="preserve"> </w:t>
            </w:r>
          </w:p>
        </w:tc>
      </w:tr>
    </w:tbl>
    <w:p w14:paraId="0000029E" w14:textId="77777777" w:rsidR="002A5780" w:rsidRDefault="002A5780">
      <w:pPr>
        <w:spacing w:after="0"/>
      </w:pPr>
    </w:p>
    <w:p w14:paraId="011893EA" w14:textId="5559B20F" w:rsidR="4954557E" w:rsidRDefault="4954557E">
      <w:r>
        <w:t>-„Indeed“ duomenimis, darbo skelbimų, skirtų naujiems ir neseniai studijas baigusiems absolventams, skaičius buvo apie 7 proc. mažesnis nei prieš metus ir pasiekė žemiausią lygį nuo 2020 m. Bendras darbo skelbimų skaičius JK nuo 2026 m. pradžios sumažėjo 11 proc. ir tebėra maždaug trečdaliu mažesnis nei prieš pandemiją, o tai rodo išliekantį darbo paklausos silpnumą.</w:t>
      </w:r>
    </w:p>
    <w:p w14:paraId="421D0D95" w14:textId="5E0571D6" w:rsidR="4954557E" w:rsidRDefault="4954557E">
      <w:r>
        <w:t>-„Indeed“ duomenimis, darbo skelbimų, skirtų naujiems ir neseniai studijas baigusiems absolventams, skaičius buvo apie 7 proc. mažesnis nei prieš metus ir pasiekė žemiausią lygį nuo 2020 m. Bendras darbo skelbimų skaičius JK nuo 2026 m. pradžios sumažėjo 11 proc. ir tebėra maždaug trečdaliu mažesnis nei prieš pandemiją, o tai rodo išliekantį darbo paklausos silpnumą.</w:t>
      </w:r>
    </w:p>
    <w:sectPr w:rsidR="4954557E">
      <w:headerReference w:type="first" r:id="rId189"/>
      <w:pgSz w:w="16838" w:h="11906" w:orient="landscape"/>
      <w:pgMar w:top="709" w:right="820" w:bottom="567" w:left="1134"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9D33" w14:textId="77777777" w:rsidR="00D34735" w:rsidRDefault="00D34735">
      <w:pPr>
        <w:spacing w:after="0" w:line="240" w:lineRule="auto"/>
      </w:pPr>
      <w:r>
        <w:separator/>
      </w:r>
    </w:p>
  </w:endnote>
  <w:endnote w:type="continuationSeparator" w:id="0">
    <w:p w14:paraId="5B42CC6D" w14:textId="77777777" w:rsidR="00D34735" w:rsidRDefault="00D34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4316C0B1-2F72-441E-84DE-ED04AC3F2A48}"/>
  </w:font>
  <w:font w:name="Calibri">
    <w:panose1 w:val="020F0502020204030204"/>
    <w:charset w:val="BA"/>
    <w:family w:val="swiss"/>
    <w:pitch w:val="variable"/>
    <w:sig w:usb0="E4002EFF" w:usb1="C200247B" w:usb2="00000009" w:usb3="00000000" w:csb0="000001FF" w:csb1="00000000"/>
    <w:embedRegular r:id="rId2" w:fontKey="{8003A619-A7C3-4A02-BC46-64DDF1CD89D1}"/>
    <w:embedBold r:id="rId3" w:fontKey="{76F7F412-65F1-4ECC-9CEE-662721230D34}"/>
    <w:embedItalic r:id="rId4" w:fontKey="{7CD7BF3D-5DEC-4302-9659-D14FEE0F995A}"/>
  </w:font>
  <w:font w:name="Garamond">
    <w:panose1 w:val="02020404030301010803"/>
    <w:charset w:val="BA"/>
    <w:family w:val="roman"/>
    <w:pitch w:val="variable"/>
    <w:sig w:usb0="00000287" w:usb1="00000000" w:usb2="00000000" w:usb3="00000000" w:csb0="0000009F" w:csb1="00000000"/>
    <w:embedRegular r:id="rId5" w:fontKey="{5550238E-A36B-4DB6-8403-72AE5928FA41}"/>
  </w:font>
  <w:font w:name="Georgia">
    <w:panose1 w:val="02040502050405020303"/>
    <w:charset w:val="BA"/>
    <w:family w:val="roman"/>
    <w:pitch w:val="variable"/>
    <w:sig w:usb0="00000287" w:usb1="00000000" w:usb2="00000000" w:usb3="00000000" w:csb0="0000009F" w:csb1="00000000"/>
    <w:embedItalic r:id="rId6" w:fontKey="{54DF5CDD-E5A2-4CEA-8255-E41A3693C158}"/>
  </w:font>
  <w:font w:name="Arial Narrow">
    <w:panose1 w:val="020B0606020202030204"/>
    <w:charset w:val="BA"/>
    <w:family w:val="swiss"/>
    <w:pitch w:val="variable"/>
    <w:sig w:usb0="00000287" w:usb1="00000800" w:usb2="00000000" w:usb3="00000000" w:csb0="0000009F" w:csb1="00000000"/>
    <w:embedRegular r:id="rId7" w:fontKey="{AC22E684-874A-474C-AC1C-143D71A5968B}"/>
    <w:embedBold r:id="rId8" w:fontKey="{3C500CDB-5156-4D15-92DC-EC8DA0EC8BFC}"/>
  </w:font>
  <w:font w:name="Cambria">
    <w:panose1 w:val="02040503050406030204"/>
    <w:charset w:val="BA"/>
    <w:family w:val="roman"/>
    <w:pitch w:val="variable"/>
    <w:sig w:usb0="E00006FF" w:usb1="420024FF" w:usb2="02000000" w:usb3="00000000" w:csb0="0000019F" w:csb1="00000000"/>
    <w:embedRegular r:id="rId9" w:fontKey="{E696A690-38BF-457F-A35F-2EBEBE74E4C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58D69" w14:textId="77777777" w:rsidR="00D34735" w:rsidRDefault="00D34735">
      <w:pPr>
        <w:spacing w:after="0" w:line="240" w:lineRule="auto"/>
      </w:pPr>
      <w:r>
        <w:separator/>
      </w:r>
    </w:p>
  </w:footnote>
  <w:footnote w:type="continuationSeparator" w:id="0">
    <w:p w14:paraId="3358EAE9" w14:textId="77777777" w:rsidR="00D34735" w:rsidRDefault="00D34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9F" w14:textId="4E7F6CDD" w:rsidR="002A5780" w:rsidRDefault="00D91955">
    <w:pPr>
      <w:spacing w:after="0" w:line="240" w:lineRule="auto"/>
      <w:jc w:val="center"/>
      <w:rPr>
        <w:rFonts w:ascii="Arial Narrow" w:eastAsia="Arial Narrow" w:hAnsi="Arial Narrow" w:cs="Arial Narrow"/>
        <w:sz w:val="24"/>
        <w:szCs w:val="24"/>
      </w:rPr>
    </w:pPr>
    <w:r>
      <w:rPr>
        <w:rFonts w:ascii="Arial Narrow" w:eastAsia="Arial Narrow" w:hAnsi="Arial Narrow" w:cs="Arial Narrow"/>
        <w:sz w:val="24"/>
        <w:szCs w:val="24"/>
      </w:rPr>
      <w:t xml:space="preserve">2026 M. </w:t>
    </w:r>
    <w:r w:rsidR="00542DFB">
      <w:rPr>
        <w:rFonts w:ascii="Arial Narrow" w:eastAsia="Arial Narrow" w:hAnsi="Arial Narrow" w:cs="Arial Narrow"/>
        <w:sz w:val="24"/>
        <w:szCs w:val="24"/>
      </w:rPr>
      <w:t>RUGPJŪČIO</w:t>
    </w:r>
    <w:r>
      <w:rPr>
        <w:rFonts w:ascii="Arial Narrow" w:eastAsia="Arial Narrow" w:hAnsi="Arial Narrow" w:cs="Arial Narrow"/>
        <w:sz w:val="24"/>
        <w:szCs w:val="24"/>
      </w:rPr>
      <w:t xml:space="preserve"> MĖN. AKTUALIOS EKONOMINĖS INFORMACIJOS SUVESTINĖ</w:t>
    </w:r>
  </w:p>
  <w:p w14:paraId="000002A0" w14:textId="77777777" w:rsidR="002A5780" w:rsidRDefault="002A5780">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1A5"/>
    <w:multiLevelType w:val="hybridMultilevel"/>
    <w:tmpl w:val="396AF2D6"/>
    <w:lvl w:ilvl="0" w:tplc="B5FE7292">
      <w:start w:val="1"/>
      <w:numFmt w:val="bullet"/>
      <w:lvlText w:val=""/>
      <w:lvlJc w:val="left"/>
      <w:pPr>
        <w:ind w:left="720" w:hanging="360"/>
      </w:pPr>
      <w:rPr>
        <w:rFonts w:ascii="Symbol" w:hAnsi="Symbol" w:hint="default"/>
      </w:rPr>
    </w:lvl>
    <w:lvl w:ilvl="1" w:tplc="E054B9C0">
      <w:start w:val="1"/>
      <w:numFmt w:val="bullet"/>
      <w:lvlText w:val="o"/>
      <w:lvlJc w:val="left"/>
      <w:pPr>
        <w:ind w:left="1440" w:hanging="360"/>
      </w:pPr>
      <w:rPr>
        <w:rFonts w:ascii="Courier New" w:hAnsi="Courier New" w:hint="default"/>
      </w:rPr>
    </w:lvl>
    <w:lvl w:ilvl="2" w:tplc="938254D0">
      <w:start w:val="1"/>
      <w:numFmt w:val="bullet"/>
      <w:lvlText w:val=""/>
      <w:lvlJc w:val="left"/>
      <w:pPr>
        <w:ind w:left="2160" w:hanging="360"/>
      </w:pPr>
      <w:rPr>
        <w:rFonts w:ascii="Wingdings" w:hAnsi="Wingdings" w:hint="default"/>
      </w:rPr>
    </w:lvl>
    <w:lvl w:ilvl="3" w:tplc="03124642">
      <w:start w:val="1"/>
      <w:numFmt w:val="bullet"/>
      <w:lvlText w:val=""/>
      <w:lvlJc w:val="left"/>
      <w:pPr>
        <w:ind w:left="2880" w:hanging="360"/>
      </w:pPr>
      <w:rPr>
        <w:rFonts w:ascii="Symbol" w:hAnsi="Symbol" w:hint="default"/>
      </w:rPr>
    </w:lvl>
    <w:lvl w:ilvl="4" w:tplc="DE982B1A">
      <w:start w:val="1"/>
      <w:numFmt w:val="bullet"/>
      <w:lvlText w:val="o"/>
      <w:lvlJc w:val="left"/>
      <w:pPr>
        <w:ind w:left="3600" w:hanging="360"/>
      </w:pPr>
      <w:rPr>
        <w:rFonts w:ascii="Courier New" w:hAnsi="Courier New" w:hint="default"/>
      </w:rPr>
    </w:lvl>
    <w:lvl w:ilvl="5" w:tplc="DB9EE62C">
      <w:start w:val="1"/>
      <w:numFmt w:val="bullet"/>
      <w:lvlText w:val=""/>
      <w:lvlJc w:val="left"/>
      <w:pPr>
        <w:ind w:left="4320" w:hanging="360"/>
      </w:pPr>
      <w:rPr>
        <w:rFonts w:ascii="Wingdings" w:hAnsi="Wingdings" w:hint="default"/>
      </w:rPr>
    </w:lvl>
    <w:lvl w:ilvl="6" w:tplc="D88E4A2A">
      <w:start w:val="1"/>
      <w:numFmt w:val="bullet"/>
      <w:lvlText w:val=""/>
      <w:lvlJc w:val="left"/>
      <w:pPr>
        <w:ind w:left="5040" w:hanging="360"/>
      </w:pPr>
      <w:rPr>
        <w:rFonts w:ascii="Symbol" w:hAnsi="Symbol" w:hint="default"/>
      </w:rPr>
    </w:lvl>
    <w:lvl w:ilvl="7" w:tplc="95A2014A">
      <w:start w:val="1"/>
      <w:numFmt w:val="bullet"/>
      <w:lvlText w:val="o"/>
      <w:lvlJc w:val="left"/>
      <w:pPr>
        <w:ind w:left="5760" w:hanging="360"/>
      </w:pPr>
      <w:rPr>
        <w:rFonts w:ascii="Courier New" w:hAnsi="Courier New" w:hint="default"/>
      </w:rPr>
    </w:lvl>
    <w:lvl w:ilvl="8" w:tplc="B1860DC0">
      <w:start w:val="1"/>
      <w:numFmt w:val="bullet"/>
      <w:lvlText w:val=""/>
      <w:lvlJc w:val="left"/>
      <w:pPr>
        <w:ind w:left="6480" w:hanging="360"/>
      </w:pPr>
      <w:rPr>
        <w:rFonts w:ascii="Wingdings" w:hAnsi="Wingdings" w:hint="default"/>
      </w:rPr>
    </w:lvl>
  </w:abstractNum>
  <w:abstractNum w:abstractNumId="1" w15:restartNumberingAfterBreak="0">
    <w:nsid w:val="0251AA1E"/>
    <w:multiLevelType w:val="hybridMultilevel"/>
    <w:tmpl w:val="683680E4"/>
    <w:lvl w:ilvl="0" w:tplc="4F9EC9D4">
      <w:start w:val="1"/>
      <w:numFmt w:val="bullet"/>
      <w:lvlText w:val=""/>
      <w:lvlJc w:val="left"/>
      <w:pPr>
        <w:ind w:left="720" w:hanging="360"/>
      </w:pPr>
      <w:rPr>
        <w:rFonts w:ascii="Symbol" w:hAnsi="Symbol" w:hint="default"/>
      </w:rPr>
    </w:lvl>
    <w:lvl w:ilvl="1" w:tplc="479465CC">
      <w:start w:val="1"/>
      <w:numFmt w:val="bullet"/>
      <w:lvlText w:val="o"/>
      <w:lvlJc w:val="left"/>
      <w:pPr>
        <w:ind w:left="1440" w:hanging="360"/>
      </w:pPr>
      <w:rPr>
        <w:rFonts w:ascii="Courier New" w:hAnsi="Courier New" w:hint="default"/>
      </w:rPr>
    </w:lvl>
    <w:lvl w:ilvl="2" w:tplc="B8588872">
      <w:start w:val="1"/>
      <w:numFmt w:val="bullet"/>
      <w:lvlText w:val=""/>
      <w:lvlJc w:val="left"/>
      <w:pPr>
        <w:ind w:left="2160" w:hanging="360"/>
      </w:pPr>
      <w:rPr>
        <w:rFonts w:ascii="Wingdings" w:hAnsi="Wingdings" w:hint="default"/>
      </w:rPr>
    </w:lvl>
    <w:lvl w:ilvl="3" w:tplc="03CE455A">
      <w:start w:val="1"/>
      <w:numFmt w:val="bullet"/>
      <w:lvlText w:val=""/>
      <w:lvlJc w:val="left"/>
      <w:pPr>
        <w:ind w:left="2880" w:hanging="360"/>
      </w:pPr>
      <w:rPr>
        <w:rFonts w:ascii="Symbol" w:hAnsi="Symbol" w:hint="default"/>
      </w:rPr>
    </w:lvl>
    <w:lvl w:ilvl="4" w:tplc="F2C2B0AA">
      <w:start w:val="1"/>
      <w:numFmt w:val="bullet"/>
      <w:lvlText w:val="o"/>
      <w:lvlJc w:val="left"/>
      <w:pPr>
        <w:ind w:left="3600" w:hanging="360"/>
      </w:pPr>
      <w:rPr>
        <w:rFonts w:ascii="Courier New" w:hAnsi="Courier New" w:hint="default"/>
      </w:rPr>
    </w:lvl>
    <w:lvl w:ilvl="5" w:tplc="02526E72">
      <w:start w:val="1"/>
      <w:numFmt w:val="bullet"/>
      <w:lvlText w:val=""/>
      <w:lvlJc w:val="left"/>
      <w:pPr>
        <w:ind w:left="4320" w:hanging="360"/>
      </w:pPr>
      <w:rPr>
        <w:rFonts w:ascii="Wingdings" w:hAnsi="Wingdings" w:hint="default"/>
      </w:rPr>
    </w:lvl>
    <w:lvl w:ilvl="6" w:tplc="781A12A0">
      <w:start w:val="1"/>
      <w:numFmt w:val="bullet"/>
      <w:lvlText w:val=""/>
      <w:lvlJc w:val="left"/>
      <w:pPr>
        <w:ind w:left="5040" w:hanging="360"/>
      </w:pPr>
      <w:rPr>
        <w:rFonts w:ascii="Symbol" w:hAnsi="Symbol" w:hint="default"/>
      </w:rPr>
    </w:lvl>
    <w:lvl w:ilvl="7" w:tplc="F2F40E9E">
      <w:start w:val="1"/>
      <w:numFmt w:val="bullet"/>
      <w:lvlText w:val="o"/>
      <w:lvlJc w:val="left"/>
      <w:pPr>
        <w:ind w:left="5760" w:hanging="360"/>
      </w:pPr>
      <w:rPr>
        <w:rFonts w:ascii="Courier New" w:hAnsi="Courier New" w:hint="default"/>
      </w:rPr>
    </w:lvl>
    <w:lvl w:ilvl="8" w:tplc="4064959E">
      <w:start w:val="1"/>
      <w:numFmt w:val="bullet"/>
      <w:lvlText w:val=""/>
      <w:lvlJc w:val="left"/>
      <w:pPr>
        <w:ind w:left="6480" w:hanging="360"/>
      </w:pPr>
      <w:rPr>
        <w:rFonts w:ascii="Wingdings" w:hAnsi="Wingdings" w:hint="default"/>
      </w:rPr>
    </w:lvl>
  </w:abstractNum>
  <w:abstractNum w:abstractNumId="2" w15:restartNumberingAfterBreak="0">
    <w:nsid w:val="03BD20EC"/>
    <w:multiLevelType w:val="hybridMultilevel"/>
    <w:tmpl w:val="CAE2F118"/>
    <w:lvl w:ilvl="0" w:tplc="AEE2B0D6">
      <w:start w:val="1"/>
      <w:numFmt w:val="bullet"/>
      <w:lvlText w:val=""/>
      <w:lvlJc w:val="left"/>
      <w:pPr>
        <w:ind w:left="720" w:hanging="360"/>
      </w:pPr>
      <w:rPr>
        <w:rFonts w:ascii="Symbol" w:hAnsi="Symbol" w:hint="default"/>
      </w:rPr>
    </w:lvl>
    <w:lvl w:ilvl="1" w:tplc="B6382182">
      <w:start w:val="1"/>
      <w:numFmt w:val="bullet"/>
      <w:lvlText w:val="o"/>
      <w:lvlJc w:val="left"/>
      <w:pPr>
        <w:ind w:left="1440" w:hanging="360"/>
      </w:pPr>
      <w:rPr>
        <w:rFonts w:ascii="Courier New" w:hAnsi="Courier New" w:hint="default"/>
      </w:rPr>
    </w:lvl>
    <w:lvl w:ilvl="2" w:tplc="BBB0C856">
      <w:start w:val="1"/>
      <w:numFmt w:val="bullet"/>
      <w:lvlText w:val=""/>
      <w:lvlJc w:val="left"/>
      <w:pPr>
        <w:ind w:left="2160" w:hanging="360"/>
      </w:pPr>
      <w:rPr>
        <w:rFonts w:ascii="Wingdings" w:hAnsi="Wingdings" w:hint="default"/>
      </w:rPr>
    </w:lvl>
    <w:lvl w:ilvl="3" w:tplc="0FBE521C">
      <w:start w:val="1"/>
      <w:numFmt w:val="bullet"/>
      <w:lvlText w:val=""/>
      <w:lvlJc w:val="left"/>
      <w:pPr>
        <w:ind w:left="2880" w:hanging="360"/>
      </w:pPr>
      <w:rPr>
        <w:rFonts w:ascii="Symbol" w:hAnsi="Symbol" w:hint="default"/>
      </w:rPr>
    </w:lvl>
    <w:lvl w:ilvl="4" w:tplc="95A462AE">
      <w:start w:val="1"/>
      <w:numFmt w:val="bullet"/>
      <w:lvlText w:val="o"/>
      <w:lvlJc w:val="left"/>
      <w:pPr>
        <w:ind w:left="3600" w:hanging="360"/>
      </w:pPr>
      <w:rPr>
        <w:rFonts w:ascii="Courier New" w:hAnsi="Courier New" w:hint="default"/>
      </w:rPr>
    </w:lvl>
    <w:lvl w:ilvl="5" w:tplc="24D203B0">
      <w:start w:val="1"/>
      <w:numFmt w:val="bullet"/>
      <w:lvlText w:val=""/>
      <w:lvlJc w:val="left"/>
      <w:pPr>
        <w:ind w:left="4320" w:hanging="360"/>
      </w:pPr>
      <w:rPr>
        <w:rFonts w:ascii="Wingdings" w:hAnsi="Wingdings" w:hint="default"/>
      </w:rPr>
    </w:lvl>
    <w:lvl w:ilvl="6" w:tplc="C3EA693E">
      <w:start w:val="1"/>
      <w:numFmt w:val="bullet"/>
      <w:lvlText w:val=""/>
      <w:lvlJc w:val="left"/>
      <w:pPr>
        <w:ind w:left="5040" w:hanging="360"/>
      </w:pPr>
      <w:rPr>
        <w:rFonts w:ascii="Symbol" w:hAnsi="Symbol" w:hint="default"/>
      </w:rPr>
    </w:lvl>
    <w:lvl w:ilvl="7" w:tplc="D26046A2">
      <w:start w:val="1"/>
      <w:numFmt w:val="bullet"/>
      <w:lvlText w:val="o"/>
      <w:lvlJc w:val="left"/>
      <w:pPr>
        <w:ind w:left="5760" w:hanging="360"/>
      </w:pPr>
      <w:rPr>
        <w:rFonts w:ascii="Courier New" w:hAnsi="Courier New" w:hint="default"/>
      </w:rPr>
    </w:lvl>
    <w:lvl w:ilvl="8" w:tplc="1A822CAC">
      <w:start w:val="1"/>
      <w:numFmt w:val="bullet"/>
      <w:lvlText w:val=""/>
      <w:lvlJc w:val="left"/>
      <w:pPr>
        <w:ind w:left="6480" w:hanging="360"/>
      </w:pPr>
      <w:rPr>
        <w:rFonts w:ascii="Wingdings" w:hAnsi="Wingdings" w:hint="default"/>
      </w:rPr>
    </w:lvl>
  </w:abstractNum>
  <w:abstractNum w:abstractNumId="3" w15:restartNumberingAfterBreak="0">
    <w:nsid w:val="05CC8BC6"/>
    <w:multiLevelType w:val="hybridMultilevel"/>
    <w:tmpl w:val="8884CD40"/>
    <w:lvl w:ilvl="0" w:tplc="8F80B15E">
      <w:start w:val="1"/>
      <w:numFmt w:val="bullet"/>
      <w:lvlText w:val=""/>
      <w:lvlJc w:val="left"/>
      <w:pPr>
        <w:ind w:left="720" w:hanging="360"/>
      </w:pPr>
      <w:rPr>
        <w:rFonts w:ascii="Symbol" w:hAnsi="Symbol" w:hint="default"/>
      </w:rPr>
    </w:lvl>
    <w:lvl w:ilvl="1" w:tplc="ED94FBCC">
      <w:start w:val="1"/>
      <w:numFmt w:val="bullet"/>
      <w:lvlText w:val="o"/>
      <w:lvlJc w:val="left"/>
      <w:pPr>
        <w:ind w:left="1440" w:hanging="360"/>
      </w:pPr>
      <w:rPr>
        <w:rFonts w:ascii="Courier New" w:hAnsi="Courier New" w:hint="default"/>
      </w:rPr>
    </w:lvl>
    <w:lvl w:ilvl="2" w:tplc="4CACD772">
      <w:start w:val="1"/>
      <w:numFmt w:val="bullet"/>
      <w:lvlText w:val=""/>
      <w:lvlJc w:val="left"/>
      <w:pPr>
        <w:ind w:left="2160" w:hanging="360"/>
      </w:pPr>
      <w:rPr>
        <w:rFonts w:ascii="Wingdings" w:hAnsi="Wingdings" w:hint="default"/>
      </w:rPr>
    </w:lvl>
    <w:lvl w:ilvl="3" w:tplc="B6021150">
      <w:start w:val="1"/>
      <w:numFmt w:val="bullet"/>
      <w:lvlText w:val=""/>
      <w:lvlJc w:val="left"/>
      <w:pPr>
        <w:ind w:left="2880" w:hanging="360"/>
      </w:pPr>
      <w:rPr>
        <w:rFonts w:ascii="Symbol" w:hAnsi="Symbol" w:hint="default"/>
      </w:rPr>
    </w:lvl>
    <w:lvl w:ilvl="4" w:tplc="964C658A">
      <w:start w:val="1"/>
      <w:numFmt w:val="bullet"/>
      <w:lvlText w:val="o"/>
      <w:lvlJc w:val="left"/>
      <w:pPr>
        <w:ind w:left="3600" w:hanging="360"/>
      </w:pPr>
      <w:rPr>
        <w:rFonts w:ascii="Courier New" w:hAnsi="Courier New" w:hint="default"/>
      </w:rPr>
    </w:lvl>
    <w:lvl w:ilvl="5" w:tplc="C09CCB82">
      <w:start w:val="1"/>
      <w:numFmt w:val="bullet"/>
      <w:lvlText w:val=""/>
      <w:lvlJc w:val="left"/>
      <w:pPr>
        <w:ind w:left="4320" w:hanging="360"/>
      </w:pPr>
      <w:rPr>
        <w:rFonts w:ascii="Wingdings" w:hAnsi="Wingdings" w:hint="default"/>
      </w:rPr>
    </w:lvl>
    <w:lvl w:ilvl="6" w:tplc="C7766FB2">
      <w:start w:val="1"/>
      <w:numFmt w:val="bullet"/>
      <w:lvlText w:val=""/>
      <w:lvlJc w:val="left"/>
      <w:pPr>
        <w:ind w:left="5040" w:hanging="360"/>
      </w:pPr>
      <w:rPr>
        <w:rFonts w:ascii="Symbol" w:hAnsi="Symbol" w:hint="default"/>
      </w:rPr>
    </w:lvl>
    <w:lvl w:ilvl="7" w:tplc="717C2AAA">
      <w:start w:val="1"/>
      <w:numFmt w:val="bullet"/>
      <w:lvlText w:val="o"/>
      <w:lvlJc w:val="left"/>
      <w:pPr>
        <w:ind w:left="5760" w:hanging="360"/>
      </w:pPr>
      <w:rPr>
        <w:rFonts w:ascii="Courier New" w:hAnsi="Courier New" w:hint="default"/>
      </w:rPr>
    </w:lvl>
    <w:lvl w:ilvl="8" w:tplc="21AE98BE">
      <w:start w:val="1"/>
      <w:numFmt w:val="bullet"/>
      <w:lvlText w:val=""/>
      <w:lvlJc w:val="left"/>
      <w:pPr>
        <w:ind w:left="6480" w:hanging="360"/>
      </w:pPr>
      <w:rPr>
        <w:rFonts w:ascii="Wingdings" w:hAnsi="Wingdings" w:hint="default"/>
      </w:rPr>
    </w:lvl>
  </w:abstractNum>
  <w:abstractNum w:abstractNumId="4" w15:restartNumberingAfterBreak="0">
    <w:nsid w:val="094EFB66"/>
    <w:multiLevelType w:val="hybridMultilevel"/>
    <w:tmpl w:val="7B16620A"/>
    <w:lvl w:ilvl="0" w:tplc="B7DE61E4">
      <w:start w:val="1"/>
      <w:numFmt w:val="bullet"/>
      <w:lvlText w:val=""/>
      <w:lvlJc w:val="left"/>
      <w:pPr>
        <w:ind w:left="720" w:hanging="360"/>
      </w:pPr>
      <w:rPr>
        <w:rFonts w:ascii="Symbol" w:hAnsi="Symbol" w:hint="default"/>
      </w:rPr>
    </w:lvl>
    <w:lvl w:ilvl="1" w:tplc="C552971A">
      <w:start w:val="1"/>
      <w:numFmt w:val="bullet"/>
      <w:lvlText w:val="o"/>
      <w:lvlJc w:val="left"/>
      <w:pPr>
        <w:ind w:left="1440" w:hanging="360"/>
      </w:pPr>
      <w:rPr>
        <w:rFonts w:ascii="Courier New" w:hAnsi="Courier New" w:hint="default"/>
      </w:rPr>
    </w:lvl>
    <w:lvl w:ilvl="2" w:tplc="4348A4FA">
      <w:start w:val="1"/>
      <w:numFmt w:val="bullet"/>
      <w:lvlText w:val=""/>
      <w:lvlJc w:val="left"/>
      <w:pPr>
        <w:ind w:left="2160" w:hanging="360"/>
      </w:pPr>
      <w:rPr>
        <w:rFonts w:ascii="Wingdings" w:hAnsi="Wingdings" w:hint="default"/>
      </w:rPr>
    </w:lvl>
    <w:lvl w:ilvl="3" w:tplc="7B7E079C">
      <w:start w:val="1"/>
      <w:numFmt w:val="bullet"/>
      <w:lvlText w:val=""/>
      <w:lvlJc w:val="left"/>
      <w:pPr>
        <w:ind w:left="2880" w:hanging="360"/>
      </w:pPr>
      <w:rPr>
        <w:rFonts w:ascii="Symbol" w:hAnsi="Symbol" w:hint="default"/>
      </w:rPr>
    </w:lvl>
    <w:lvl w:ilvl="4" w:tplc="5AE6BE0E">
      <w:start w:val="1"/>
      <w:numFmt w:val="bullet"/>
      <w:lvlText w:val="o"/>
      <w:lvlJc w:val="left"/>
      <w:pPr>
        <w:ind w:left="3600" w:hanging="360"/>
      </w:pPr>
      <w:rPr>
        <w:rFonts w:ascii="Courier New" w:hAnsi="Courier New" w:hint="default"/>
      </w:rPr>
    </w:lvl>
    <w:lvl w:ilvl="5" w:tplc="AC604AAE">
      <w:start w:val="1"/>
      <w:numFmt w:val="bullet"/>
      <w:lvlText w:val=""/>
      <w:lvlJc w:val="left"/>
      <w:pPr>
        <w:ind w:left="4320" w:hanging="360"/>
      </w:pPr>
      <w:rPr>
        <w:rFonts w:ascii="Wingdings" w:hAnsi="Wingdings" w:hint="default"/>
      </w:rPr>
    </w:lvl>
    <w:lvl w:ilvl="6" w:tplc="85383FB8">
      <w:start w:val="1"/>
      <w:numFmt w:val="bullet"/>
      <w:lvlText w:val=""/>
      <w:lvlJc w:val="left"/>
      <w:pPr>
        <w:ind w:left="5040" w:hanging="360"/>
      </w:pPr>
      <w:rPr>
        <w:rFonts w:ascii="Symbol" w:hAnsi="Symbol" w:hint="default"/>
      </w:rPr>
    </w:lvl>
    <w:lvl w:ilvl="7" w:tplc="D90C26FE">
      <w:start w:val="1"/>
      <w:numFmt w:val="bullet"/>
      <w:lvlText w:val="o"/>
      <w:lvlJc w:val="left"/>
      <w:pPr>
        <w:ind w:left="5760" w:hanging="360"/>
      </w:pPr>
      <w:rPr>
        <w:rFonts w:ascii="Courier New" w:hAnsi="Courier New" w:hint="default"/>
      </w:rPr>
    </w:lvl>
    <w:lvl w:ilvl="8" w:tplc="6338C7B0">
      <w:start w:val="1"/>
      <w:numFmt w:val="bullet"/>
      <w:lvlText w:val=""/>
      <w:lvlJc w:val="left"/>
      <w:pPr>
        <w:ind w:left="6480" w:hanging="360"/>
      </w:pPr>
      <w:rPr>
        <w:rFonts w:ascii="Wingdings" w:hAnsi="Wingdings" w:hint="default"/>
      </w:rPr>
    </w:lvl>
  </w:abstractNum>
  <w:abstractNum w:abstractNumId="5" w15:restartNumberingAfterBreak="0">
    <w:nsid w:val="0CED8EFE"/>
    <w:multiLevelType w:val="hybridMultilevel"/>
    <w:tmpl w:val="494E8836"/>
    <w:lvl w:ilvl="0" w:tplc="DF789AF2">
      <w:start w:val="1"/>
      <w:numFmt w:val="bullet"/>
      <w:lvlText w:val=""/>
      <w:lvlJc w:val="left"/>
      <w:pPr>
        <w:ind w:left="720" w:hanging="360"/>
      </w:pPr>
      <w:rPr>
        <w:rFonts w:ascii="Symbol" w:hAnsi="Symbol" w:hint="default"/>
      </w:rPr>
    </w:lvl>
    <w:lvl w:ilvl="1" w:tplc="A3265BFC">
      <w:start w:val="1"/>
      <w:numFmt w:val="bullet"/>
      <w:lvlText w:val="o"/>
      <w:lvlJc w:val="left"/>
      <w:pPr>
        <w:ind w:left="1440" w:hanging="360"/>
      </w:pPr>
      <w:rPr>
        <w:rFonts w:ascii="Courier New" w:hAnsi="Courier New" w:hint="default"/>
      </w:rPr>
    </w:lvl>
    <w:lvl w:ilvl="2" w:tplc="39BC681E">
      <w:start w:val="1"/>
      <w:numFmt w:val="bullet"/>
      <w:lvlText w:val=""/>
      <w:lvlJc w:val="left"/>
      <w:pPr>
        <w:ind w:left="2160" w:hanging="360"/>
      </w:pPr>
      <w:rPr>
        <w:rFonts w:ascii="Wingdings" w:hAnsi="Wingdings" w:hint="default"/>
      </w:rPr>
    </w:lvl>
    <w:lvl w:ilvl="3" w:tplc="BF9EA6D2">
      <w:start w:val="1"/>
      <w:numFmt w:val="bullet"/>
      <w:lvlText w:val=""/>
      <w:lvlJc w:val="left"/>
      <w:pPr>
        <w:ind w:left="2880" w:hanging="360"/>
      </w:pPr>
      <w:rPr>
        <w:rFonts w:ascii="Symbol" w:hAnsi="Symbol" w:hint="default"/>
      </w:rPr>
    </w:lvl>
    <w:lvl w:ilvl="4" w:tplc="53624510">
      <w:start w:val="1"/>
      <w:numFmt w:val="bullet"/>
      <w:lvlText w:val="o"/>
      <w:lvlJc w:val="left"/>
      <w:pPr>
        <w:ind w:left="3600" w:hanging="360"/>
      </w:pPr>
      <w:rPr>
        <w:rFonts w:ascii="Courier New" w:hAnsi="Courier New" w:hint="default"/>
      </w:rPr>
    </w:lvl>
    <w:lvl w:ilvl="5" w:tplc="CA9C57DE">
      <w:start w:val="1"/>
      <w:numFmt w:val="bullet"/>
      <w:lvlText w:val=""/>
      <w:lvlJc w:val="left"/>
      <w:pPr>
        <w:ind w:left="4320" w:hanging="360"/>
      </w:pPr>
      <w:rPr>
        <w:rFonts w:ascii="Wingdings" w:hAnsi="Wingdings" w:hint="default"/>
      </w:rPr>
    </w:lvl>
    <w:lvl w:ilvl="6" w:tplc="4CA260EC">
      <w:start w:val="1"/>
      <w:numFmt w:val="bullet"/>
      <w:lvlText w:val=""/>
      <w:lvlJc w:val="left"/>
      <w:pPr>
        <w:ind w:left="5040" w:hanging="360"/>
      </w:pPr>
      <w:rPr>
        <w:rFonts w:ascii="Symbol" w:hAnsi="Symbol" w:hint="default"/>
      </w:rPr>
    </w:lvl>
    <w:lvl w:ilvl="7" w:tplc="DD720712">
      <w:start w:val="1"/>
      <w:numFmt w:val="bullet"/>
      <w:lvlText w:val="o"/>
      <w:lvlJc w:val="left"/>
      <w:pPr>
        <w:ind w:left="5760" w:hanging="360"/>
      </w:pPr>
      <w:rPr>
        <w:rFonts w:ascii="Courier New" w:hAnsi="Courier New" w:hint="default"/>
      </w:rPr>
    </w:lvl>
    <w:lvl w:ilvl="8" w:tplc="89364AF8">
      <w:start w:val="1"/>
      <w:numFmt w:val="bullet"/>
      <w:lvlText w:val=""/>
      <w:lvlJc w:val="left"/>
      <w:pPr>
        <w:ind w:left="6480" w:hanging="360"/>
      </w:pPr>
      <w:rPr>
        <w:rFonts w:ascii="Wingdings" w:hAnsi="Wingdings" w:hint="default"/>
      </w:rPr>
    </w:lvl>
  </w:abstractNum>
  <w:abstractNum w:abstractNumId="6" w15:restartNumberingAfterBreak="0">
    <w:nsid w:val="100521E6"/>
    <w:multiLevelType w:val="hybridMultilevel"/>
    <w:tmpl w:val="34F06524"/>
    <w:lvl w:ilvl="0" w:tplc="99A0394A">
      <w:start w:val="1"/>
      <w:numFmt w:val="bullet"/>
      <w:lvlText w:val=""/>
      <w:lvlJc w:val="left"/>
      <w:pPr>
        <w:ind w:left="720" w:hanging="360"/>
      </w:pPr>
      <w:rPr>
        <w:rFonts w:ascii="Symbol" w:hAnsi="Symbol" w:hint="default"/>
      </w:rPr>
    </w:lvl>
    <w:lvl w:ilvl="1" w:tplc="2EE44DE0">
      <w:start w:val="1"/>
      <w:numFmt w:val="bullet"/>
      <w:lvlText w:val="o"/>
      <w:lvlJc w:val="left"/>
      <w:pPr>
        <w:ind w:left="1440" w:hanging="360"/>
      </w:pPr>
      <w:rPr>
        <w:rFonts w:ascii="Courier New" w:hAnsi="Courier New" w:hint="default"/>
      </w:rPr>
    </w:lvl>
    <w:lvl w:ilvl="2" w:tplc="E55A38D0">
      <w:start w:val="1"/>
      <w:numFmt w:val="bullet"/>
      <w:lvlText w:val=""/>
      <w:lvlJc w:val="left"/>
      <w:pPr>
        <w:ind w:left="2160" w:hanging="360"/>
      </w:pPr>
      <w:rPr>
        <w:rFonts w:ascii="Wingdings" w:hAnsi="Wingdings" w:hint="default"/>
      </w:rPr>
    </w:lvl>
    <w:lvl w:ilvl="3" w:tplc="FCF877AA">
      <w:start w:val="1"/>
      <w:numFmt w:val="bullet"/>
      <w:lvlText w:val=""/>
      <w:lvlJc w:val="left"/>
      <w:pPr>
        <w:ind w:left="2880" w:hanging="360"/>
      </w:pPr>
      <w:rPr>
        <w:rFonts w:ascii="Symbol" w:hAnsi="Symbol" w:hint="default"/>
      </w:rPr>
    </w:lvl>
    <w:lvl w:ilvl="4" w:tplc="1332B714">
      <w:start w:val="1"/>
      <w:numFmt w:val="bullet"/>
      <w:lvlText w:val="o"/>
      <w:lvlJc w:val="left"/>
      <w:pPr>
        <w:ind w:left="3600" w:hanging="360"/>
      </w:pPr>
      <w:rPr>
        <w:rFonts w:ascii="Courier New" w:hAnsi="Courier New" w:hint="default"/>
      </w:rPr>
    </w:lvl>
    <w:lvl w:ilvl="5" w:tplc="30BC104C">
      <w:start w:val="1"/>
      <w:numFmt w:val="bullet"/>
      <w:lvlText w:val=""/>
      <w:lvlJc w:val="left"/>
      <w:pPr>
        <w:ind w:left="4320" w:hanging="360"/>
      </w:pPr>
      <w:rPr>
        <w:rFonts w:ascii="Wingdings" w:hAnsi="Wingdings" w:hint="default"/>
      </w:rPr>
    </w:lvl>
    <w:lvl w:ilvl="6" w:tplc="748ED614">
      <w:start w:val="1"/>
      <w:numFmt w:val="bullet"/>
      <w:lvlText w:val=""/>
      <w:lvlJc w:val="left"/>
      <w:pPr>
        <w:ind w:left="5040" w:hanging="360"/>
      </w:pPr>
      <w:rPr>
        <w:rFonts w:ascii="Symbol" w:hAnsi="Symbol" w:hint="default"/>
      </w:rPr>
    </w:lvl>
    <w:lvl w:ilvl="7" w:tplc="5378A958">
      <w:start w:val="1"/>
      <w:numFmt w:val="bullet"/>
      <w:lvlText w:val="o"/>
      <w:lvlJc w:val="left"/>
      <w:pPr>
        <w:ind w:left="5760" w:hanging="360"/>
      </w:pPr>
      <w:rPr>
        <w:rFonts w:ascii="Courier New" w:hAnsi="Courier New" w:hint="default"/>
      </w:rPr>
    </w:lvl>
    <w:lvl w:ilvl="8" w:tplc="44504220">
      <w:start w:val="1"/>
      <w:numFmt w:val="bullet"/>
      <w:lvlText w:val=""/>
      <w:lvlJc w:val="left"/>
      <w:pPr>
        <w:ind w:left="6480" w:hanging="360"/>
      </w:pPr>
      <w:rPr>
        <w:rFonts w:ascii="Wingdings" w:hAnsi="Wingdings" w:hint="default"/>
      </w:rPr>
    </w:lvl>
  </w:abstractNum>
  <w:abstractNum w:abstractNumId="7" w15:restartNumberingAfterBreak="0">
    <w:nsid w:val="11644DEA"/>
    <w:multiLevelType w:val="hybridMultilevel"/>
    <w:tmpl w:val="A81A7410"/>
    <w:lvl w:ilvl="0" w:tplc="01348724">
      <w:start w:val="1"/>
      <w:numFmt w:val="bullet"/>
      <w:lvlText w:val=""/>
      <w:lvlJc w:val="left"/>
      <w:pPr>
        <w:ind w:left="720" w:hanging="360"/>
      </w:pPr>
      <w:rPr>
        <w:rFonts w:ascii="Symbol" w:hAnsi="Symbol" w:hint="default"/>
      </w:rPr>
    </w:lvl>
    <w:lvl w:ilvl="1" w:tplc="D9866418">
      <w:start w:val="1"/>
      <w:numFmt w:val="bullet"/>
      <w:lvlText w:val="o"/>
      <w:lvlJc w:val="left"/>
      <w:pPr>
        <w:ind w:left="1440" w:hanging="360"/>
      </w:pPr>
      <w:rPr>
        <w:rFonts w:ascii="Courier New" w:hAnsi="Courier New" w:hint="default"/>
      </w:rPr>
    </w:lvl>
    <w:lvl w:ilvl="2" w:tplc="5CB63B42">
      <w:start w:val="1"/>
      <w:numFmt w:val="bullet"/>
      <w:lvlText w:val=""/>
      <w:lvlJc w:val="left"/>
      <w:pPr>
        <w:ind w:left="2160" w:hanging="360"/>
      </w:pPr>
      <w:rPr>
        <w:rFonts w:ascii="Wingdings" w:hAnsi="Wingdings" w:hint="default"/>
      </w:rPr>
    </w:lvl>
    <w:lvl w:ilvl="3" w:tplc="DEF4EF4A">
      <w:start w:val="1"/>
      <w:numFmt w:val="bullet"/>
      <w:lvlText w:val=""/>
      <w:lvlJc w:val="left"/>
      <w:pPr>
        <w:ind w:left="2880" w:hanging="360"/>
      </w:pPr>
      <w:rPr>
        <w:rFonts w:ascii="Symbol" w:hAnsi="Symbol" w:hint="default"/>
      </w:rPr>
    </w:lvl>
    <w:lvl w:ilvl="4" w:tplc="829AEE7E">
      <w:start w:val="1"/>
      <w:numFmt w:val="bullet"/>
      <w:lvlText w:val="o"/>
      <w:lvlJc w:val="left"/>
      <w:pPr>
        <w:ind w:left="3600" w:hanging="360"/>
      </w:pPr>
      <w:rPr>
        <w:rFonts w:ascii="Courier New" w:hAnsi="Courier New" w:hint="default"/>
      </w:rPr>
    </w:lvl>
    <w:lvl w:ilvl="5" w:tplc="FF62F20A">
      <w:start w:val="1"/>
      <w:numFmt w:val="bullet"/>
      <w:lvlText w:val=""/>
      <w:lvlJc w:val="left"/>
      <w:pPr>
        <w:ind w:left="4320" w:hanging="360"/>
      </w:pPr>
      <w:rPr>
        <w:rFonts w:ascii="Wingdings" w:hAnsi="Wingdings" w:hint="default"/>
      </w:rPr>
    </w:lvl>
    <w:lvl w:ilvl="6" w:tplc="302E9F70">
      <w:start w:val="1"/>
      <w:numFmt w:val="bullet"/>
      <w:lvlText w:val=""/>
      <w:lvlJc w:val="left"/>
      <w:pPr>
        <w:ind w:left="5040" w:hanging="360"/>
      </w:pPr>
      <w:rPr>
        <w:rFonts w:ascii="Symbol" w:hAnsi="Symbol" w:hint="default"/>
      </w:rPr>
    </w:lvl>
    <w:lvl w:ilvl="7" w:tplc="1F845DF4">
      <w:start w:val="1"/>
      <w:numFmt w:val="bullet"/>
      <w:lvlText w:val="o"/>
      <w:lvlJc w:val="left"/>
      <w:pPr>
        <w:ind w:left="5760" w:hanging="360"/>
      </w:pPr>
      <w:rPr>
        <w:rFonts w:ascii="Courier New" w:hAnsi="Courier New" w:hint="default"/>
      </w:rPr>
    </w:lvl>
    <w:lvl w:ilvl="8" w:tplc="F5263F34">
      <w:start w:val="1"/>
      <w:numFmt w:val="bullet"/>
      <w:lvlText w:val=""/>
      <w:lvlJc w:val="left"/>
      <w:pPr>
        <w:ind w:left="6480" w:hanging="360"/>
      </w:pPr>
      <w:rPr>
        <w:rFonts w:ascii="Wingdings" w:hAnsi="Wingdings" w:hint="default"/>
      </w:rPr>
    </w:lvl>
  </w:abstractNum>
  <w:abstractNum w:abstractNumId="8" w15:restartNumberingAfterBreak="0">
    <w:nsid w:val="11D859EE"/>
    <w:multiLevelType w:val="hybridMultilevel"/>
    <w:tmpl w:val="C1A45B34"/>
    <w:lvl w:ilvl="0" w:tplc="4C002218">
      <w:start w:val="1"/>
      <w:numFmt w:val="bullet"/>
      <w:lvlText w:val=""/>
      <w:lvlJc w:val="left"/>
      <w:pPr>
        <w:ind w:left="720" w:hanging="360"/>
      </w:pPr>
      <w:rPr>
        <w:rFonts w:ascii="Symbol" w:hAnsi="Symbol" w:hint="default"/>
      </w:rPr>
    </w:lvl>
    <w:lvl w:ilvl="1" w:tplc="7AC684D2">
      <w:start w:val="1"/>
      <w:numFmt w:val="bullet"/>
      <w:lvlText w:val="o"/>
      <w:lvlJc w:val="left"/>
      <w:pPr>
        <w:ind w:left="1440" w:hanging="360"/>
      </w:pPr>
      <w:rPr>
        <w:rFonts w:ascii="Courier New" w:hAnsi="Courier New" w:hint="default"/>
      </w:rPr>
    </w:lvl>
    <w:lvl w:ilvl="2" w:tplc="13E497DE">
      <w:start w:val="1"/>
      <w:numFmt w:val="bullet"/>
      <w:lvlText w:val=""/>
      <w:lvlJc w:val="left"/>
      <w:pPr>
        <w:ind w:left="2160" w:hanging="360"/>
      </w:pPr>
      <w:rPr>
        <w:rFonts w:ascii="Wingdings" w:hAnsi="Wingdings" w:hint="default"/>
      </w:rPr>
    </w:lvl>
    <w:lvl w:ilvl="3" w:tplc="89E23D64">
      <w:start w:val="1"/>
      <w:numFmt w:val="bullet"/>
      <w:lvlText w:val=""/>
      <w:lvlJc w:val="left"/>
      <w:pPr>
        <w:ind w:left="2880" w:hanging="360"/>
      </w:pPr>
      <w:rPr>
        <w:rFonts w:ascii="Symbol" w:hAnsi="Symbol" w:hint="default"/>
      </w:rPr>
    </w:lvl>
    <w:lvl w:ilvl="4" w:tplc="8E9EDD06">
      <w:start w:val="1"/>
      <w:numFmt w:val="bullet"/>
      <w:lvlText w:val="o"/>
      <w:lvlJc w:val="left"/>
      <w:pPr>
        <w:ind w:left="3600" w:hanging="360"/>
      </w:pPr>
      <w:rPr>
        <w:rFonts w:ascii="Courier New" w:hAnsi="Courier New" w:hint="default"/>
      </w:rPr>
    </w:lvl>
    <w:lvl w:ilvl="5" w:tplc="C74A1AB0">
      <w:start w:val="1"/>
      <w:numFmt w:val="bullet"/>
      <w:lvlText w:val=""/>
      <w:lvlJc w:val="left"/>
      <w:pPr>
        <w:ind w:left="4320" w:hanging="360"/>
      </w:pPr>
      <w:rPr>
        <w:rFonts w:ascii="Wingdings" w:hAnsi="Wingdings" w:hint="default"/>
      </w:rPr>
    </w:lvl>
    <w:lvl w:ilvl="6" w:tplc="29840634">
      <w:start w:val="1"/>
      <w:numFmt w:val="bullet"/>
      <w:lvlText w:val=""/>
      <w:lvlJc w:val="left"/>
      <w:pPr>
        <w:ind w:left="5040" w:hanging="360"/>
      </w:pPr>
      <w:rPr>
        <w:rFonts w:ascii="Symbol" w:hAnsi="Symbol" w:hint="default"/>
      </w:rPr>
    </w:lvl>
    <w:lvl w:ilvl="7" w:tplc="336293EA">
      <w:start w:val="1"/>
      <w:numFmt w:val="bullet"/>
      <w:lvlText w:val="o"/>
      <w:lvlJc w:val="left"/>
      <w:pPr>
        <w:ind w:left="5760" w:hanging="360"/>
      </w:pPr>
      <w:rPr>
        <w:rFonts w:ascii="Courier New" w:hAnsi="Courier New" w:hint="default"/>
      </w:rPr>
    </w:lvl>
    <w:lvl w:ilvl="8" w:tplc="DBDC024C">
      <w:start w:val="1"/>
      <w:numFmt w:val="bullet"/>
      <w:lvlText w:val=""/>
      <w:lvlJc w:val="left"/>
      <w:pPr>
        <w:ind w:left="6480" w:hanging="360"/>
      </w:pPr>
      <w:rPr>
        <w:rFonts w:ascii="Wingdings" w:hAnsi="Wingdings" w:hint="default"/>
      </w:rPr>
    </w:lvl>
  </w:abstractNum>
  <w:abstractNum w:abstractNumId="9" w15:restartNumberingAfterBreak="0">
    <w:nsid w:val="17CCFF30"/>
    <w:multiLevelType w:val="hybridMultilevel"/>
    <w:tmpl w:val="0F9E8696"/>
    <w:lvl w:ilvl="0" w:tplc="9C54E99A">
      <w:start w:val="1"/>
      <w:numFmt w:val="bullet"/>
      <w:lvlText w:val=""/>
      <w:lvlJc w:val="left"/>
      <w:pPr>
        <w:ind w:left="720" w:hanging="360"/>
      </w:pPr>
      <w:rPr>
        <w:rFonts w:ascii="Symbol" w:hAnsi="Symbol" w:hint="default"/>
      </w:rPr>
    </w:lvl>
    <w:lvl w:ilvl="1" w:tplc="6C2E9FF8">
      <w:start w:val="1"/>
      <w:numFmt w:val="bullet"/>
      <w:lvlText w:val="o"/>
      <w:lvlJc w:val="left"/>
      <w:pPr>
        <w:ind w:left="1440" w:hanging="360"/>
      </w:pPr>
      <w:rPr>
        <w:rFonts w:ascii="Courier New" w:hAnsi="Courier New" w:hint="default"/>
      </w:rPr>
    </w:lvl>
    <w:lvl w:ilvl="2" w:tplc="628AC878">
      <w:start w:val="1"/>
      <w:numFmt w:val="bullet"/>
      <w:lvlText w:val=""/>
      <w:lvlJc w:val="left"/>
      <w:pPr>
        <w:ind w:left="2160" w:hanging="360"/>
      </w:pPr>
      <w:rPr>
        <w:rFonts w:ascii="Wingdings" w:hAnsi="Wingdings" w:hint="default"/>
      </w:rPr>
    </w:lvl>
    <w:lvl w:ilvl="3" w:tplc="359635BC">
      <w:start w:val="1"/>
      <w:numFmt w:val="bullet"/>
      <w:lvlText w:val=""/>
      <w:lvlJc w:val="left"/>
      <w:pPr>
        <w:ind w:left="2880" w:hanging="360"/>
      </w:pPr>
      <w:rPr>
        <w:rFonts w:ascii="Symbol" w:hAnsi="Symbol" w:hint="default"/>
      </w:rPr>
    </w:lvl>
    <w:lvl w:ilvl="4" w:tplc="BA421CA6">
      <w:start w:val="1"/>
      <w:numFmt w:val="bullet"/>
      <w:lvlText w:val="o"/>
      <w:lvlJc w:val="left"/>
      <w:pPr>
        <w:ind w:left="3600" w:hanging="360"/>
      </w:pPr>
      <w:rPr>
        <w:rFonts w:ascii="Courier New" w:hAnsi="Courier New" w:hint="default"/>
      </w:rPr>
    </w:lvl>
    <w:lvl w:ilvl="5" w:tplc="8AC2D392">
      <w:start w:val="1"/>
      <w:numFmt w:val="bullet"/>
      <w:lvlText w:val=""/>
      <w:lvlJc w:val="left"/>
      <w:pPr>
        <w:ind w:left="4320" w:hanging="360"/>
      </w:pPr>
      <w:rPr>
        <w:rFonts w:ascii="Wingdings" w:hAnsi="Wingdings" w:hint="default"/>
      </w:rPr>
    </w:lvl>
    <w:lvl w:ilvl="6" w:tplc="3F46E79A">
      <w:start w:val="1"/>
      <w:numFmt w:val="bullet"/>
      <w:lvlText w:val=""/>
      <w:lvlJc w:val="left"/>
      <w:pPr>
        <w:ind w:left="5040" w:hanging="360"/>
      </w:pPr>
      <w:rPr>
        <w:rFonts w:ascii="Symbol" w:hAnsi="Symbol" w:hint="default"/>
      </w:rPr>
    </w:lvl>
    <w:lvl w:ilvl="7" w:tplc="A3521528">
      <w:start w:val="1"/>
      <w:numFmt w:val="bullet"/>
      <w:lvlText w:val="o"/>
      <w:lvlJc w:val="left"/>
      <w:pPr>
        <w:ind w:left="5760" w:hanging="360"/>
      </w:pPr>
      <w:rPr>
        <w:rFonts w:ascii="Courier New" w:hAnsi="Courier New" w:hint="default"/>
      </w:rPr>
    </w:lvl>
    <w:lvl w:ilvl="8" w:tplc="F7A4F6D8">
      <w:start w:val="1"/>
      <w:numFmt w:val="bullet"/>
      <w:lvlText w:val=""/>
      <w:lvlJc w:val="left"/>
      <w:pPr>
        <w:ind w:left="6480" w:hanging="360"/>
      </w:pPr>
      <w:rPr>
        <w:rFonts w:ascii="Wingdings" w:hAnsi="Wingdings" w:hint="default"/>
      </w:rPr>
    </w:lvl>
  </w:abstractNum>
  <w:abstractNum w:abstractNumId="10" w15:restartNumberingAfterBreak="0">
    <w:nsid w:val="1973AB41"/>
    <w:multiLevelType w:val="hybridMultilevel"/>
    <w:tmpl w:val="50BA58B6"/>
    <w:lvl w:ilvl="0" w:tplc="B8E0ED68">
      <w:start w:val="1"/>
      <w:numFmt w:val="bullet"/>
      <w:lvlText w:val=""/>
      <w:lvlJc w:val="left"/>
      <w:pPr>
        <w:ind w:left="720" w:hanging="360"/>
      </w:pPr>
      <w:rPr>
        <w:rFonts w:ascii="Symbol" w:hAnsi="Symbol" w:hint="default"/>
      </w:rPr>
    </w:lvl>
    <w:lvl w:ilvl="1" w:tplc="6FF47DF0">
      <w:start w:val="1"/>
      <w:numFmt w:val="bullet"/>
      <w:lvlText w:val="o"/>
      <w:lvlJc w:val="left"/>
      <w:pPr>
        <w:ind w:left="1440" w:hanging="360"/>
      </w:pPr>
      <w:rPr>
        <w:rFonts w:ascii="Courier New" w:hAnsi="Courier New" w:hint="default"/>
      </w:rPr>
    </w:lvl>
    <w:lvl w:ilvl="2" w:tplc="C96CA970">
      <w:start w:val="1"/>
      <w:numFmt w:val="bullet"/>
      <w:lvlText w:val=""/>
      <w:lvlJc w:val="left"/>
      <w:pPr>
        <w:ind w:left="2160" w:hanging="360"/>
      </w:pPr>
      <w:rPr>
        <w:rFonts w:ascii="Wingdings" w:hAnsi="Wingdings" w:hint="default"/>
      </w:rPr>
    </w:lvl>
    <w:lvl w:ilvl="3" w:tplc="D1681B4A">
      <w:start w:val="1"/>
      <w:numFmt w:val="bullet"/>
      <w:lvlText w:val=""/>
      <w:lvlJc w:val="left"/>
      <w:pPr>
        <w:ind w:left="2880" w:hanging="360"/>
      </w:pPr>
      <w:rPr>
        <w:rFonts w:ascii="Symbol" w:hAnsi="Symbol" w:hint="default"/>
      </w:rPr>
    </w:lvl>
    <w:lvl w:ilvl="4" w:tplc="48C64122">
      <w:start w:val="1"/>
      <w:numFmt w:val="bullet"/>
      <w:lvlText w:val="o"/>
      <w:lvlJc w:val="left"/>
      <w:pPr>
        <w:ind w:left="3600" w:hanging="360"/>
      </w:pPr>
      <w:rPr>
        <w:rFonts w:ascii="Courier New" w:hAnsi="Courier New" w:hint="default"/>
      </w:rPr>
    </w:lvl>
    <w:lvl w:ilvl="5" w:tplc="1ACC6874">
      <w:start w:val="1"/>
      <w:numFmt w:val="bullet"/>
      <w:lvlText w:val=""/>
      <w:lvlJc w:val="left"/>
      <w:pPr>
        <w:ind w:left="4320" w:hanging="360"/>
      </w:pPr>
      <w:rPr>
        <w:rFonts w:ascii="Wingdings" w:hAnsi="Wingdings" w:hint="default"/>
      </w:rPr>
    </w:lvl>
    <w:lvl w:ilvl="6" w:tplc="B9AEFF8A">
      <w:start w:val="1"/>
      <w:numFmt w:val="bullet"/>
      <w:lvlText w:val=""/>
      <w:lvlJc w:val="left"/>
      <w:pPr>
        <w:ind w:left="5040" w:hanging="360"/>
      </w:pPr>
      <w:rPr>
        <w:rFonts w:ascii="Symbol" w:hAnsi="Symbol" w:hint="default"/>
      </w:rPr>
    </w:lvl>
    <w:lvl w:ilvl="7" w:tplc="F196B31A">
      <w:start w:val="1"/>
      <w:numFmt w:val="bullet"/>
      <w:lvlText w:val="o"/>
      <w:lvlJc w:val="left"/>
      <w:pPr>
        <w:ind w:left="5760" w:hanging="360"/>
      </w:pPr>
      <w:rPr>
        <w:rFonts w:ascii="Courier New" w:hAnsi="Courier New" w:hint="default"/>
      </w:rPr>
    </w:lvl>
    <w:lvl w:ilvl="8" w:tplc="9EE0A9CE">
      <w:start w:val="1"/>
      <w:numFmt w:val="bullet"/>
      <w:lvlText w:val=""/>
      <w:lvlJc w:val="left"/>
      <w:pPr>
        <w:ind w:left="6480" w:hanging="360"/>
      </w:pPr>
      <w:rPr>
        <w:rFonts w:ascii="Wingdings" w:hAnsi="Wingdings" w:hint="default"/>
      </w:rPr>
    </w:lvl>
  </w:abstractNum>
  <w:abstractNum w:abstractNumId="11" w15:restartNumberingAfterBreak="0">
    <w:nsid w:val="1F82EA46"/>
    <w:multiLevelType w:val="hybridMultilevel"/>
    <w:tmpl w:val="368C0E48"/>
    <w:lvl w:ilvl="0" w:tplc="1E4A622C">
      <w:start w:val="1"/>
      <w:numFmt w:val="bullet"/>
      <w:lvlText w:val=""/>
      <w:lvlJc w:val="left"/>
      <w:pPr>
        <w:ind w:left="720" w:hanging="360"/>
      </w:pPr>
      <w:rPr>
        <w:rFonts w:ascii="Symbol" w:hAnsi="Symbol" w:hint="default"/>
      </w:rPr>
    </w:lvl>
    <w:lvl w:ilvl="1" w:tplc="9FF06108">
      <w:start w:val="1"/>
      <w:numFmt w:val="bullet"/>
      <w:lvlText w:val="o"/>
      <w:lvlJc w:val="left"/>
      <w:pPr>
        <w:ind w:left="1440" w:hanging="360"/>
      </w:pPr>
      <w:rPr>
        <w:rFonts w:ascii="Courier New" w:hAnsi="Courier New" w:hint="default"/>
      </w:rPr>
    </w:lvl>
    <w:lvl w:ilvl="2" w:tplc="0100C152">
      <w:start w:val="1"/>
      <w:numFmt w:val="bullet"/>
      <w:lvlText w:val=""/>
      <w:lvlJc w:val="left"/>
      <w:pPr>
        <w:ind w:left="2160" w:hanging="360"/>
      </w:pPr>
      <w:rPr>
        <w:rFonts w:ascii="Wingdings" w:hAnsi="Wingdings" w:hint="default"/>
      </w:rPr>
    </w:lvl>
    <w:lvl w:ilvl="3" w:tplc="E25C9AEC">
      <w:start w:val="1"/>
      <w:numFmt w:val="bullet"/>
      <w:lvlText w:val=""/>
      <w:lvlJc w:val="left"/>
      <w:pPr>
        <w:ind w:left="2880" w:hanging="360"/>
      </w:pPr>
      <w:rPr>
        <w:rFonts w:ascii="Symbol" w:hAnsi="Symbol" w:hint="default"/>
      </w:rPr>
    </w:lvl>
    <w:lvl w:ilvl="4" w:tplc="CE6E007A">
      <w:start w:val="1"/>
      <w:numFmt w:val="bullet"/>
      <w:lvlText w:val="o"/>
      <w:lvlJc w:val="left"/>
      <w:pPr>
        <w:ind w:left="3600" w:hanging="360"/>
      </w:pPr>
      <w:rPr>
        <w:rFonts w:ascii="Courier New" w:hAnsi="Courier New" w:hint="default"/>
      </w:rPr>
    </w:lvl>
    <w:lvl w:ilvl="5" w:tplc="B48CE202">
      <w:start w:val="1"/>
      <w:numFmt w:val="bullet"/>
      <w:lvlText w:val=""/>
      <w:lvlJc w:val="left"/>
      <w:pPr>
        <w:ind w:left="4320" w:hanging="360"/>
      </w:pPr>
      <w:rPr>
        <w:rFonts w:ascii="Wingdings" w:hAnsi="Wingdings" w:hint="default"/>
      </w:rPr>
    </w:lvl>
    <w:lvl w:ilvl="6" w:tplc="1E060BA2">
      <w:start w:val="1"/>
      <w:numFmt w:val="bullet"/>
      <w:lvlText w:val=""/>
      <w:lvlJc w:val="left"/>
      <w:pPr>
        <w:ind w:left="5040" w:hanging="360"/>
      </w:pPr>
      <w:rPr>
        <w:rFonts w:ascii="Symbol" w:hAnsi="Symbol" w:hint="default"/>
      </w:rPr>
    </w:lvl>
    <w:lvl w:ilvl="7" w:tplc="BE8EC4C0">
      <w:start w:val="1"/>
      <w:numFmt w:val="bullet"/>
      <w:lvlText w:val="o"/>
      <w:lvlJc w:val="left"/>
      <w:pPr>
        <w:ind w:left="5760" w:hanging="360"/>
      </w:pPr>
      <w:rPr>
        <w:rFonts w:ascii="Courier New" w:hAnsi="Courier New" w:hint="default"/>
      </w:rPr>
    </w:lvl>
    <w:lvl w:ilvl="8" w:tplc="9C54F218">
      <w:start w:val="1"/>
      <w:numFmt w:val="bullet"/>
      <w:lvlText w:val=""/>
      <w:lvlJc w:val="left"/>
      <w:pPr>
        <w:ind w:left="6480" w:hanging="360"/>
      </w:pPr>
      <w:rPr>
        <w:rFonts w:ascii="Wingdings" w:hAnsi="Wingdings" w:hint="default"/>
      </w:rPr>
    </w:lvl>
  </w:abstractNum>
  <w:abstractNum w:abstractNumId="12" w15:restartNumberingAfterBreak="0">
    <w:nsid w:val="24F36694"/>
    <w:multiLevelType w:val="hybridMultilevel"/>
    <w:tmpl w:val="2DE8A850"/>
    <w:lvl w:ilvl="0" w:tplc="A6209F3E">
      <w:start w:val="1"/>
      <w:numFmt w:val="bullet"/>
      <w:lvlText w:val=""/>
      <w:lvlJc w:val="left"/>
      <w:pPr>
        <w:ind w:left="720" w:hanging="360"/>
      </w:pPr>
      <w:rPr>
        <w:rFonts w:ascii="Symbol" w:hAnsi="Symbol" w:hint="default"/>
      </w:rPr>
    </w:lvl>
    <w:lvl w:ilvl="1" w:tplc="B490693E">
      <w:start w:val="1"/>
      <w:numFmt w:val="bullet"/>
      <w:lvlText w:val="o"/>
      <w:lvlJc w:val="left"/>
      <w:pPr>
        <w:ind w:left="1440" w:hanging="360"/>
      </w:pPr>
      <w:rPr>
        <w:rFonts w:ascii="Courier New" w:hAnsi="Courier New" w:hint="default"/>
      </w:rPr>
    </w:lvl>
    <w:lvl w:ilvl="2" w:tplc="0972A382">
      <w:start w:val="1"/>
      <w:numFmt w:val="bullet"/>
      <w:lvlText w:val=""/>
      <w:lvlJc w:val="left"/>
      <w:pPr>
        <w:ind w:left="2160" w:hanging="360"/>
      </w:pPr>
      <w:rPr>
        <w:rFonts w:ascii="Wingdings" w:hAnsi="Wingdings" w:hint="default"/>
      </w:rPr>
    </w:lvl>
    <w:lvl w:ilvl="3" w:tplc="2CDEA10C">
      <w:start w:val="1"/>
      <w:numFmt w:val="bullet"/>
      <w:lvlText w:val=""/>
      <w:lvlJc w:val="left"/>
      <w:pPr>
        <w:ind w:left="2880" w:hanging="360"/>
      </w:pPr>
      <w:rPr>
        <w:rFonts w:ascii="Symbol" w:hAnsi="Symbol" w:hint="default"/>
      </w:rPr>
    </w:lvl>
    <w:lvl w:ilvl="4" w:tplc="CC823DCA">
      <w:start w:val="1"/>
      <w:numFmt w:val="bullet"/>
      <w:lvlText w:val="o"/>
      <w:lvlJc w:val="left"/>
      <w:pPr>
        <w:ind w:left="3600" w:hanging="360"/>
      </w:pPr>
      <w:rPr>
        <w:rFonts w:ascii="Courier New" w:hAnsi="Courier New" w:hint="default"/>
      </w:rPr>
    </w:lvl>
    <w:lvl w:ilvl="5" w:tplc="CFFCB73E">
      <w:start w:val="1"/>
      <w:numFmt w:val="bullet"/>
      <w:lvlText w:val=""/>
      <w:lvlJc w:val="left"/>
      <w:pPr>
        <w:ind w:left="4320" w:hanging="360"/>
      </w:pPr>
      <w:rPr>
        <w:rFonts w:ascii="Wingdings" w:hAnsi="Wingdings" w:hint="default"/>
      </w:rPr>
    </w:lvl>
    <w:lvl w:ilvl="6" w:tplc="541659C8">
      <w:start w:val="1"/>
      <w:numFmt w:val="bullet"/>
      <w:lvlText w:val=""/>
      <w:lvlJc w:val="left"/>
      <w:pPr>
        <w:ind w:left="5040" w:hanging="360"/>
      </w:pPr>
      <w:rPr>
        <w:rFonts w:ascii="Symbol" w:hAnsi="Symbol" w:hint="default"/>
      </w:rPr>
    </w:lvl>
    <w:lvl w:ilvl="7" w:tplc="D32CDBD8">
      <w:start w:val="1"/>
      <w:numFmt w:val="bullet"/>
      <w:lvlText w:val="o"/>
      <w:lvlJc w:val="left"/>
      <w:pPr>
        <w:ind w:left="5760" w:hanging="360"/>
      </w:pPr>
      <w:rPr>
        <w:rFonts w:ascii="Courier New" w:hAnsi="Courier New" w:hint="default"/>
      </w:rPr>
    </w:lvl>
    <w:lvl w:ilvl="8" w:tplc="74CC30CE">
      <w:start w:val="1"/>
      <w:numFmt w:val="bullet"/>
      <w:lvlText w:val=""/>
      <w:lvlJc w:val="left"/>
      <w:pPr>
        <w:ind w:left="6480" w:hanging="360"/>
      </w:pPr>
      <w:rPr>
        <w:rFonts w:ascii="Wingdings" w:hAnsi="Wingdings" w:hint="default"/>
      </w:rPr>
    </w:lvl>
  </w:abstractNum>
  <w:abstractNum w:abstractNumId="13" w15:restartNumberingAfterBreak="0">
    <w:nsid w:val="269752BF"/>
    <w:multiLevelType w:val="hybridMultilevel"/>
    <w:tmpl w:val="E0D84E78"/>
    <w:lvl w:ilvl="0" w:tplc="B0AE9C24">
      <w:start w:val="1"/>
      <w:numFmt w:val="bullet"/>
      <w:lvlText w:val=""/>
      <w:lvlJc w:val="left"/>
      <w:pPr>
        <w:ind w:left="720" w:hanging="360"/>
      </w:pPr>
      <w:rPr>
        <w:rFonts w:ascii="Symbol" w:hAnsi="Symbol" w:hint="default"/>
      </w:rPr>
    </w:lvl>
    <w:lvl w:ilvl="1" w:tplc="AC4C922A">
      <w:start w:val="1"/>
      <w:numFmt w:val="bullet"/>
      <w:lvlText w:val="o"/>
      <w:lvlJc w:val="left"/>
      <w:pPr>
        <w:ind w:left="1440" w:hanging="360"/>
      </w:pPr>
      <w:rPr>
        <w:rFonts w:ascii="Courier New" w:hAnsi="Courier New" w:hint="default"/>
      </w:rPr>
    </w:lvl>
    <w:lvl w:ilvl="2" w:tplc="FEDE499C">
      <w:start w:val="1"/>
      <w:numFmt w:val="bullet"/>
      <w:lvlText w:val=""/>
      <w:lvlJc w:val="left"/>
      <w:pPr>
        <w:ind w:left="2160" w:hanging="360"/>
      </w:pPr>
      <w:rPr>
        <w:rFonts w:ascii="Wingdings" w:hAnsi="Wingdings" w:hint="default"/>
      </w:rPr>
    </w:lvl>
    <w:lvl w:ilvl="3" w:tplc="50F6747A">
      <w:start w:val="1"/>
      <w:numFmt w:val="bullet"/>
      <w:lvlText w:val=""/>
      <w:lvlJc w:val="left"/>
      <w:pPr>
        <w:ind w:left="2880" w:hanging="360"/>
      </w:pPr>
      <w:rPr>
        <w:rFonts w:ascii="Symbol" w:hAnsi="Symbol" w:hint="default"/>
      </w:rPr>
    </w:lvl>
    <w:lvl w:ilvl="4" w:tplc="D938EEC2">
      <w:start w:val="1"/>
      <w:numFmt w:val="bullet"/>
      <w:lvlText w:val="o"/>
      <w:lvlJc w:val="left"/>
      <w:pPr>
        <w:ind w:left="3600" w:hanging="360"/>
      </w:pPr>
      <w:rPr>
        <w:rFonts w:ascii="Courier New" w:hAnsi="Courier New" w:hint="default"/>
      </w:rPr>
    </w:lvl>
    <w:lvl w:ilvl="5" w:tplc="4DDC4928">
      <w:start w:val="1"/>
      <w:numFmt w:val="bullet"/>
      <w:lvlText w:val=""/>
      <w:lvlJc w:val="left"/>
      <w:pPr>
        <w:ind w:left="4320" w:hanging="360"/>
      </w:pPr>
      <w:rPr>
        <w:rFonts w:ascii="Wingdings" w:hAnsi="Wingdings" w:hint="default"/>
      </w:rPr>
    </w:lvl>
    <w:lvl w:ilvl="6" w:tplc="0D583A64">
      <w:start w:val="1"/>
      <w:numFmt w:val="bullet"/>
      <w:lvlText w:val=""/>
      <w:lvlJc w:val="left"/>
      <w:pPr>
        <w:ind w:left="5040" w:hanging="360"/>
      </w:pPr>
      <w:rPr>
        <w:rFonts w:ascii="Symbol" w:hAnsi="Symbol" w:hint="default"/>
      </w:rPr>
    </w:lvl>
    <w:lvl w:ilvl="7" w:tplc="978A1A58">
      <w:start w:val="1"/>
      <w:numFmt w:val="bullet"/>
      <w:lvlText w:val="o"/>
      <w:lvlJc w:val="left"/>
      <w:pPr>
        <w:ind w:left="5760" w:hanging="360"/>
      </w:pPr>
      <w:rPr>
        <w:rFonts w:ascii="Courier New" w:hAnsi="Courier New" w:hint="default"/>
      </w:rPr>
    </w:lvl>
    <w:lvl w:ilvl="8" w:tplc="EF16CB0E">
      <w:start w:val="1"/>
      <w:numFmt w:val="bullet"/>
      <w:lvlText w:val=""/>
      <w:lvlJc w:val="left"/>
      <w:pPr>
        <w:ind w:left="6480" w:hanging="360"/>
      </w:pPr>
      <w:rPr>
        <w:rFonts w:ascii="Wingdings" w:hAnsi="Wingdings" w:hint="default"/>
      </w:rPr>
    </w:lvl>
  </w:abstractNum>
  <w:abstractNum w:abstractNumId="14" w15:restartNumberingAfterBreak="0">
    <w:nsid w:val="2AAB4A5F"/>
    <w:multiLevelType w:val="hybridMultilevel"/>
    <w:tmpl w:val="8FBCA5C2"/>
    <w:lvl w:ilvl="0" w:tplc="949A45D8">
      <w:start w:val="1"/>
      <w:numFmt w:val="bullet"/>
      <w:lvlText w:val=""/>
      <w:lvlJc w:val="left"/>
      <w:pPr>
        <w:ind w:left="720" w:hanging="360"/>
      </w:pPr>
      <w:rPr>
        <w:rFonts w:ascii="Symbol" w:hAnsi="Symbol" w:hint="default"/>
      </w:rPr>
    </w:lvl>
    <w:lvl w:ilvl="1" w:tplc="FEA6ACFC">
      <w:start w:val="1"/>
      <w:numFmt w:val="bullet"/>
      <w:lvlText w:val="o"/>
      <w:lvlJc w:val="left"/>
      <w:pPr>
        <w:ind w:left="1440" w:hanging="360"/>
      </w:pPr>
      <w:rPr>
        <w:rFonts w:ascii="Courier New" w:hAnsi="Courier New" w:hint="default"/>
      </w:rPr>
    </w:lvl>
    <w:lvl w:ilvl="2" w:tplc="CC12519C">
      <w:start w:val="1"/>
      <w:numFmt w:val="bullet"/>
      <w:lvlText w:val=""/>
      <w:lvlJc w:val="left"/>
      <w:pPr>
        <w:ind w:left="2160" w:hanging="360"/>
      </w:pPr>
      <w:rPr>
        <w:rFonts w:ascii="Wingdings" w:hAnsi="Wingdings" w:hint="default"/>
      </w:rPr>
    </w:lvl>
    <w:lvl w:ilvl="3" w:tplc="37447AA2">
      <w:start w:val="1"/>
      <w:numFmt w:val="bullet"/>
      <w:lvlText w:val=""/>
      <w:lvlJc w:val="left"/>
      <w:pPr>
        <w:ind w:left="2880" w:hanging="360"/>
      </w:pPr>
      <w:rPr>
        <w:rFonts w:ascii="Symbol" w:hAnsi="Symbol" w:hint="default"/>
      </w:rPr>
    </w:lvl>
    <w:lvl w:ilvl="4" w:tplc="F6C6BCFC">
      <w:start w:val="1"/>
      <w:numFmt w:val="bullet"/>
      <w:lvlText w:val="o"/>
      <w:lvlJc w:val="left"/>
      <w:pPr>
        <w:ind w:left="3600" w:hanging="360"/>
      </w:pPr>
      <w:rPr>
        <w:rFonts w:ascii="Courier New" w:hAnsi="Courier New" w:hint="default"/>
      </w:rPr>
    </w:lvl>
    <w:lvl w:ilvl="5" w:tplc="C48483BC">
      <w:start w:val="1"/>
      <w:numFmt w:val="bullet"/>
      <w:lvlText w:val=""/>
      <w:lvlJc w:val="left"/>
      <w:pPr>
        <w:ind w:left="4320" w:hanging="360"/>
      </w:pPr>
      <w:rPr>
        <w:rFonts w:ascii="Wingdings" w:hAnsi="Wingdings" w:hint="default"/>
      </w:rPr>
    </w:lvl>
    <w:lvl w:ilvl="6" w:tplc="600047DE">
      <w:start w:val="1"/>
      <w:numFmt w:val="bullet"/>
      <w:lvlText w:val=""/>
      <w:lvlJc w:val="left"/>
      <w:pPr>
        <w:ind w:left="5040" w:hanging="360"/>
      </w:pPr>
      <w:rPr>
        <w:rFonts w:ascii="Symbol" w:hAnsi="Symbol" w:hint="default"/>
      </w:rPr>
    </w:lvl>
    <w:lvl w:ilvl="7" w:tplc="7F0A2DCE">
      <w:start w:val="1"/>
      <w:numFmt w:val="bullet"/>
      <w:lvlText w:val="o"/>
      <w:lvlJc w:val="left"/>
      <w:pPr>
        <w:ind w:left="5760" w:hanging="360"/>
      </w:pPr>
      <w:rPr>
        <w:rFonts w:ascii="Courier New" w:hAnsi="Courier New" w:hint="default"/>
      </w:rPr>
    </w:lvl>
    <w:lvl w:ilvl="8" w:tplc="92684D20">
      <w:start w:val="1"/>
      <w:numFmt w:val="bullet"/>
      <w:lvlText w:val=""/>
      <w:lvlJc w:val="left"/>
      <w:pPr>
        <w:ind w:left="6480" w:hanging="360"/>
      </w:pPr>
      <w:rPr>
        <w:rFonts w:ascii="Wingdings" w:hAnsi="Wingdings" w:hint="default"/>
      </w:rPr>
    </w:lvl>
  </w:abstractNum>
  <w:abstractNum w:abstractNumId="15" w15:restartNumberingAfterBreak="0">
    <w:nsid w:val="2D10703E"/>
    <w:multiLevelType w:val="hybridMultilevel"/>
    <w:tmpl w:val="F57428C0"/>
    <w:lvl w:ilvl="0" w:tplc="CAC21106">
      <w:start w:val="1"/>
      <w:numFmt w:val="bullet"/>
      <w:lvlText w:val=""/>
      <w:lvlJc w:val="left"/>
      <w:pPr>
        <w:ind w:left="720" w:hanging="360"/>
      </w:pPr>
      <w:rPr>
        <w:rFonts w:ascii="Symbol" w:hAnsi="Symbol" w:hint="default"/>
      </w:rPr>
    </w:lvl>
    <w:lvl w:ilvl="1" w:tplc="56B01DA8">
      <w:start w:val="1"/>
      <w:numFmt w:val="bullet"/>
      <w:lvlText w:val="o"/>
      <w:lvlJc w:val="left"/>
      <w:pPr>
        <w:ind w:left="1440" w:hanging="360"/>
      </w:pPr>
      <w:rPr>
        <w:rFonts w:ascii="Courier New" w:hAnsi="Courier New" w:hint="default"/>
      </w:rPr>
    </w:lvl>
    <w:lvl w:ilvl="2" w:tplc="31166C76">
      <w:start w:val="1"/>
      <w:numFmt w:val="bullet"/>
      <w:lvlText w:val=""/>
      <w:lvlJc w:val="left"/>
      <w:pPr>
        <w:ind w:left="2160" w:hanging="360"/>
      </w:pPr>
      <w:rPr>
        <w:rFonts w:ascii="Wingdings" w:hAnsi="Wingdings" w:hint="default"/>
      </w:rPr>
    </w:lvl>
    <w:lvl w:ilvl="3" w:tplc="5FAE30DC">
      <w:start w:val="1"/>
      <w:numFmt w:val="bullet"/>
      <w:lvlText w:val=""/>
      <w:lvlJc w:val="left"/>
      <w:pPr>
        <w:ind w:left="2880" w:hanging="360"/>
      </w:pPr>
      <w:rPr>
        <w:rFonts w:ascii="Symbol" w:hAnsi="Symbol" w:hint="default"/>
      </w:rPr>
    </w:lvl>
    <w:lvl w:ilvl="4" w:tplc="ED8A54A4">
      <w:start w:val="1"/>
      <w:numFmt w:val="bullet"/>
      <w:lvlText w:val="o"/>
      <w:lvlJc w:val="left"/>
      <w:pPr>
        <w:ind w:left="3600" w:hanging="360"/>
      </w:pPr>
      <w:rPr>
        <w:rFonts w:ascii="Courier New" w:hAnsi="Courier New" w:hint="default"/>
      </w:rPr>
    </w:lvl>
    <w:lvl w:ilvl="5" w:tplc="7172A518">
      <w:start w:val="1"/>
      <w:numFmt w:val="bullet"/>
      <w:lvlText w:val=""/>
      <w:lvlJc w:val="left"/>
      <w:pPr>
        <w:ind w:left="4320" w:hanging="360"/>
      </w:pPr>
      <w:rPr>
        <w:rFonts w:ascii="Wingdings" w:hAnsi="Wingdings" w:hint="default"/>
      </w:rPr>
    </w:lvl>
    <w:lvl w:ilvl="6" w:tplc="FBEE6A0C">
      <w:start w:val="1"/>
      <w:numFmt w:val="bullet"/>
      <w:lvlText w:val=""/>
      <w:lvlJc w:val="left"/>
      <w:pPr>
        <w:ind w:left="5040" w:hanging="360"/>
      </w:pPr>
      <w:rPr>
        <w:rFonts w:ascii="Symbol" w:hAnsi="Symbol" w:hint="default"/>
      </w:rPr>
    </w:lvl>
    <w:lvl w:ilvl="7" w:tplc="D2A80D1A">
      <w:start w:val="1"/>
      <w:numFmt w:val="bullet"/>
      <w:lvlText w:val="o"/>
      <w:lvlJc w:val="left"/>
      <w:pPr>
        <w:ind w:left="5760" w:hanging="360"/>
      </w:pPr>
      <w:rPr>
        <w:rFonts w:ascii="Courier New" w:hAnsi="Courier New" w:hint="default"/>
      </w:rPr>
    </w:lvl>
    <w:lvl w:ilvl="8" w:tplc="1EB8D0EA">
      <w:start w:val="1"/>
      <w:numFmt w:val="bullet"/>
      <w:lvlText w:val=""/>
      <w:lvlJc w:val="left"/>
      <w:pPr>
        <w:ind w:left="6480" w:hanging="360"/>
      </w:pPr>
      <w:rPr>
        <w:rFonts w:ascii="Wingdings" w:hAnsi="Wingdings" w:hint="default"/>
      </w:rPr>
    </w:lvl>
  </w:abstractNum>
  <w:abstractNum w:abstractNumId="16" w15:restartNumberingAfterBreak="0">
    <w:nsid w:val="313710AB"/>
    <w:multiLevelType w:val="hybridMultilevel"/>
    <w:tmpl w:val="CEC282BC"/>
    <w:lvl w:ilvl="0" w:tplc="0A6417D4">
      <w:start w:val="1"/>
      <w:numFmt w:val="bullet"/>
      <w:lvlText w:val=""/>
      <w:lvlJc w:val="left"/>
      <w:pPr>
        <w:ind w:left="720" w:hanging="360"/>
      </w:pPr>
      <w:rPr>
        <w:rFonts w:ascii="Symbol" w:hAnsi="Symbol" w:hint="default"/>
      </w:rPr>
    </w:lvl>
    <w:lvl w:ilvl="1" w:tplc="77604372">
      <w:start w:val="1"/>
      <w:numFmt w:val="bullet"/>
      <w:lvlText w:val="o"/>
      <w:lvlJc w:val="left"/>
      <w:pPr>
        <w:ind w:left="1440" w:hanging="360"/>
      </w:pPr>
      <w:rPr>
        <w:rFonts w:ascii="Courier New" w:hAnsi="Courier New" w:hint="default"/>
      </w:rPr>
    </w:lvl>
    <w:lvl w:ilvl="2" w:tplc="E8F45D8A">
      <w:start w:val="1"/>
      <w:numFmt w:val="bullet"/>
      <w:lvlText w:val=""/>
      <w:lvlJc w:val="left"/>
      <w:pPr>
        <w:ind w:left="2160" w:hanging="360"/>
      </w:pPr>
      <w:rPr>
        <w:rFonts w:ascii="Wingdings" w:hAnsi="Wingdings" w:hint="default"/>
      </w:rPr>
    </w:lvl>
    <w:lvl w:ilvl="3" w:tplc="CB446314">
      <w:start w:val="1"/>
      <w:numFmt w:val="bullet"/>
      <w:lvlText w:val=""/>
      <w:lvlJc w:val="left"/>
      <w:pPr>
        <w:ind w:left="2880" w:hanging="360"/>
      </w:pPr>
      <w:rPr>
        <w:rFonts w:ascii="Symbol" w:hAnsi="Symbol" w:hint="default"/>
      </w:rPr>
    </w:lvl>
    <w:lvl w:ilvl="4" w:tplc="8CE8166E">
      <w:start w:val="1"/>
      <w:numFmt w:val="bullet"/>
      <w:lvlText w:val="o"/>
      <w:lvlJc w:val="left"/>
      <w:pPr>
        <w:ind w:left="3600" w:hanging="360"/>
      </w:pPr>
      <w:rPr>
        <w:rFonts w:ascii="Courier New" w:hAnsi="Courier New" w:hint="default"/>
      </w:rPr>
    </w:lvl>
    <w:lvl w:ilvl="5" w:tplc="DA1853E0">
      <w:start w:val="1"/>
      <w:numFmt w:val="bullet"/>
      <w:lvlText w:val=""/>
      <w:lvlJc w:val="left"/>
      <w:pPr>
        <w:ind w:left="4320" w:hanging="360"/>
      </w:pPr>
      <w:rPr>
        <w:rFonts w:ascii="Wingdings" w:hAnsi="Wingdings" w:hint="default"/>
      </w:rPr>
    </w:lvl>
    <w:lvl w:ilvl="6" w:tplc="45E82F0C">
      <w:start w:val="1"/>
      <w:numFmt w:val="bullet"/>
      <w:lvlText w:val=""/>
      <w:lvlJc w:val="left"/>
      <w:pPr>
        <w:ind w:left="5040" w:hanging="360"/>
      </w:pPr>
      <w:rPr>
        <w:rFonts w:ascii="Symbol" w:hAnsi="Symbol" w:hint="default"/>
      </w:rPr>
    </w:lvl>
    <w:lvl w:ilvl="7" w:tplc="24926316">
      <w:start w:val="1"/>
      <w:numFmt w:val="bullet"/>
      <w:lvlText w:val="o"/>
      <w:lvlJc w:val="left"/>
      <w:pPr>
        <w:ind w:left="5760" w:hanging="360"/>
      </w:pPr>
      <w:rPr>
        <w:rFonts w:ascii="Courier New" w:hAnsi="Courier New" w:hint="default"/>
      </w:rPr>
    </w:lvl>
    <w:lvl w:ilvl="8" w:tplc="C80E5F72">
      <w:start w:val="1"/>
      <w:numFmt w:val="bullet"/>
      <w:lvlText w:val=""/>
      <w:lvlJc w:val="left"/>
      <w:pPr>
        <w:ind w:left="6480" w:hanging="360"/>
      </w:pPr>
      <w:rPr>
        <w:rFonts w:ascii="Wingdings" w:hAnsi="Wingdings" w:hint="default"/>
      </w:rPr>
    </w:lvl>
  </w:abstractNum>
  <w:abstractNum w:abstractNumId="17" w15:restartNumberingAfterBreak="0">
    <w:nsid w:val="333A05C3"/>
    <w:multiLevelType w:val="hybridMultilevel"/>
    <w:tmpl w:val="BB6EE710"/>
    <w:lvl w:ilvl="0" w:tplc="EB803176">
      <w:start w:val="1"/>
      <w:numFmt w:val="bullet"/>
      <w:lvlText w:val=""/>
      <w:lvlJc w:val="left"/>
      <w:pPr>
        <w:ind w:left="720" w:hanging="360"/>
      </w:pPr>
      <w:rPr>
        <w:rFonts w:ascii="Symbol" w:hAnsi="Symbol" w:hint="default"/>
      </w:rPr>
    </w:lvl>
    <w:lvl w:ilvl="1" w:tplc="DE4219E2">
      <w:start w:val="1"/>
      <w:numFmt w:val="bullet"/>
      <w:lvlText w:val="o"/>
      <w:lvlJc w:val="left"/>
      <w:pPr>
        <w:ind w:left="1440" w:hanging="360"/>
      </w:pPr>
      <w:rPr>
        <w:rFonts w:ascii="Courier New" w:hAnsi="Courier New" w:hint="default"/>
      </w:rPr>
    </w:lvl>
    <w:lvl w:ilvl="2" w:tplc="702CE3C8">
      <w:start w:val="1"/>
      <w:numFmt w:val="bullet"/>
      <w:lvlText w:val=""/>
      <w:lvlJc w:val="left"/>
      <w:pPr>
        <w:ind w:left="2160" w:hanging="360"/>
      </w:pPr>
      <w:rPr>
        <w:rFonts w:ascii="Wingdings" w:hAnsi="Wingdings" w:hint="default"/>
      </w:rPr>
    </w:lvl>
    <w:lvl w:ilvl="3" w:tplc="3642149C">
      <w:start w:val="1"/>
      <w:numFmt w:val="bullet"/>
      <w:lvlText w:val=""/>
      <w:lvlJc w:val="left"/>
      <w:pPr>
        <w:ind w:left="2880" w:hanging="360"/>
      </w:pPr>
      <w:rPr>
        <w:rFonts w:ascii="Symbol" w:hAnsi="Symbol" w:hint="default"/>
      </w:rPr>
    </w:lvl>
    <w:lvl w:ilvl="4" w:tplc="1604E7C2">
      <w:start w:val="1"/>
      <w:numFmt w:val="bullet"/>
      <w:lvlText w:val="o"/>
      <w:lvlJc w:val="left"/>
      <w:pPr>
        <w:ind w:left="3600" w:hanging="360"/>
      </w:pPr>
      <w:rPr>
        <w:rFonts w:ascii="Courier New" w:hAnsi="Courier New" w:hint="default"/>
      </w:rPr>
    </w:lvl>
    <w:lvl w:ilvl="5" w:tplc="8DC8BBC8">
      <w:start w:val="1"/>
      <w:numFmt w:val="bullet"/>
      <w:lvlText w:val=""/>
      <w:lvlJc w:val="left"/>
      <w:pPr>
        <w:ind w:left="4320" w:hanging="360"/>
      </w:pPr>
      <w:rPr>
        <w:rFonts w:ascii="Wingdings" w:hAnsi="Wingdings" w:hint="default"/>
      </w:rPr>
    </w:lvl>
    <w:lvl w:ilvl="6" w:tplc="915027CC">
      <w:start w:val="1"/>
      <w:numFmt w:val="bullet"/>
      <w:lvlText w:val=""/>
      <w:lvlJc w:val="left"/>
      <w:pPr>
        <w:ind w:left="5040" w:hanging="360"/>
      </w:pPr>
      <w:rPr>
        <w:rFonts w:ascii="Symbol" w:hAnsi="Symbol" w:hint="default"/>
      </w:rPr>
    </w:lvl>
    <w:lvl w:ilvl="7" w:tplc="142C5C84">
      <w:start w:val="1"/>
      <w:numFmt w:val="bullet"/>
      <w:lvlText w:val="o"/>
      <w:lvlJc w:val="left"/>
      <w:pPr>
        <w:ind w:left="5760" w:hanging="360"/>
      </w:pPr>
      <w:rPr>
        <w:rFonts w:ascii="Courier New" w:hAnsi="Courier New" w:hint="default"/>
      </w:rPr>
    </w:lvl>
    <w:lvl w:ilvl="8" w:tplc="D0CA6AF2">
      <w:start w:val="1"/>
      <w:numFmt w:val="bullet"/>
      <w:lvlText w:val=""/>
      <w:lvlJc w:val="left"/>
      <w:pPr>
        <w:ind w:left="6480" w:hanging="360"/>
      </w:pPr>
      <w:rPr>
        <w:rFonts w:ascii="Wingdings" w:hAnsi="Wingdings" w:hint="default"/>
      </w:rPr>
    </w:lvl>
  </w:abstractNum>
  <w:abstractNum w:abstractNumId="18" w15:restartNumberingAfterBreak="0">
    <w:nsid w:val="368EC97D"/>
    <w:multiLevelType w:val="hybridMultilevel"/>
    <w:tmpl w:val="35F0C0C2"/>
    <w:lvl w:ilvl="0" w:tplc="69DEC1B6">
      <w:start w:val="1"/>
      <w:numFmt w:val="bullet"/>
      <w:lvlText w:val=""/>
      <w:lvlJc w:val="left"/>
      <w:pPr>
        <w:ind w:left="720" w:hanging="360"/>
      </w:pPr>
      <w:rPr>
        <w:rFonts w:ascii="Symbol" w:hAnsi="Symbol" w:hint="default"/>
      </w:rPr>
    </w:lvl>
    <w:lvl w:ilvl="1" w:tplc="D4FC8342">
      <w:start w:val="1"/>
      <w:numFmt w:val="bullet"/>
      <w:lvlText w:val="o"/>
      <w:lvlJc w:val="left"/>
      <w:pPr>
        <w:ind w:left="1440" w:hanging="360"/>
      </w:pPr>
      <w:rPr>
        <w:rFonts w:ascii="Courier New" w:hAnsi="Courier New" w:hint="default"/>
      </w:rPr>
    </w:lvl>
    <w:lvl w:ilvl="2" w:tplc="1070FE68">
      <w:start w:val="1"/>
      <w:numFmt w:val="bullet"/>
      <w:lvlText w:val=""/>
      <w:lvlJc w:val="left"/>
      <w:pPr>
        <w:ind w:left="2160" w:hanging="360"/>
      </w:pPr>
      <w:rPr>
        <w:rFonts w:ascii="Wingdings" w:hAnsi="Wingdings" w:hint="default"/>
      </w:rPr>
    </w:lvl>
    <w:lvl w:ilvl="3" w:tplc="750E351A">
      <w:start w:val="1"/>
      <w:numFmt w:val="bullet"/>
      <w:lvlText w:val=""/>
      <w:lvlJc w:val="left"/>
      <w:pPr>
        <w:ind w:left="2880" w:hanging="360"/>
      </w:pPr>
      <w:rPr>
        <w:rFonts w:ascii="Symbol" w:hAnsi="Symbol" w:hint="default"/>
      </w:rPr>
    </w:lvl>
    <w:lvl w:ilvl="4" w:tplc="8762614C">
      <w:start w:val="1"/>
      <w:numFmt w:val="bullet"/>
      <w:lvlText w:val="o"/>
      <w:lvlJc w:val="left"/>
      <w:pPr>
        <w:ind w:left="3600" w:hanging="360"/>
      </w:pPr>
      <w:rPr>
        <w:rFonts w:ascii="Courier New" w:hAnsi="Courier New" w:hint="default"/>
      </w:rPr>
    </w:lvl>
    <w:lvl w:ilvl="5" w:tplc="02A4C35C">
      <w:start w:val="1"/>
      <w:numFmt w:val="bullet"/>
      <w:lvlText w:val=""/>
      <w:lvlJc w:val="left"/>
      <w:pPr>
        <w:ind w:left="4320" w:hanging="360"/>
      </w:pPr>
      <w:rPr>
        <w:rFonts w:ascii="Wingdings" w:hAnsi="Wingdings" w:hint="default"/>
      </w:rPr>
    </w:lvl>
    <w:lvl w:ilvl="6" w:tplc="12A48748">
      <w:start w:val="1"/>
      <w:numFmt w:val="bullet"/>
      <w:lvlText w:val=""/>
      <w:lvlJc w:val="left"/>
      <w:pPr>
        <w:ind w:left="5040" w:hanging="360"/>
      </w:pPr>
      <w:rPr>
        <w:rFonts w:ascii="Symbol" w:hAnsi="Symbol" w:hint="default"/>
      </w:rPr>
    </w:lvl>
    <w:lvl w:ilvl="7" w:tplc="385A5960">
      <w:start w:val="1"/>
      <w:numFmt w:val="bullet"/>
      <w:lvlText w:val="o"/>
      <w:lvlJc w:val="left"/>
      <w:pPr>
        <w:ind w:left="5760" w:hanging="360"/>
      </w:pPr>
      <w:rPr>
        <w:rFonts w:ascii="Courier New" w:hAnsi="Courier New" w:hint="default"/>
      </w:rPr>
    </w:lvl>
    <w:lvl w:ilvl="8" w:tplc="463603FE">
      <w:start w:val="1"/>
      <w:numFmt w:val="bullet"/>
      <w:lvlText w:val=""/>
      <w:lvlJc w:val="left"/>
      <w:pPr>
        <w:ind w:left="6480" w:hanging="360"/>
      </w:pPr>
      <w:rPr>
        <w:rFonts w:ascii="Wingdings" w:hAnsi="Wingdings" w:hint="default"/>
      </w:rPr>
    </w:lvl>
  </w:abstractNum>
  <w:abstractNum w:abstractNumId="19" w15:restartNumberingAfterBreak="0">
    <w:nsid w:val="36E45156"/>
    <w:multiLevelType w:val="hybridMultilevel"/>
    <w:tmpl w:val="3830035A"/>
    <w:lvl w:ilvl="0" w:tplc="D15EB3D8">
      <w:start w:val="1"/>
      <w:numFmt w:val="bullet"/>
      <w:lvlText w:val=""/>
      <w:lvlJc w:val="left"/>
      <w:pPr>
        <w:ind w:left="720" w:hanging="360"/>
      </w:pPr>
      <w:rPr>
        <w:rFonts w:ascii="Symbol" w:hAnsi="Symbol" w:hint="default"/>
      </w:rPr>
    </w:lvl>
    <w:lvl w:ilvl="1" w:tplc="EC5AC56E">
      <w:start w:val="1"/>
      <w:numFmt w:val="bullet"/>
      <w:lvlText w:val="o"/>
      <w:lvlJc w:val="left"/>
      <w:pPr>
        <w:ind w:left="1440" w:hanging="360"/>
      </w:pPr>
      <w:rPr>
        <w:rFonts w:ascii="Courier New" w:hAnsi="Courier New" w:hint="default"/>
      </w:rPr>
    </w:lvl>
    <w:lvl w:ilvl="2" w:tplc="8F948358">
      <w:start w:val="1"/>
      <w:numFmt w:val="bullet"/>
      <w:lvlText w:val=""/>
      <w:lvlJc w:val="left"/>
      <w:pPr>
        <w:ind w:left="2160" w:hanging="360"/>
      </w:pPr>
      <w:rPr>
        <w:rFonts w:ascii="Wingdings" w:hAnsi="Wingdings" w:hint="default"/>
      </w:rPr>
    </w:lvl>
    <w:lvl w:ilvl="3" w:tplc="47089292">
      <w:start w:val="1"/>
      <w:numFmt w:val="bullet"/>
      <w:lvlText w:val=""/>
      <w:lvlJc w:val="left"/>
      <w:pPr>
        <w:ind w:left="2880" w:hanging="360"/>
      </w:pPr>
      <w:rPr>
        <w:rFonts w:ascii="Symbol" w:hAnsi="Symbol" w:hint="default"/>
      </w:rPr>
    </w:lvl>
    <w:lvl w:ilvl="4" w:tplc="6CEE497C">
      <w:start w:val="1"/>
      <w:numFmt w:val="bullet"/>
      <w:lvlText w:val="o"/>
      <w:lvlJc w:val="left"/>
      <w:pPr>
        <w:ind w:left="3600" w:hanging="360"/>
      </w:pPr>
      <w:rPr>
        <w:rFonts w:ascii="Courier New" w:hAnsi="Courier New" w:hint="default"/>
      </w:rPr>
    </w:lvl>
    <w:lvl w:ilvl="5" w:tplc="9AB0EEAC">
      <w:start w:val="1"/>
      <w:numFmt w:val="bullet"/>
      <w:lvlText w:val=""/>
      <w:lvlJc w:val="left"/>
      <w:pPr>
        <w:ind w:left="4320" w:hanging="360"/>
      </w:pPr>
      <w:rPr>
        <w:rFonts w:ascii="Wingdings" w:hAnsi="Wingdings" w:hint="default"/>
      </w:rPr>
    </w:lvl>
    <w:lvl w:ilvl="6" w:tplc="EC0046F4">
      <w:start w:val="1"/>
      <w:numFmt w:val="bullet"/>
      <w:lvlText w:val=""/>
      <w:lvlJc w:val="left"/>
      <w:pPr>
        <w:ind w:left="5040" w:hanging="360"/>
      </w:pPr>
      <w:rPr>
        <w:rFonts w:ascii="Symbol" w:hAnsi="Symbol" w:hint="default"/>
      </w:rPr>
    </w:lvl>
    <w:lvl w:ilvl="7" w:tplc="6F22C8EA">
      <w:start w:val="1"/>
      <w:numFmt w:val="bullet"/>
      <w:lvlText w:val="o"/>
      <w:lvlJc w:val="left"/>
      <w:pPr>
        <w:ind w:left="5760" w:hanging="360"/>
      </w:pPr>
      <w:rPr>
        <w:rFonts w:ascii="Courier New" w:hAnsi="Courier New" w:hint="default"/>
      </w:rPr>
    </w:lvl>
    <w:lvl w:ilvl="8" w:tplc="5972CE08">
      <w:start w:val="1"/>
      <w:numFmt w:val="bullet"/>
      <w:lvlText w:val=""/>
      <w:lvlJc w:val="left"/>
      <w:pPr>
        <w:ind w:left="6480" w:hanging="360"/>
      </w:pPr>
      <w:rPr>
        <w:rFonts w:ascii="Wingdings" w:hAnsi="Wingdings" w:hint="default"/>
      </w:rPr>
    </w:lvl>
  </w:abstractNum>
  <w:abstractNum w:abstractNumId="20" w15:restartNumberingAfterBreak="0">
    <w:nsid w:val="416FE45F"/>
    <w:multiLevelType w:val="hybridMultilevel"/>
    <w:tmpl w:val="4A86484A"/>
    <w:lvl w:ilvl="0" w:tplc="D4E865FC">
      <w:start w:val="1"/>
      <w:numFmt w:val="bullet"/>
      <w:lvlText w:val=""/>
      <w:lvlJc w:val="left"/>
      <w:pPr>
        <w:ind w:left="720" w:hanging="360"/>
      </w:pPr>
      <w:rPr>
        <w:rFonts w:ascii="Symbol" w:hAnsi="Symbol" w:hint="default"/>
      </w:rPr>
    </w:lvl>
    <w:lvl w:ilvl="1" w:tplc="E514EC92">
      <w:start w:val="1"/>
      <w:numFmt w:val="bullet"/>
      <w:lvlText w:val="o"/>
      <w:lvlJc w:val="left"/>
      <w:pPr>
        <w:ind w:left="1440" w:hanging="360"/>
      </w:pPr>
      <w:rPr>
        <w:rFonts w:ascii="Courier New" w:hAnsi="Courier New" w:hint="default"/>
      </w:rPr>
    </w:lvl>
    <w:lvl w:ilvl="2" w:tplc="62F83BD0">
      <w:start w:val="1"/>
      <w:numFmt w:val="bullet"/>
      <w:lvlText w:val=""/>
      <w:lvlJc w:val="left"/>
      <w:pPr>
        <w:ind w:left="2160" w:hanging="360"/>
      </w:pPr>
      <w:rPr>
        <w:rFonts w:ascii="Wingdings" w:hAnsi="Wingdings" w:hint="default"/>
      </w:rPr>
    </w:lvl>
    <w:lvl w:ilvl="3" w:tplc="223C98E2">
      <w:start w:val="1"/>
      <w:numFmt w:val="bullet"/>
      <w:lvlText w:val=""/>
      <w:lvlJc w:val="left"/>
      <w:pPr>
        <w:ind w:left="2880" w:hanging="360"/>
      </w:pPr>
      <w:rPr>
        <w:rFonts w:ascii="Symbol" w:hAnsi="Symbol" w:hint="default"/>
      </w:rPr>
    </w:lvl>
    <w:lvl w:ilvl="4" w:tplc="8F38E246">
      <w:start w:val="1"/>
      <w:numFmt w:val="bullet"/>
      <w:lvlText w:val="o"/>
      <w:lvlJc w:val="left"/>
      <w:pPr>
        <w:ind w:left="3600" w:hanging="360"/>
      </w:pPr>
      <w:rPr>
        <w:rFonts w:ascii="Courier New" w:hAnsi="Courier New" w:hint="default"/>
      </w:rPr>
    </w:lvl>
    <w:lvl w:ilvl="5" w:tplc="3FF87776">
      <w:start w:val="1"/>
      <w:numFmt w:val="bullet"/>
      <w:lvlText w:val=""/>
      <w:lvlJc w:val="left"/>
      <w:pPr>
        <w:ind w:left="4320" w:hanging="360"/>
      </w:pPr>
      <w:rPr>
        <w:rFonts w:ascii="Wingdings" w:hAnsi="Wingdings" w:hint="default"/>
      </w:rPr>
    </w:lvl>
    <w:lvl w:ilvl="6" w:tplc="7ABE33EC">
      <w:start w:val="1"/>
      <w:numFmt w:val="bullet"/>
      <w:lvlText w:val=""/>
      <w:lvlJc w:val="left"/>
      <w:pPr>
        <w:ind w:left="5040" w:hanging="360"/>
      </w:pPr>
      <w:rPr>
        <w:rFonts w:ascii="Symbol" w:hAnsi="Symbol" w:hint="default"/>
      </w:rPr>
    </w:lvl>
    <w:lvl w:ilvl="7" w:tplc="54CC7D1C">
      <w:start w:val="1"/>
      <w:numFmt w:val="bullet"/>
      <w:lvlText w:val="o"/>
      <w:lvlJc w:val="left"/>
      <w:pPr>
        <w:ind w:left="5760" w:hanging="360"/>
      </w:pPr>
      <w:rPr>
        <w:rFonts w:ascii="Courier New" w:hAnsi="Courier New" w:hint="default"/>
      </w:rPr>
    </w:lvl>
    <w:lvl w:ilvl="8" w:tplc="092A07A2">
      <w:start w:val="1"/>
      <w:numFmt w:val="bullet"/>
      <w:lvlText w:val=""/>
      <w:lvlJc w:val="left"/>
      <w:pPr>
        <w:ind w:left="6480" w:hanging="360"/>
      </w:pPr>
      <w:rPr>
        <w:rFonts w:ascii="Wingdings" w:hAnsi="Wingdings" w:hint="default"/>
      </w:rPr>
    </w:lvl>
  </w:abstractNum>
  <w:abstractNum w:abstractNumId="21" w15:restartNumberingAfterBreak="0">
    <w:nsid w:val="446E8DDB"/>
    <w:multiLevelType w:val="hybridMultilevel"/>
    <w:tmpl w:val="913040AA"/>
    <w:lvl w:ilvl="0" w:tplc="37A0577A">
      <w:start w:val="1"/>
      <w:numFmt w:val="bullet"/>
      <w:lvlText w:val=""/>
      <w:lvlJc w:val="left"/>
      <w:pPr>
        <w:ind w:left="720" w:hanging="360"/>
      </w:pPr>
      <w:rPr>
        <w:rFonts w:ascii="Symbol" w:hAnsi="Symbol" w:hint="default"/>
      </w:rPr>
    </w:lvl>
    <w:lvl w:ilvl="1" w:tplc="7944B580">
      <w:start w:val="1"/>
      <w:numFmt w:val="bullet"/>
      <w:lvlText w:val="o"/>
      <w:lvlJc w:val="left"/>
      <w:pPr>
        <w:ind w:left="1440" w:hanging="360"/>
      </w:pPr>
      <w:rPr>
        <w:rFonts w:ascii="Courier New" w:hAnsi="Courier New" w:hint="default"/>
      </w:rPr>
    </w:lvl>
    <w:lvl w:ilvl="2" w:tplc="95905A08">
      <w:start w:val="1"/>
      <w:numFmt w:val="bullet"/>
      <w:lvlText w:val=""/>
      <w:lvlJc w:val="left"/>
      <w:pPr>
        <w:ind w:left="2160" w:hanging="360"/>
      </w:pPr>
      <w:rPr>
        <w:rFonts w:ascii="Wingdings" w:hAnsi="Wingdings" w:hint="default"/>
      </w:rPr>
    </w:lvl>
    <w:lvl w:ilvl="3" w:tplc="68889922">
      <w:start w:val="1"/>
      <w:numFmt w:val="bullet"/>
      <w:lvlText w:val=""/>
      <w:lvlJc w:val="left"/>
      <w:pPr>
        <w:ind w:left="2880" w:hanging="360"/>
      </w:pPr>
      <w:rPr>
        <w:rFonts w:ascii="Symbol" w:hAnsi="Symbol" w:hint="default"/>
      </w:rPr>
    </w:lvl>
    <w:lvl w:ilvl="4" w:tplc="3AE84264">
      <w:start w:val="1"/>
      <w:numFmt w:val="bullet"/>
      <w:lvlText w:val="o"/>
      <w:lvlJc w:val="left"/>
      <w:pPr>
        <w:ind w:left="3600" w:hanging="360"/>
      </w:pPr>
      <w:rPr>
        <w:rFonts w:ascii="Courier New" w:hAnsi="Courier New" w:hint="default"/>
      </w:rPr>
    </w:lvl>
    <w:lvl w:ilvl="5" w:tplc="8AE2A416">
      <w:start w:val="1"/>
      <w:numFmt w:val="bullet"/>
      <w:lvlText w:val=""/>
      <w:lvlJc w:val="left"/>
      <w:pPr>
        <w:ind w:left="4320" w:hanging="360"/>
      </w:pPr>
      <w:rPr>
        <w:rFonts w:ascii="Wingdings" w:hAnsi="Wingdings" w:hint="default"/>
      </w:rPr>
    </w:lvl>
    <w:lvl w:ilvl="6" w:tplc="74A67C82">
      <w:start w:val="1"/>
      <w:numFmt w:val="bullet"/>
      <w:lvlText w:val=""/>
      <w:lvlJc w:val="left"/>
      <w:pPr>
        <w:ind w:left="5040" w:hanging="360"/>
      </w:pPr>
      <w:rPr>
        <w:rFonts w:ascii="Symbol" w:hAnsi="Symbol" w:hint="default"/>
      </w:rPr>
    </w:lvl>
    <w:lvl w:ilvl="7" w:tplc="E5F20EF4">
      <w:start w:val="1"/>
      <w:numFmt w:val="bullet"/>
      <w:lvlText w:val="o"/>
      <w:lvlJc w:val="left"/>
      <w:pPr>
        <w:ind w:left="5760" w:hanging="360"/>
      </w:pPr>
      <w:rPr>
        <w:rFonts w:ascii="Courier New" w:hAnsi="Courier New" w:hint="default"/>
      </w:rPr>
    </w:lvl>
    <w:lvl w:ilvl="8" w:tplc="195AE028">
      <w:start w:val="1"/>
      <w:numFmt w:val="bullet"/>
      <w:lvlText w:val=""/>
      <w:lvlJc w:val="left"/>
      <w:pPr>
        <w:ind w:left="6480" w:hanging="360"/>
      </w:pPr>
      <w:rPr>
        <w:rFonts w:ascii="Wingdings" w:hAnsi="Wingdings" w:hint="default"/>
      </w:rPr>
    </w:lvl>
  </w:abstractNum>
  <w:abstractNum w:abstractNumId="22" w15:restartNumberingAfterBreak="0">
    <w:nsid w:val="448E78EF"/>
    <w:multiLevelType w:val="hybridMultilevel"/>
    <w:tmpl w:val="5F0CABB4"/>
    <w:lvl w:ilvl="0" w:tplc="9208DA4A">
      <w:start w:val="1"/>
      <w:numFmt w:val="bullet"/>
      <w:lvlText w:val=""/>
      <w:lvlJc w:val="left"/>
      <w:pPr>
        <w:ind w:left="720" w:hanging="360"/>
      </w:pPr>
      <w:rPr>
        <w:rFonts w:ascii="Symbol" w:hAnsi="Symbol" w:hint="default"/>
      </w:rPr>
    </w:lvl>
    <w:lvl w:ilvl="1" w:tplc="003EBDC4">
      <w:start w:val="1"/>
      <w:numFmt w:val="bullet"/>
      <w:lvlText w:val="o"/>
      <w:lvlJc w:val="left"/>
      <w:pPr>
        <w:ind w:left="1440" w:hanging="360"/>
      </w:pPr>
      <w:rPr>
        <w:rFonts w:ascii="Courier New" w:hAnsi="Courier New" w:hint="default"/>
      </w:rPr>
    </w:lvl>
    <w:lvl w:ilvl="2" w:tplc="8C8C43B0">
      <w:start w:val="1"/>
      <w:numFmt w:val="bullet"/>
      <w:lvlText w:val=""/>
      <w:lvlJc w:val="left"/>
      <w:pPr>
        <w:ind w:left="2160" w:hanging="360"/>
      </w:pPr>
      <w:rPr>
        <w:rFonts w:ascii="Wingdings" w:hAnsi="Wingdings" w:hint="default"/>
      </w:rPr>
    </w:lvl>
    <w:lvl w:ilvl="3" w:tplc="24427C96">
      <w:start w:val="1"/>
      <w:numFmt w:val="bullet"/>
      <w:lvlText w:val=""/>
      <w:lvlJc w:val="left"/>
      <w:pPr>
        <w:ind w:left="2880" w:hanging="360"/>
      </w:pPr>
      <w:rPr>
        <w:rFonts w:ascii="Symbol" w:hAnsi="Symbol" w:hint="default"/>
      </w:rPr>
    </w:lvl>
    <w:lvl w:ilvl="4" w:tplc="26FCFCC6">
      <w:start w:val="1"/>
      <w:numFmt w:val="bullet"/>
      <w:lvlText w:val="o"/>
      <w:lvlJc w:val="left"/>
      <w:pPr>
        <w:ind w:left="3600" w:hanging="360"/>
      </w:pPr>
      <w:rPr>
        <w:rFonts w:ascii="Courier New" w:hAnsi="Courier New" w:hint="default"/>
      </w:rPr>
    </w:lvl>
    <w:lvl w:ilvl="5" w:tplc="DC622708">
      <w:start w:val="1"/>
      <w:numFmt w:val="bullet"/>
      <w:lvlText w:val=""/>
      <w:lvlJc w:val="left"/>
      <w:pPr>
        <w:ind w:left="4320" w:hanging="360"/>
      </w:pPr>
      <w:rPr>
        <w:rFonts w:ascii="Wingdings" w:hAnsi="Wingdings" w:hint="default"/>
      </w:rPr>
    </w:lvl>
    <w:lvl w:ilvl="6" w:tplc="B1800834">
      <w:start w:val="1"/>
      <w:numFmt w:val="bullet"/>
      <w:lvlText w:val=""/>
      <w:lvlJc w:val="left"/>
      <w:pPr>
        <w:ind w:left="5040" w:hanging="360"/>
      </w:pPr>
      <w:rPr>
        <w:rFonts w:ascii="Symbol" w:hAnsi="Symbol" w:hint="default"/>
      </w:rPr>
    </w:lvl>
    <w:lvl w:ilvl="7" w:tplc="EB78059C">
      <w:start w:val="1"/>
      <w:numFmt w:val="bullet"/>
      <w:lvlText w:val="o"/>
      <w:lvlJc w:val="left"/>
      <w:pPr>
        <w:ind w:left="5760" w:hanging="360"/>
      </w:pPr>
      <w:rPr>
        <w:rFonts w:ascii="Courier New" w:hAnsi="Courier New" w:hint="default"/>
      </w:rPr>
    </w:lvl>
    <w:lvl w:ilvl="8" w:tplc="953490EA">
      <w:start w:val="1"/>
      <w:numFmt w:val="bullet"/>
      <w:lvlText w:val=""/>
      <w:lvlJc w:val="left"/>
      <w:pPr>
        <w:ind w:left="6480" w:hanging="360"/>
      </w:pPr>
      <w:rPr>
        <w:rFonts w:ascii="Wingdings" w:hAnsi="Wingdings" w:hint="default"/>
      </w:rPr>
    </w:lvl>
  </w:abstractNum>
  <w:abstractNum w:abstractNumId="23" w15:restartNumberingAfterBreak="0">
    <w:nsid w:val="4BDBAA24"/>
    <w:multiLevelType w:val="hybridMultilevel"/>
    <w:tmpl w:val="D0643D4A"/>
    <w:lvl w:ilvl="0" w:tplc="CD98CDBE">
      <w:start w:val="1"/>
      <w:numFmt w:val="bullet"/>
      <w:lvlText w:val=""/>
      <w:lvlJc w:val="left"/>
      <w:pPr>
        <w:ind w:left="720" w:hanging="360"/>
      </w:pPr>
      <w:rPr>
        <w:rFonts w:ascii="Symbol" w:hAnsi="Symbol" w:hint="default"/>
      </w:rPr>
    </w:lvl>
    <w:lvl w:ilvl="1" w:tplc="981AC342">
      <w:start w:val="1"/>
      <w:numFmt w:val="bullet"/>
      <w:lvlText w:val="o"/>
      <w:lvlJc w:val="left"/>
      <w:pPr>
        <w:ind w:left="1440" w:hanging="360"/>
      </w:pPr>
      <w:rPr>
        <w:rFonts w:ascii="Courier New" w:hAnsi="Courier New" w:hint="default"/>
      </w:rPr>
    </w:lvl>
    <w:lvl w:ilvl="2" w:tplc="5394A8C8">
      <w:start w:val="1"/>
      <w:numFmt w:val="bullet"/>
      <w:lvlText w:val=""/>
      <w:lvlJc w:val="left"/>
      <w:pPr>
        <w:ind w:left="2160" w:hanging="360"/>
      </w:pPr>
      <w:rPr>
        <w:rFonts w:ascii="Wingdings" w:hAnsi="Wingdings" w:hint="default"/>
      </w:rPr>
    </w:lvl>
    <w:lvl w:ilvl="3" w:tplc="94089A98">
      <w:start w:val="1"/>
      <w:numFmt w:val="bullet"/>
      <w:lvlText w:val=""/>
      <w:lvlJc w:val="left"/>
      <w:pPr>
        <w:ind w:left="2880" w:hanging="360"/>
      </w:pPr>
      <w:rPr>
        <w:rFonts w:ascii="Symbol" w:hAnsi="Symbol" w:hint="default"/>
      </w:rPr>
    </w:lvl>
    <w:lvl w:ilvl="4" w:tplc="31A4E9E0">
      <w:start w:val="1"/>
      <w:numFmt w:val="bullet"/>
      <w:lvlText w:val="o"/>
      <w:lvlJc w:val="left"/>
      <w:pPr>
        <w:ind w:left="3600" w:hanging="360"/>
      </w:pPr>
      <w:rPr>
        <w:rFonts w:ascii="Courier New" w:hAnsi="Courier New" w:hint="default"/>
      </w:rPr>
    </w:lvl>
    <w:lvl w:ilvl="5" w:tplc="FD9E3D8E">
      <w:start w:val="1"/>
      <w:numFmt w:val="bullet"/>
      <w:lvlText w:val=""/>
      <w:lvlJc w:val="left"/>
      <w:pPr>
        <w:ind w:left="4320" w:hanging="360"/>
      </w:pPr>
      <w:rPr>
        <w:rFonts w:ascii="Wingdings" w:hAnsi="Wingdings" w:hint="default"/>
      </w:rPr>
    </w:lvl>
    <w:lvl w:ilvl="6" w:tplc="C5A6F710">
      <w:start w:val="1"/>
      <w:numFmt w:val="bullet"/>
      <w:lvlText w:val=""/>
      <w:lvlJc w:val="left"/>
      <w:pPr>
        <w:ind w:left="5040" w:hanging="360"/>
      </w:pPr>
      <w:rPr>
        <w:rFonts w:ascii="Symbol" w:hAnsi="Symbol" w:hint="default"/>
      </w:rPr>
    </w:lvl>
    <w:lvl w:ilvl="7" w:tplc="B314A904">
      <w:start w:val="1"/>
      <w:numFmt w:val="bullet"/>
      <w:lvlText w:val="o"/>
      <w:lvlJc w:val="left"/>
      <w:pPr>
        <w:ind w:left="5760" w:hanging="360"/>
      </w:pPr>
      <w:rPr>
        <w:rFonts w:ascii="Courier New" w:hAnsi="Courier New" w:hint="default"/>
      </w:rPr>
    </w:lvl>
    <w:lvl w:ilvl="8" w:tplc="75F0D2BC">
      <w:start w:val="1"/>
      <w:numFmt w:val="bullet"/>
      <w:lvlText w:val=""/>
      <w:lvlJc w:val="left"/>
      <w:pPr>
        <w:ind w:left="6480" w:hanging="360"/>
      </w:pPr>
      <w:rPr>
        <w:rFonts w:ascii="Wingdings" w:hAnsi="Wingdings" w:hint="default"/>
      </w:rPr>
    </w:lvl>
  </w:abstractNum>
  <w:abstractNum w:abstractNumId="24" w15:restartNumberingAfterBreak="0">
    <w:nsid w:val="4C16823A"/>
    <w:multiLevelType w:val="hybridMultilevel"/>
    <w:tmpl w:val="8486B194"/>
    <w:lvl w:ilvl="0" w:tplc="FFE81E9E">
      <w:start w:val="1"/>
      <w:numFmt w:val="bullet"/>
      <w:lvlText w:val=""/>
      <w:lvlJc w:val="left"/>
      <w:pPr>
        <w:ind w:left="720" w:hanging="360"/>
      </w:pPr>
      <w:rPr>
        <w:rFonts w:ascii="Symbol" w:hAnsi="Symbol" w:hint="default"/>
      </w:rPr>
    </w:lvl>
    <w:lvl w:ilvl="1" w:tplc="F488B6A6">
      <w:start w:val="1"/>
      <w:numFmt w:val="bullet"/>
      <w:lvlText w:val="o"/>
      <w:lvlJc w:val="left"/>
      <w:pPr>
        <w:ind w:left="1440" w:hanging="360"/>
      </w:pPr>
      <w:rPr>
        <w:rFonts w:ascii="Courier New" w:hAnsi="Courier New" w:hint="default"/>
      </w:rPr>
    </w:lvl>
    <w:lvl w:ilvl="2" w:tplc="AC1E769A">
      <w:start w:val="1"/>
      <w:numFmt w:val="bullet"/>
      <w:lvlText w:val=""/>
      <w:lvlJc w:val="left"/>
      <w:pPr>
        <w:ind w:left="2160" w:hanging="360"/>
      </w:pPr>
      <w:rPr>
        <w:rFonts w:ascii="Wingdings" w:hAnsi="Wingdings" w:hint="default"/>
      </w:rPr>
    </w:lvl>
    <w:lvl w:ilvl="3" w:tplc="57ACF954">
      <w:start w:val="1"/>
      <w:numFmt w:val="bullet"/>
      <w:lvlText w:val=""/>
      <w:lvlJc w:val="left"/>
      <w:pPr>
        <w:ind w:left="2880" w:hanging="360"/>
      </w:pPr>
      <w:rPr>
        <w:rFonts w:ascii="Symbol" w:hAnsi="Symbol" w:hint="default"/>
      </w:rPr>
    </w:lvl>
    <w:lvl w:ilvl="4" w:tplc="B46C3AB4">
      <w:start w:val="1"/>
      <w:numFmt w:val="bullet"/>
      <w:lvlText w:val="o"/>
      <w:lvlJc w:val="left"/>
      <w:pPr>
        <w:ind w:left="3600" w:hanging="360"/>
      </w:pPr>
      <w:rPr>
        <w:rFonts w:ascii="Courier New" w:hAnsi="Courier New" w:hint="default"/>
      </w:rPr>
    </w:lvl>
    <w:lvl w:ilvl="5" w:tplc="92F07976">
      <w:start w:val="1"/>
      <w:numFmt w:val="bullet"/>
      <w:lvlText w:val=""/>
      <w:lvlJc w:val="left"/>
      <w:pPr>
        <w:ind w:left="4320" w:hanging="360"/>
      </w:pPr>
      <w:rPr>
        <w:rFonts w:ascii="Wingdings" w:hAnsi="Wingdings" w:hint="default"/>
      </w:rPr>
    </w:lvl>
    <w:lvl w:ilvl="6" w:tplc="39B68022">
      <w:start w:val="1"/>
      <w:numFmt w:val="bullet"/>
      <w:lvlText w:val=""/>
      <w:lvlJc w:val="left"/>
      <w:pPr>
        <w:ind w:left="5040" w:hanging="360"/>
      </w:pPr>
      <w:rPr>
        <w:rFonts w:ascii="Symbol" w:hAnsi="Symbol" w:hint="default"/>
      </w:rPr>
    </w:lvl>
    <w:lvl w:ilvl="7" w:tplc="25E8ADE0">
      <w:start w:val="1"/>
      <w:numFmt w:val="bullet"/>
      <w:lvlText w:val="o"/>
      <w:lvlJc w:val="left"/>
      <w:pPr>
        <w:ind w:left="5760" w:hanging="360"/>
      </w:pPr>
      <w:rPr>
        <w:rFonts w:ascii="Courier New" w:hAnsi="Courier New" w:hint="default"/>
      </w:rPr>
    </w:lvl>
    <w:lvl w:ilvl="8" w:tplc="0FC08E92">
      <w:start w:val="1"/>
      <w:numFmt w:val="bullet"/>
      <w:lvlText w:val=""/>
      <w:lvlJc w:val="left"/>
      <w:pPr>
        <w:ind w:left="6480" w:hanging="360"/>
      </w:pPr>
      <w:rPr>
        <w:rFonts w:ascii="Wingdings" w:hAnsi="Wingdings" w:hint="default"/>
      </w:rPr>
    </w:lvl>
  </w:abstractNum>
  <w:abstractNum w:abstractNumId="25" w15:restartNumberingAfterBreak="0">
    <w:nsid w:val="4DEF8CAF"/>
    <w:multiLevelType w:val="hybridMultilevel"/>
    <w:tmpl w:val="360E460A"/>
    <w:lvl w:ilvl="0" w:tplc="633C6964">
      <w:start w:val="1"/>
      <w:numFmt w:val="bullet"/>
      <w:lvlText w:val=""/>
      <w:lvlJc w:val="left"/>
      <w:pPr>
        <w:ind w:left="720" w:hanging="360"/>
      </w:pPr>
      <w:rPr>
        <w:rFonts w:ascii="Symbol" w:hAnsi="Symbol" w:hint="default"/>
      </w:rPr>
    </w:lvl>
    <w:lvl w:ilvl="1" w:tplc="961C39FE">
      <w:start w:val="1"/>
      <w:numFmt w:val="bullet"/>
      <w:lvlText w:val="o"/>
      <w:lvlJc w:val="left"/>
      <w:pPr>
        <w:ind w:left="1440" w:hanging="360"/>
      </w:pPr>
      <w:rPr>
        <w:rFonts w:ascii="Courier New" w:hAnsi="Courier New" w:hint="default"/>
      </w:rPr>
    </w:lvl>
    <w:lvl w:ilvl="2" w:tplc="13DC2228">
      <w:start w:val="1"/>
      <w:numFmt w:val="bullet"/>
      <w:lvlText w:val=""/>
      <w:lvlJc w:val="left"/>
      <w:pPr>
        <w:ind w:left="2160" w:hanging="360"/>
      </w:pPr>
      <w:rPr>
        <w:rFonts w:ascii="Wingdings" w:hAnsi="Wingdings" w:hint="default"/>
      </w:rPr>
    </w:lvl>
    <w:lvl w:ilvl="3" w:tplc="DF08BB1A">
      <w:start w:val="1"/>
      <w:numFmt w:val="bullet"/>
      <w:lvlText w:val=""/>
      <w:lvlJc w:val="left"/>
      <w:pPr>
        <w:ind w:left="2880" w:hanging="360"/>
      </w:pPr>
      <w:rPr>
        <w:rFonts w:ascii="Symbol" w:hAnsi="Symbol" w:hint="default"/>
      </w:rPr>
    </w:lvl>
    <w:lvl w:ilvl="4" w:tplc="73527916">
      <w:start w:val="1"/>
      <w:numFmt w:val="bullet"/>
      <w:lvlText w:val="o"/>
      <w:lvlJc w:val="left"/>
      <w:pPr>
        <w:ind w:left="3600" w:hanging="360"/>
      </w:pPr>
      <w:rPr>
        <w:rFonts w:ascii="Courier New" w:hAnsi="Courier New" w:hint="default"/>
      </w:rPr>
    </w:lvl>
    <w:lvl w:ilvl="5" w:tplc="A9C2004A">
      <w:start w:val="1"/>
      <w:numFmt w:val="bullet"/>
      <w:lvlText w:val=""/>
      <w:lvlJc w:val="left"/>
      <w:pPr>
        <w:ind w:left="4320" w:hanging="360"/>
      </w:pPr>
      <w:rPr>
        <w:rFonts w:ascii="Wingdings" w:hAnsi="Wingdings" w:hint="default"/>
      </w:rPr>
    </w:lvl>
    <w:lvl w:ilvl="6" w:tplc="93C2EBAA">
      <w:start w:val="1"/>
      <w:numFmt w:val="bullet"/>
      <w:lvlText w:val=""/>
      <w:lvlJc w:val="left"/>
      <w:pPr>
        <w:ind w:left="5040" w:hanging="360"/>
      </w:pPr>
      <w:rPr>
        <w:rFonts w:ascii="Symbol" w:hAnsi="Symbol" w:hint="default"/>
      </w:rPr>
    </w:lvl>
    <w:lvl w:ilvl="7" w:tplc="7F9876DA">
      <w:start w:val="1"/>
      <w:numFmt w:val="bullet"/>
      <w:lvlText w:val="o"/>
      <w:lvlJc w:val="left"/>
      <w:pPr>
        <w:ind w:left="5760" w:hanging="360"/>
      </w:pPr>
      <w:rPr>
        <w:rFonts w:ascii="Courier New" w:hAnsi="Courier New" w:hint="default"/>
      </w:rPr>
    </w:lvl>
    <w:lvl w:ilvl="8" w:tplc="23584284">
      <w:start w:val="1"/>
      <w:numFmt w:val="bullet"/>
      <w:lvlText w:val=""/>
      <w:lvlJc w:val="left"/>
      <w:pPr>
        <w:ind w:left="6480" w:hanging="360"/>
      </w:pPr>
      <w:rPr>
        <w:rFonts w:ascii="Wingdings" w:hAnsi="Wingdings" w:hint="default"/>
      </w:rPr>
    </w:lvl>
  </w:abstractNum>
  <w:abstractNum w:abstractNumId="26" w15:restartNumberingAfterBreak="0">
    <w:nsid w:val="50975E75"/>
    <w:multiLevelType w:val="hybridMultilevel"/>
    <w:tmpl w:val="1A045362"/>
    <w:lvl w:ilvl="0" w:tplc="6BA8A272">
      <w:start w:val="1"/>
      <w:numFmt w:val="bullet"/>
      <w:lvlText w:val=""/>
      <w:lvlJc w:val="left"/>
      <w:pPr>
        <w:ind w:left="720" w:hanging="360"/>
      </w:pPr>
      <w:rPr>
        <w:rFonts w:ascii="Symbol" w:hAnsi="Symbol" w:hint="default"/>
      </w:rPr>
    </w:lvl>
    <w:lvl w:ilvl="1" w:tplc="64BC1F88">
      <w:start w:val="1"/>
      <w:numFmt w:val="bullet"/>
      <w:lvlText w:val="o"/>
      <w:lvlJc w:val="left"/>
      <w:pPr>
        <w:ind w:left="1440" w:hanging="360"/>
      </w:pPr>
      <w:rPr>
        <w:rFonts w:ascii="Courier New" w:hAnsi="Courier New" w:hint="default"/>
      </w:rPr>
    </w:lvl>
    <w:lvl w:ilvl="2" w:tplc="F6CA39F6">
      <w:start w:val="1"/>
      <w:numFmt w:val="bullet"/>
      <w:lvlText w:val=""/>
      <w:lvlJc w:val="left"/>
      <w:pPr>
        <w:ind w:left="2160" w:hanging="360"/>
      </w:pPr>
      <w:rPr>
        <w:rFonts w:ascii="Wingdings" w:hAnsi="Wingdings" w:hint="default"/>
      </w:rPr>
    </w:lvl>
    <w:lvl w:ilvl="3" w:tplc="12768C4E">
      <w:start w:val="1"/>
      <w:numFmt w:val="bullet"/>
      <w:lvlText w:val=""/>
      <w:lvlJc w:val="left"/>
      <w:pPr>
        <w:ind w:left="2880" w:hanging="360"/>
      </w:pPr>
      <w:rPr>
        <w:rFonts w:ascii="Symbol" w:hAnsi="Symbol" w:hint="default"/>
      </w:rPr>
    </w:lvl>
    <w:lvl w:ilvl="4" w:tplc="26423EC2">
      <w:start w:val="1"/>
      <w:numFmt w:val="bullet"/>
      <w:lvlText w:val="o"/>
      <w:lvlJc w:val="left"/>
      <w:pPr>
        <w:ind w:left="3600" w:hanging="360"/>
      </w:pPr>
      <w:rPr>
        <w:rFonts w:ascii="Courier New" w:hAnsi="Courier New" w:hint="default"/>
      </w:rPr>
    </w:lvl>
    <w:lvl w:ilvl="5" w:tplc="FE325A0C">
      <w:start w:val="1"/>
      <w:numFmt w:val="bullet"/>
      <w:lvlText w:val=""/>
      <w:lvlJc w:val="left"/>
      <w:pPr>
        <w:ind w:left="4320" w:hanging="360"/>
      </w:pPr>
      <w:rPr>
        <w:rFonts w:ascii="Wingdings" w:hAnsi="Wingdings" w:hint="default"/>
      </w:rPr>
    </w:lvl>
    <w:lvl w:ilvl="6" w:tplc="15A47248">
      <w:start w:val="1"/>
      <w:numFmt w:val="bullet"/>
      <w:lvlText w:val=""/>
      <w:lvlJc w:val="left"/>
      <w:pPr>
        <w:ind w:left="5040" w:hanging="360"/>
      </w:pPr>
      <w:rPr>
        <w:rFonts w:ascii="Symbol" w:hAnsi="Symbol" w:hint="default"/>
      </w:rPr>
    </w:lvl>
    <w:lvl w:ilvl="7" w:tplc="CCEAB96A">
      <w:start w:val="1"/>
      <w:numFmt w:val="bullet"/>
      <w:lvlText w:val="o"/>
      <w:lvlJc w:val="left"/>
      <w:pPr>
        <w:ind w:left="5760" w:hanging="360"/>
      </w:pPr>
      <w:rPr>
        <w:rFonts w:ascii="Courier New" w:hAnsi="Courier New" w:hint="default"/>
      </w:rPr>
    </w:lvl>
    <w:lvl w:ilvl="8" w:tplc="9E5846EC">
      <w:start w:val="1"/>
      <w:numFmt w:val="bullet"/>
      <w:lvlText w:val=""/>
      <w:lvlJc w:val="left"/>
      <w:pPr>
        <w:ind w:left="6480" w:hanging="360"/>
      </w:pPr>
      <w:rPr>
        <w:rFonts w:ascii="Wingdings" w:hAnsi="Wingdings" w:hint="default"/>
      </w:rPr>
    </w:lvl>
  </w:abstractNum>
  <w:abstractNum w:abstractNumId="27" w15:restartNumberingAfterBreak="0">
    <w:nsid w:val="5C12FEE0"/>
    <w:multiLevelType w:val="hybridMultilevel"/>
    <w:tmpl w:val="CEF06E0C"/>
    <w:lvl w:ilvl="0" w:tplc="51B29CD2">
      <w:start w:val="1"/>
      <w:numFmt w:val="bullet"/>
      <w:lvlText w:val=""/>
      <w:lvlJc w:val="left"/>
      <w:pPr>
        <w:ind w:left="720" w:hanging="360"/>
      </w:pPr>
      <w:rPr>
        <w:rFonts w:ascii="Symbol" w:hAnsi="Symbol" w:hint="default"/>
      </w:rPr>
    </w:lvl>
    <w:lvl w:ilvl="1" w:tplc="989AAFCE">
      <w:start w:val="1"/>
      <w:numFmt w:val="bullet"/>
      <w:lvlText w:val="o"/>
      <w:lvlJc w:val="left"/>
      <w:pPr>
        <w:ind w:left="1440" w:hanging="360"/>
      </w:pPr>
      <w:rPr>
        <w:rFonts w:ascii="Courier New" w:hAnsi="Courier New" w:hint="default"/>
      </w:rPr>
    </w:lvl>
    <w:lvl w:ilvl="2" w:tplc="19B0D344">
      <w:start w:val="1"/>
      <w:numFmt w:val="bullet"/>
      <w:lvlText w:val=""/>
      <w:lvlJc w:val="left"/>
      <w:pPr>
        <w:ind w:left="2160" w:hanging="360"/>
      </w:pPr>
      <w:rPr>
        <w:rFonts w:ascii="Wingdings" w:hAnsi="Wingdings" w:hint="default"/>
      </w:rPr>
    </w:lvl>
    <w:lvl w:ilvl="3" w:tplc="57EA3BEE">
      <w:start w:val="1"/>
      <w:numFmt w:val="bullet"/>
      <w:lvlText w:val=""/>
      <w:lvlJc w:val="left"/>
      <w:pPr>
        <w:ind w:left="2880" w:hanging="360"/>
      </w:pPr>
      <w:rPr>
        <w:rFonts w:ascii="Symbol" w:hAnsi="Symbol" w:hint="default"/>
      </w:rPr>
    </w:lvl>
    <w:lvl w:ilvl="4" w:tplc="66A2AD86">
      <w:start w:val="1"/>
      <w:numFmt w:val="bullet"/>
      <w:lvlText w:val="o"/>
      <w:lvlJc w:val="left"/>
      <w:pPr>
        <w:ind w:left="3600" w:hanging="360"/>
      </w:pPr>
      <w:rPr>
        <w:rFonts w:ascii="Courier New" w:hAnsi="Courier New" w:hint="default"/>
      </w:rPr>
    </w:lvl>
    <w:lvl w:ilvl="5" w:tplc="817269D6">
      <w:start w:val="1"/>
      <w:numFmt w:val="bullet"/>
      <w:lvlText w:val=""/>
      <w:lvlJc w:val="left"/>
      <w:pPr>
        <w:ind w:left="4320" w:hanging="360"/>
      </w:pPr>
      <w:rPr>
        <w:rFonts w:ascii="Wingdings" w:hAnsi="Wingdings" w:hint="default"/>
      </w:rPr>
    </w:lvl>
    <w:lvl w:ilvl="6" w:tplc="C7CA1E54">
      <w:start w:val="1"/>
      <w:numFmt w:val="bullet"/>
      <w:lvlText w:val=""/>
      <w:lvlJc w:val="left"/>
      <w:pPr>
        <w:ind w:left="5040" w:hanging="360"/>
      </w:pPr>
      <w:rPr>
        <w:rFonts w:ascii="Symbol" w:hAnsi="Symbol" w:hint="default"/>
      </w:rPr>
    </w:lvl>
    <w:lvl w:ilvl="7" w:tplc="051C3C68">
      <w:start w:val="1"/>
      <w:numFmt w:val="bullet"/>
      <w:lvlText w:val="o"/>
      <w:lvlJc w:val="left"/>
      <w:pPr>
        <w:ind w:left="5760" w:hanging="360"/>
      </w:pPr>
      <w:rPr>
        <w:rFonts w:ascii="Courier New" w:hAnsi="Courier New" w:hint="default"/>
      </w:rPr>
    </w:lvl>
    <w:lvl w:ilvl="8" w:tplc="ABA8DBCC">
      <w:start w:val="1"/>
      <w:numFmt w:val="bullet"/>
      <w:lvlText w:val=""/>
      <w:lvlJc w:val="left"/>
      <w:pPr>
        <w:ind w:left="6480" w:hanging="360"/>
      </w:pPr>
      <w:rPr>
        <w:rFonts w:ascii="Wingdings" w:hAnsi="Wingdings" w:hint="default"/>
      </w:rPr>
    </w:lvl>
  </w:abstractNum>
  <w:abstractNum w:abstractNumId="28" w15:restartNumberingAfterBreak="0">
    <w:nsid w:val="5D0B547E"/>
    <w:multiLevelType w:val="hybridMultilevel"/>
    <w:tmpl w:val="D15C59A0"/>
    <w:lvl w:ilvl="0" w:tplc="C03A24AC">
      <w:start w:val="1"/>
      <w:numFmt w:val="bullet"/>
      <w:lvlText w:val=""/>
      <w:lvlJc w:val="left"/>
      <w:pPr>
        <w:ind w:left="720" w:hanging="360"/>
      </w:pPr>
      <w:rPr>
        <w:rFonts w:ascii="Symbol" w:hAnsi="Symbol" w:hint="default"/>
      </w:rPr>
    </w:lvl>
    <w:lvl w:ilvl="1" w:tplc="62E6942A">
      <w:start w:val="1"/>
      <w:numFmt w:val="bullet"/>
      <w:lvlText w:val="o"/>
      <w:lvlJc w:val="left"/>
      <w:pPr>
        <w:ind w:left="1440" w:hanging="360"/>
      </w:pPr>
      <w:rPr>
        <w:rFonts w:ascii="Courier New" w:hAnsi="Courier New" w:hint="default"/>
      </w:rPr>
    </w:lvl>
    <w:lvl w:ilvl="2" w:tplc="BCA6DF9E">
      <w:start w:val="1"/>
      <w:numFmt w:val="bullet"/>
      <w:lvlText w:val=""/>
      <w:lvlJc w:val="left"/>
      <w:pPr>
        <w:ind w:left="2160" w:hanging="360"/>
      </w:pPr>
      <w:rPr>
        <w:rFonts w:ascii="Wingdings" w:hAnsi="Wingdings" w:hint="default"/>
      </w:rPr>
    </w:lvl>
    <w:lvl w:ilvl="3" w:tplc="38DEEE36">
      <w:start w:val="1"/>
      <w:numFmt w:val="bullet"/>
      <w:lvlText w:val=""/>
      <w:lvlJc w:val="left"/>
      <w:pPr>
        <w:ind w:left="2880" w:hanging="360"/>
      </w:pPr>
      <w:rPr>
        <w:rFonts w:ascii="Symbol" w:hAnsi="Symbol" w:hint="default"/>
      </w:rPr>
    </w:lvl>
    <w:lvl w:ilvl="4" w:tplc="1652AE4E">
      <w:start w:val="1"/>
      <w:numFmt w:val="bullet"/>
      <w:lvlText w:val="o"/>
      <w:lvlJc w:val="left"/>
      <w:pPr>
        <w:ind w:left="3600" w:hanging="360"/>
      </w:pPr>
      <w:rPr>
        <w:rFonts w:ascii="Courier New" w:hAnsi="Courier New" w:hint="default"/>
      </w:rPr>
    </w:lvl>
    <w:lvl w:ilvl="5" w:tplc="6556EF28">
      <w:start w:val="1"/>
      <w:numFmt w:val="bullet"/>
      <w:lvlText w:val=""/>
      <w:lvlJc w:val="left"/>
      <w:pPr>
        <w:ind w:left="4320" w:hanging="360"/>
      </w:pPr>
      <w:rPr>
        <w:rFonts w:ascii="Wingdings" w:hAnsi="Wingdings" w:hint="default"/>
      </w:rPr>
    </w:lvl>
    <w:lvl w:ilvl="6" w:tplc="86028784">
      <w:start w:val="1"/>
      <w:numFmt w:val="bullet"/>
      <w:lvlText w:val=""/>
      <w:lvlJc w:val="left"/>
      <w:pPr>
        <w:ind w:left="5040" w:hanging="360"/>
      </w:pPr>
      <w:rPr>
        <w:rFonts w:ascii="Symbol" w:hAnsi="Symbol" w:hint="default"/>
      </w:rPr>
    </w:lvl>
    <w:lvl w:ilvl="7" w:tplc="494E9398">
      <w:start w:val="1"/>
      <w:numFmt w:val="bullet"/>
      <w:lvlText w:val="o"/>
      <w:lvlJc w:val="left"/>
      <w:pPr>
        <w:ind w:left="5760" w:hanging="360"/>
      </w:pPr>
      <w:rPr>
        <w:rFonts w:ascii="Courier New" w:hAnsi="Courier New" w:hint="default"/>
      </w:rPr>
    </w:lvl>
    <w:lvl w:ilvl="8" w:tplc="9DC65A9C">
      <w:start w:val="1"/>
      <w:numFmt w:val="bullet"/>
      <w:lvlText w:val=""/>
      <w:lvlJc w:val="left"/>
      <w:pPr>
        <w:ind w:left="6480" w:hanging="360"/>
      </w:pPr>
      <w:rPr>
        <w:rFonts w:ascii="Wingdings" w:hAnsi="Wingdings" w:hint="default"/>
      </w:rPr>
    </w:lvl>
  </w:abstractNum>
  <w:abstractNum w:abstractNumId="29" w15:restartNumberingAfterBreak="0">
    <w:nsid w:val="62FD74BB"/>
    <w:multiLevelType w:val="hybridMultilevel"/>
    <w:tmpl w:val="ED9294A0"/>
    <w:lvl w:ilvl="0" w:tplc="5964BB3A">
      <w:start w:val="1"/>
      <w:numFmt w:val="bullet"/>
      <w:lvlText w:val=""/>
      <w:lvlJc w:val="left"/>
      <w:pPr>
        <w:ind w:left="720" w:hanging="360"/>
      </w:pPr>
      <w:rPr>
        <w:rFonts w:ascii="Symbol" w:hAnsi="Symbol" w:hint="default"/>
      </w:rPr>
    </w:lvl>
    <w:lvl w:ilvl="1" w:tplc="1256DF98">
      <w:start w:val="1"/>
      <w:numFmt w:val="bullet"/>
      <w:lvlText w:val="o"/>
      <w:lvlJc w:val="left"/>
      <w:pPr>
        <w:ind w:left="1440" w:hanging="360"/>
      </w:pPr>
      <w:rPr>
        <w:rFonts w:ascii="Courier New" w:hAnsi="Courier New" w:hint="default"/>
      </w:rPr>
    </w:lvl>
    <w:lvl w:ilvl="2" w:tplc="693A590A">
      <w:start w:val="1"/>
      <w:numFmt w:val="bullet"/>
      <w:lvlText w:val=""/>
      <w:lvlJc w:val="left"/>
      <w:pPr>
        <w:ind w:left="2160" w:hanging="360"/>
      </w:pPr>
      <w:rPr>
        <w:rFonts w:ascii="Wingdings" w:hAnsi="Wingdings" w:hint="default"/>
      </w:rPr>
    </w:lvl>
    <w:lvl w:ilvl="3" w:tplc="550E8656">
      <w:start w:val="1"/>
      <w:numFmt w:val="bullet"/>
      <w:lvlText w:val=""/>
      <w:lvlJc w:val="left"/>
      <w:pPr>
        <w:ind w:left="2880" w:hanging="360"/>
      </w:pPr>
      <w:rPr>
        <w:rFonts w:ascii="Symbol" w:hAnsi="Symbol" w:hint="default"/>
      </w:rPr>
    </w:lvl>
    <w:lvl w:ilvl="4" w:tplc="200E4108">
      <w:start w:val="1"/>
      <w:numFmt w:val="bullet"/>
      <w:lvlText w:val="o"/>
      <w:lvlJc w:val="left"/>
      <w:pPr>
        <w:ind w:left="3600" w:hanging="360"/>
      </w:pPr>
      <w:rPr>
        <w:rFonts w:ascii="Courier New" w:hAnsi="Courier New" w:hint="default"/>
      </w:rPr>
    </w:lvl>
    <w:lvl w:ilvl="5" w:tplc="3D3C8A6E">
      <w:start w:val="1"/>
      <w:numFmt w:val="bullet"/>
      <w:lvlText w:val=""/>
      <w:lvlJc w:val="left"/>
      <w:pPr>
        <w:ind w:left="4320" w:hanging="360"/>
      </w:pPr>
      <w:rPr>
        <w:rFonts w:ascii="Wingdings" w:hAnsi="Wingdings" w:hint="default"/>
      </w:rPr>
    </w:lvl>
    <w:lvl w:ilvl="6" w:tplc="19506B04">
      <w:start w:val="1"/>
      <w:numFmt w:val="bullet"/>
      <w:lvlText w:val=""/>
      <w:lvlJc w:val="left"/>
      <w:pPr>
        <w:ind w:left="5040" w:hanging="360"/>
      </w:pPr>
      <w:rPr>
        <w:rFonts w:ascii="Symbol" w:hAnsi="Symbol" w:hint="default"/>
      </w:rPr>
    </w:lvl>
    <w:lvl w:ilvl="7" w:tplc="E6A838EA">
      <w:start w:val="1"/>
      <w:numFmt w:val="bullet"/>
      <w:lvlText w:val="o"/>
      <w:lvlJc w:val="left"/>
      <w:pPr>
        <w:ind w:left="5760" w:hanging="360"/>
      </w:pPr>
      <w:rPr>
        <w:rFonts w:ascii="Courier New" w:hAnsi="Courier New" w:hint="default"/>
      </w:rPr>
    </w:lvl>
    <w:lvl w:ilvl="8" w:tplc="C584F318">
      <w:start w:val="1"/>
      <w:numFmt w:val="bullet"/>
      <w:lvlText w:val=""/>
      <w:lvlJc w:val="left"/>
      <w:pPr>
        <w:ind w:left="6480" w:hanging="360"/>
      </w:pPr>
      <w:rPr>
        <w:rFonts w:ascii="Wingdings" w:hAnsi="Wingdings" w:hint="default"/>
      </w:rPr>
    </w:lvl>
  </w:abstractNum>
  <w:abstractNum w:abstractNumId="30" w15:restartNumberingAfterBreak="0">
    <w:nsid w:val="63DD34F2"/>
    <w:multiLevelType w:val="hybridMultilevel"/>
    <w:tmpl w:val="091A9AA6"/>
    <w:lvl w:ilvl="0" w:tplc="57BC5B76">
      <w:start w:val="1"/>
      <w:numFmt w:val="bullet"/>
      <w:lvlText w:val=""/>
      <w:lvlJc w:val="left"/>
      <w:pPr>
        <w:ind w:left="720" w:hanging="360"/>
      </w:pPr>
      <w:rPr>
        <w:rFonts w:ascii="Symbol" w:hAnsi="Symbol" w:hint="default"/>
      </w:rPr>
    </w:lvl>
    <w:lvl w:ilvl="1" w:tplc="19981E6E">
      <w:start w:val="1"/>
      <w:numFmt w:val="bullet"/>
      <w:lvlText w:val="o"/>
      <w:lvlJc w:val="left"/>
      <w:pPr>
        <w:ind w:left="1440" w:hanging="360"/>
      </w:pPr>
      <w:rPr>
        <w:rFonts w:ascii="Courier New" w:hAnsi="Courier New" w:hint="default"/>
      </w:rPr>
    </w:lvl>
    <w:lvl w:ilvl="2" w:tplc="BA58787A">
      <w:start w:val="1"/>
      <w:numFmt w:val="bullet"/>
      <w:lvlText w:val=""/>
      <w:lvlJc w:val="left"/>
      <w:pPr>
        <w:ind w:left="2160" w:hanging="360"/>
      </w:pPr>
      <w:rPr>
        <w:rFonts w:ascii="Wingdings" w:hAnsi="Wingdings" w:hint="default"/>
      </w:rPr>
    </w:lvl>
    <w:lvl w:ilvl="3" w:tplc="7AAC89EE">
      <w:start w:val="1"/>
      <w:numFmt w:val="bullet"/>
      <w:lvlText w:val=""/>
      <w:lvlJc w:val="left"/>
      <w:pPr>
        <w:ind w:left="2880" w:hanging="360"/>
      </w:pPr>
      <w:rPr>
        <w:rFonts w:ascii="Symbol" w:hAnsi="Symbol" w:hint="default"/>
      </w:rPr>
    </w:lvl>
    <w:lvl w:ilvl="4" w:tplc="09C059AE">
      <w:start w:val="1"/>
      <w:numFmt w:val="bullet"/>
      <w:lvlText w:val="o"/>
      <w:lvlJc w:val="left"/>
      <w:pPr>
        <w:ind w:left="3600" w:hanging="360"/>
      </w:pPr>
      <w:rPr>
        <w:rFonts w:ascii="Courier New" w:hAnsi="Courier New" w:hint="default"/>
      </w:rPr>
    </w:lvl>
    <w:lvl w:ilvl="5" w:tplc="CF6E6528">
      <w:start w:val="1"/>
      <w:numFmt w:val="bullet"/>
      <w:lvlText w:val=""/>
      <w:lvlJc w:val="left"/>
      <w:pPr>
        <w:ind w:left="4320" w:hanging="360"/>
      </w:pPr>
      <w:rPr>
        <w:rFonts w:ascii="Wingdings" w:hAnsi="Wingdings" w:hint="default"/>
      </w:rPr>
    </w:lvl>
    <w:lvl w:ilvl="6" w:tplc="2A94E0C0">
      <w:start w:val="1"/>
      <w:numFmt w:val="bullet"/>
      <w:lvlText w:val=""/>
      <w:lvlJc w:val="left"/>
      <w:pPr>
        <w:ind w:left="5040" w:hanging="360"/>
      </w:pPr>
      <w:rPr>
        <w:rFonts w:ascii="Symbol" w:hAnsi="Symbol" w:hint="default"/>
      </w:rPr>
    </w:lvl>
    <w:lvl w:ilvl="7" w:tplc="D8DCE726">
      <w:start w:val="1"/>
      <w:numFmt w:val="bullet"/>
      <w:lvlText w:val="o"/>
      <w:lvlJc w:val="left"/>
      <w:pPr>
        <w:ind w:left="5760" w:hanging="360"/>
      </w:pPr>
      <w:rPr>
        <w:rFonts w:ascii="Courier New" w:hAnsi="Courier New" w:hint="default"/>
      </w:rPr>
    </w:lvl>
    <w:lvl w:ilvl="8" w:tplc="45C03D64">
      <w:start w:val="1"/>
      <w:numFmt w:val="bullet"/>
      <w:lvlText w:val=""/>
      <w:lvlJc w:val="left"/>
      <w:pPr>
        <w:ind w:left="6480" w:hanging="360"/>
      </w:pPr>
      <w:rPr>
        <w:rFonts w:ascii="Wingdings" w:hAnsi="Wingdings" w:hint="default"/>
      </w:rPr>
    </w:lvl>
  </w:abstractNum>
  <w:abstractNum w:abstractNumId="31" w15:restartNumberingAfterBreak="0">
    <w:nsid w:val="68933A83"/>
    <w:multiLevelType w:val="multilevel"/>
    <w:tmpl w:val="972E3A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E3B1D33"/>
    <w:multiLevelType w:val="hybridMultilevel"/>
    <w:tmpl w:val="C1C2D616"/>
    <w:lvl w:ilvl="0" w:tplc="B2CCC684">
      <w:start w:val="1"/>
      <w:numFmt w:val="bullet"/>
      <w:lvlText w:val=""/>
      <w:lvlJc w:val="left"/>
      <w:pPr>
        <w:ind w:left="720" w:hanging="360"/>
      </w:pPr>
      <w:rPr>
        <w:rFonts w:ascii="Symbol" w:hAnsi="Symbol" w:hint="default"/>
      </w:rPr>
    </w:lvl>
    <w:lvl w:ilvl="1" w:tplc="315CF9A6">
      <w:start w:val="1"/>
      <w:numFmt w:val="bullet"/>
      <w:lvlText w:val="o"/>
      <w:lvlJc w:val="left"/>
      <w:pPr>
        <w:ind w:left="1440" w:hanging="360"/>
      </w:pPr>
      <w:rPr>
        <w:rFonts w:ascii="Courier New" w:hAnsi="Courier New" w:hint="default"/>
      </w:rPr>
    </w:lvl>
    <w:lvl w:ilvl="2" w:tplc="0B622898">
      <w:start w:val="1"/>
      <w:numFmt w:val="bullet"/>
      <w:lvlText w:val=""/>
      <w:lvlJc w:val="left"/>
      <w:pPr>
        <w:ind w:left="2160" w:hanging="360"/>
      </w:pPr>
      <w:rPr>
        <w:rFonts w:ascii="Wingdings" w:hAnsi="Wingdings" w:hint="default"/>
      </w:rPr>
    </w:lvl>
    <w:lvl w:ilvl="3" w:tplc="B9A0DB20">
      <w:start w:val="1"/>
      <w:numFmt w:val="bullet"/>
      <w:lvlText w:val=""/>
      <w:lvlJc w:val="left"/>
      <w:pPr>
        <w:ind w:left="2880" w:hanging="360"/>
      </w:pPr>
      <w:rPr>
        <w:rFonts w:ascii="Symbol" w:hAnsi="Symbol" w:hint="default"/>
      </w:rPr>
    </w:lvl>
    <w:lvl w:ilvl="4" w:tplc="E10AEA78">
      <w:start w:val="1"/>
      <w:numFmt w:val="bullet"/>
      <w:lvlText w:val="o"/>
      <w:lvlJc w:val="left"/>
      <w:pPr>
        <w:ind w:left="3600" w:hanging="360"/>
      </w:pPr>
      <w:rPr>
        <w:rFonts w:ascii="Courier New" w:hAnsi="Courier New" w:hint="default"/>
      </w:rPr>
    </w:lvl>
    <w:lvl w:ilvl="5" w:tplc="853485CC">
      <w:start w:val="1"/>
      <w:numFmt w:val="bullet"/>
      <w:lvlText w:val=""/>
      <w:lvlJc w:val="left"/>
      <w:pPr>
        <w:ind w:left="4320" w:hanging="360"/>
      </w:pPr>
      <w:rPr>
        <w:rFonts w:ascii="Wingdings" w:hAnsi="Wingdings" w:hint="default"/>
      </w:rPr>
    </w:lvl>
    <w:lvl w:ilvl="6" w:tplc="708E8000">
      <w:start w:val="1"/>
      <w:numFmt w:val="bullet"/>
      <w:lvlText w:val=""/>
      <w:lvlJc w:val="left"/>
      <w:pPr>
        <w:ind w:left="5040" w:hanging="360"/>
      </w:pPr>
      <w:rPr>
        <w:rFonts w:ascii="Symbol" w:hAnsi="Symbol" w:hint="default"/>
      </w:rPr>
    </w:lvl>
    <w:lvl w:ilvl="7" w:tplc="16A642C4">
      <w:start w:val="1"/>
      <w:numFmt w:val="bullet"/>
      <w:lvlText w:val="o"/>
      <w:lvlJc w:val="left"/>
      <w:pPr>
        <w:ind w:left="5760" w:hanging="360"/>
      </w:pPr>
      <w:rPr>
        <w:rFonts w:ascii="Courier New" w:hAnsi="Courier New" w:hint="default"/>
      </w:rPr>
    </w:lvl>
    <w:lvl w:ilvl="8" w:tplc="BCEEA1F4">
      <w:start w:val="1"/>
      <w:numFmt w:val="bullet"/>
      <w:lvlText w:val=""/>
      <w:lvlJc w:val="left"/>
      <w:pPr>
        <w:ind w:left="6480" w:hanging="360"/>
      </w:pPr>
      <w:rPr>
        <w:rFonts w:ascii="Wingdings" w:hAnsi="Wingdings" w:hint="default"/>
      </w:rPr>
    </w:lvl>
  </w:abstractNum>
  <w:abstractNum w:abstractNumId="33" w15:restartNumberingAfterBreak="0">
    <w:nsid w:val="71140261"/>
    <w:multiLevelType w:val="hybridMultilevel"/>
    <w:tmpl w:val="2B444D20"/>
    <w:lvl w:ilvl="0" w:tplc="32541D0A">
      <w:start w:val="1"/>
      <w:numFmt w:val="bullet"/>
      <w:lvlText w:val=""/>
      <w:lvlJc w:val="left"/>
      <w:pPr>
        <w:ind w:left="720" w:hanging="360"/>
      </w:pPr>
      <w:rPr>
        <w:rFonts w:ascii="Symbol" w:hAnsi="Symbol" w:hint="default"/>
      </w:rPr>
    </w:lvl>
    <w:lvl w:ilvl="1" w:tplc="4F36643A">
      <w:start w:val="1"/>
      <w:numFmt w:val="bullet"/>
      <w:lvlText w:val="o"/>
      <w:lvlJc w:val="left"/>
      <w:pPr>
        <w:ind w:left="1440" w:hanging="360"/>
      </w:pPr>
      <w:rPr>
        <w:rFonts w:ascii="Courier New" w:hAnsi="Courier New" w:hint="default"/>
      </w:rPr>
    </w:lvl>
    <w:lvl w:ilvl="2" w:tplc="A4AAB5F6">
      <w:start w:val="1"/>
      <w:numFmt w:val="bullet"/>
      <w:lvlText w:val=""/>
      <w:lvlJc w:val="left"/>
      <w:pPr>
        <w:ind w:left="2160" w:hanging="360"/>
      </w:pPr>
      <w:rPr>
        <w:rFonts w:ascii="Wingdings" w:hAnsi="Wingdings" w:hint="default"/>
      </w:rPr>
    </w:lvl>
    <w:lvl w:ilvl="3" w:tplc="12525B32">
      <w:start w:val="1"/>
      <w:numFmt w:val="bullet"/>
      <w:lvlText w:val=""/>
      <w:lvlJc w:val="left"/>
      <w:pPr>
        <w:ind w:left="2880" w:hanging="360"/>
      </w:pPr>
      <w:rPr>
        <w:rFonts w:ascii="Symbol" w:hAnsi="Symbol" w:hint="default"/>
      </w:rPr>
    </w:lvl>
    <w:lvl w:ilvl="4" w:tplc="F94212A4">
      <w:start w:val="1"/>
      <w:numFmt w:val="bullet"/>
      <w:lvlText w:val="o"/>
      <w:lvlJc w:val="left"/>
      <w:pPr>
        <w:ind w:left="3600" w:hanging="360"/>
      </w:pPr>
      <w:rPr>
        <w:rFonts w:ascii="Courier New" w:hAnsi="Courier New" w:hint="default"/>
      </w:rPr>
    </w:lvl>
    <w:lvl w:ilvl="5" w:tplc="876E1830">
      <w:start w:val="1"/>
      <w:numFmt w:val="bullet"/>
      <w:lvlText w:val=""/>
      <w:lvlJc w:val="left"/>
      <w:pPr>
        <w:ind w:left="4320" w:hanging="360"/>
      </w:pPr>
      <w:rPr>
        <w:rFonts w:ascii="Wingdings" w:hAnsi="Wingdings" w:hint="default"/>
      </w:rPr>
    </w:lvl>
    <w:lvl w:ilvl="6" w:tplc="4B42B894">
      <w:start w:val="1"/>
      <w:numFmt w:val="bullet"/>
      <w:lvlText w:val=""/>
      <w:lvlJc w:val="left"/>
      <w:pPr>
        <w:ind w:left="5040" w:hanging="360"/>
      </w:pPr>
      <w:rPr>
        <w:rFonts w:ascii="Symbol" w:hAnsi="Symbol" w:hint="default"/>
      </w:rPr>
    </w:lvl>
    <w:lvl w:ilvl="7" w:tplc="B25E3032">
      <w:start w:val="1"/>
      <w:numFmt w:val="bullet"/>
      <w:lvlText w:val="o"/>
      <w:lvlJc w:val="left"/>
      <w:pPr>
        <w:ind w:left="5760" w:hanging="360"/>
      </w:pPr>
      <w:rPr>
        <w:rFonts w:ascii="Courier New" w:hAnsi="Courier New" w:hint="default"/>
      </w:rPr>
    </w:lvl>
    <w:lvl w:ilvl="8" w:tplc="6A42BF10">
      <w:start w:val="1"/>
      <w:numFmt w:val="bullet"/>
      <w:lvlText w:val=""/>
      <w:lvlJc w:val="left"/>
      <w:pPr>
        <w:ind w:left="6480" w:hanging="360"/>
      </w:pPr>
      <w:rPr>
        <w:rFonts w:ascii="Wingdings" w:hAnsi="Wingdings" w:hint="default"/>
      </w:rPr>
    </w:lvl>
  </w:abstractNum>
  <w:abstractNum w:abstractNumId="34" w15:restartNumberingAfterBreak="0">
    <w:nsid w:val="726A7740"/>
    <w:multiLevelType w:val="hybridMultilevel"/>
    <w:tmpl w:val="871251AC"/>
    <w:lvl w:ilvl="0" w:tplc="9380326C">
      <w:start w:val="1"/>
      <w:numFmt w:val="bullet"/>
      <w:lvlText w:val=""/>
      <w:lvlJc w:val="left"/>
      <w:pPr>
        <w:ind w:left="720" w:hanging="360"/>
      </w:pPr>
      <w:rPr>
        <w:rFonts w:ascii="Symbol" w:hAnsi="Symbol" w:hint="default"/>
      </w:rPr>
    </w:lvl>
    <w:lvl w:ilvl="1" w:tplc="C5CCAAC8">
      <w:start w:val="1"/>
      <w:numFmt w:val="bullet"/>
      <w:lvlText w:val="o"/>
      <w:lvlJc w:val="left"/>
      <w:pPr>
        <w:ind w:left="1440" w:hanging="360"/>
      </w:pPr>
      <w:rPr>
        <w:rFonts w:ascii="Courier New" w:hAnsi="Courier New" w:hint="default"/>
      </w:rPr>
    </w:lvl>
    <w:lvl w:ilvl="2" w:tplc="3CAACB80">
      <w:start w:val="1"/>
      <w:numFmt w:val="bullet"/>
      <w:lvlText w:val=""/>
      <w:lvlJc w:val="left"/>
      <w:pPr>
        <w:ind w:left="2160" w:hanging="360"/>
      </w:pPr>
      <w:rPr>
        <w:rFonts w:ascii="Wingdings" w:hAnsi="Wingdings" w:hint="default"/>
      </w:rPr>
    </w:lvl>
    <w:lvl w:ilvl="3" w:tplc="6A9EC304">
      <w:start w:val="1"/>
      <w:numFmt w:val="bullet"/>
      <w:lvlText w:val=""/>
      <w:lvlJc w:val="left"/>
      <w:pPr>
        <w:ind w:left="2880" w:hanging="360"/>
      </w:pPr>
      <w:rPr>
        <w:rFonts w:ascii="Symbol" w:hAnsi="Symbol" w:hint="default"/>
      </w:rPr>
    </w:lvl>
    <w:lvl w:ilvl="4" w:tplc="E6BC770A">
      <w:start w:val="1"/>
      <w:numFmt w:val="bullet"/>
      <w:lvlText w:val="o"/>
      <w:lvlJc w:val="left"/>
      <w:pPr>
        <w:ind w:left="3600" w:hanging="360"/>
      </w:pPr>
      <w:rPr>
        <w:rFonts w:ascii="Courier New" w:hAnsi="Courier New" w:hint="default"/>
      </w:rPr>
    </w:lvl>
    <w:lvl w:ilvl="5" w:tplc="365A89DA">
      <w:start w:val="1"/>
      <w:numFmt w:val="bullet"/>
      <w:lvlText w:val=""/>
      <w:lvlJc w:val="left"/>
      <w:pPr>
        <w:ind w:left="4320" w:hanging="360"/>
      </w:pPr>
      <w:rPr>
        <w:rFonts w:ascii="Wingdings" w:hAnsi="Wingdings" w:hint="default"/>
      </w:rPr>
    </w:lvl>
    <w:lvl w:ilvl="6" w:tplc="F1DC3552">
      <w:start w:val="1"/>
      <w:numFmt w:val="bullet"/>
      <w:lvlText w:val=""/>
      <w:lvlJc w:val="left"/>
      <w:pPr>
        <w:ind w:left="5040" w:hanging="360"/>
      </w:pPr>
      <w:rPr>
        <w:rFonts w:ascii="Symbol" w:hAnsi="Symbol" w:hint="default"/>
      </w:rPr>
    </w:lvl>
    <w:lvl w:ilvl="7" w:tplc="FD1A9680">
      <w:start w:val="1"/>
      <w:numFmt w:val="bullet"/>
      <w:lvlText w:val="o"/>
      <w:lvlJc w:val="left"/>
      <w:pPr>
        <w:ind w:left="5760" w:hanging="360"/>
      </w:pPr>
      <w:rPr>
        <w:rFonts w:ascii="Courier New" w:hAnsi="Courier New" w:hint="default"/>
      </w:rPr>
    </w:lvl>
    <w:lvl w:ilvl="8" w:tplc="5C1637D2">
      <w:start w:val="1"/>
      <w:numFmt w:val="bullet"/>
      <w:lvlText w:val=""/>
      <w:lvlJc w:val="left"/>
      <w:pPr>
        <w:ind w:left="6480" w:hanging="360"/>
      </w:pPr>
      <w:rPr>
        <w:rFonts w:ascii="Wingdings" w:hAnsi="Wingdings" w:hint="default"/>
      </w:rPr>
    </w:lvl>
  </w:abstractNum>
  <w:abstractNum w:abstractNumId="35" w15:restartNumberingAfterBreak="0">
    <w:nsid w:val="7F8A31F9"/>
    <w:multiLevelType w:val="hybridMultilevel"/>
    <w:tmpl w:val="50206378"/>
    <w:lvl w:ilvl="0" w:tplc="6B52C0B4">
      <w:start w:val="1"/>
      <w:numFmt w:val="bullet"/>
      <w:lvlText w:val=""/>
      <w:lvlJc w:val="left"/>
      <w:pPr>
        <w:ind w:left="720" w:hanging="360"/>
      </w:pPr>
      <w:rPr>
        <w:rFonts w:ascii="Symbol" w:hAnsi="Symbol" w:hint="default"/>
      </w:rPr>
    </w:lvl>
    <w:lvl w:ilvl="1" w:tplc="3C2A6E18">
      <w:start w:val="1"/>
      <w:numFmt w:val="bullet"/>
      <w:lvlText w:val="o"/>
      <w:lvlJc w:val="left"/>
      <w:pPr>
        <w:ind w:left="1440" w:hanging="360"/>
      </w:pPr>
      <w:rPr>
        <w:rFonts w:ascii="Courier New" w:hAnsi="Courier New" w:hint="default"/>
      </w:rPr>
    </w:lvl>
    <w:lvl w:ilvl="2" w:tplc="F1921248">
      <w:start w:val="1"/>
      <w:numFmt w:val="bullet"/>
      <w:lvlText w:val=""/>
      <w:lvlJc w:val="left"/>
      <w:pPr>
        <w:ind w:left="2160" w:hanging="360"/>
      </w:pPr>
      <w:rPr>
        <w:rFonts w:ascii="Wingdings" w:hAnsi="Wingdings" w:hint="default"/>
      </w:rPr>
    </w:lvl>
    <w:lvl w:ilvl="3" w:tplc="D7A8E118">
      <w:start w:val="1"/>
      <w:numFmt w:val="bullet"/>
      <w:lvlText w:val=""/>
      <w:lvlJc w:val="left"/>
      <w:pPr>
        <w:ind w:left="2880" w:hanging="360"/>
      </w:pPr>
      <w:rPr>
        <w:rFonts w:ascii="Symbol" w:hAnsi="Symbol" w:hint="default"/>
      </w:rPr>
    </w:lvl>
    <w:lvl w:ilvl="4" w:tplc="D4C6528E">
      <w:start w:val="1"/>
      <w:numFmt w:val="bullet"/>
      <w:lvlText w:val="o"/>
      <w:lvlJc w:val="left"/>
      <w:pPr>
        <w:ind w:left="3600" w:hanging="360"/>
      </w:pPr>
      <w:rPr>
        <w:rFonts w:ascii="Courier New" w:hAnsi="Courier New" w:hint="default"/>
      </w:rPr>
    </w:lvl>
    <w:lvl w:ilvl="5" w:tplc="60D0A14C">
      <w:start w:val="1"/>
      <w:numFmt w:val="bullet"/>
      <w:lvlText w:val=""/>
      <w:lvlJc w:val="left"/>
      <w:pPr>
        <w:ind w:left="4320" w:hanging="360"/>
      </w:pPr>
      <w:rPr>
        <w:rFonts w:ascii="Wingdings" w:hAnsi="Wingdings" w:hint="default"/>
      </w:rPr>
    </w:lvl>
    <w:lvl w:ilvl="6" w:tplc="7954206A">
      <w:start w:val="1"/>
      <w:numFmt w:val="bullet"/>
      <w:lvlText w:val=""/>
      <w:lvlJc w:val="left"/>
      <w:pPr>
        <w:ind w:left="5040" w:hanging="360"/>
      </w:pPr>
      <w:rPr>
        <w:rFonts w:ascii="Symbol" w:hAnsi="Symbol" w:hint="default"/>
      </w:rPr>
    </w:lvl>
    <w:lvl w:ilvl="7" w:tplc="E7E4D7B4">
      <w:start w:val="1"/>
      <w:numFmt w:val="bullet"/>
      <w:lvlText w:val="o"/>
      <w:lvlJc w:val="left"/>
      <w:pPr>
        <w:ind w:left="5760" w:hanging="360"/>
      </w:pPr>
      <w:rPr>
        <w:rFonts w:ascii="Courier New" w:hAnsi="Courier New" w:hint="default"/>
      </w:rPr>
    </w:lvl>
    <w:lvl w:ilvl="8" w:tplc="8D3A4CA4">
      <w:start w:val="1"/>
      <w:numFmt w:val="bullet"/>
      <w:lvlText w:val=""/>
      <w:lvlJc w:val="left"/>
      <w:pPr>
        <w:ind w:left="6480" w:hanging="360"/>
      </w:pPr>
      <w:rPr>
        <w:rFonts w:ascii="Wingdings" w:hAnsi="Wingdings" w:hint="default"/>
      </w:rPr>
    </w:lvl>
  </w:abstractNum>
  <w:num w:numId="1" w16cid:durableId="1583878542">
    <w:abstractNumId w:val="29"/>
  </w:num>
  <w:num w:numId="2" w16cid:durableId="174154673">
    <w:abstractNumId w:val="23"/>
  </w:num>
  <w:num w:numId="3" w16cid:durableId="165751303">
    <w:abstractNumId w:val="16"/>
  </w:num>
  <w:num w:numId="4" w16cid:durableId="160388921">
    <w:abstractNumId w:val="7"/>
  </w:num>
  <w:num w:numId="5" w16cid:durableId="631252003">
    <w:abstractNumId w:val="3"/>
  </w:num>
  <w:num w:numId="6" w16cid:durableId="1380713921">
    <w:abstractNumId w:val="2"/>
  </w:num>
  <w:num w:numId="7" w16cid:durableId="942299476">
    <w:abstractNumId w:val="13"/>
  </w:num>
  <w:num w:numId="8" w16cid:durableId="1287810086">
    <w:abstractNumId w:val="18"/>
  </w:num>
  <w:num w:numId="9" w16cid:durableId="1026952647">
    <w:abstractNumId w:val="1"/>
  </w:num>
  <w:num w:numId="10" w16cid:durableId="946037313">
    <w:abstractNumId w:val="26"/>
  </w:num>
  <w:num w:numId="11" w16cid:durableId="831721539">
    <w:abstractNumId w:val="32"/>
  </w:num>
  <w:num w:numId="12" w16cid:durableId="812521269">
    <w:abstractNumId w:val="35"/>
  </w:num>
  <w:num w:numId="13" w16cid:durableId="1425305375">
    <w:abstractNumId w:val="14"/>
  </w:num>
  <w:num w:numId="14" w16cid:durableId="78217105">
    <w:abstractNumId w:val="11"/>
  </w:num>
  <w:num w:numId="15" w16cid:durableId="1778408544">
    <w:abstractNumId w:val="34"/>
  </w:num>
  <w:num w:numId="16" w16cid:durableId="2051370056">
    <w:abstractNumId w:val="12"/>
  </w:num>
  <w:num w:numId="17" w16cid:durableId="487140188">
    <w:abstractNumId w:val="24"/>
  </w:num>
  <w:num w:numId="18" w16cid:durableId="2077630354">
    <w:abstractNumId w:val="4"/>
  </w:num>
  <w:num w:numId="19" w16cid:durableId="1201165322">
    <w:abstractNumId w:val="0"/>
  </w:num>
  <w:num w:numId="20" w16cid:durableId="666907287">
    <w:abstractNumId w:val="20"/>
  </w:num>
  <w:num w:numId="21" w16cid:durableId="830173057">
    <w:abstractNumId w:val="19"/>
  </w:num>
  <w:num w:numId="22" w16cid:durableId="68426582">
    <w:abstractNumId w:val="30"/>
  </w:num>
  <w:num w:numId="23" w16cid:durableId="565183100">
    <w:abstractNumId w:val="17"/>
  </w:num>
  <w:num w:numId="24" w16cid:durableId="448596172">
    <w:abstractNumId w:val="6"/>
  </w:num>
  <w:num w:numId="25" w16cid:durableId="1816606866">
    <w:abstractNumId w:val="22"/>
  </w:num>
  <w:num w:numId="26" w16cid:durableId="1306085585">
    <w:abstractNumId w:val="27"/>
  </w:num>
  <w:num w:numId="27" w16cid:durableId="1251623949">
    <w:abstractNumId w:val="9"/>
  </w:num>
  <w:num w:numId="28" w16cid:durableId="844980095">
    <w:abstractNumId w:val="8"/>
  </w:num>
  <w:num w:numId="29" w16cid:durableId="2072847752">
    <w:abstractNumId w:val="33"/>
  </w:num>
  <w:num w:numId="30" w16cid:durableId="526873009">
    <w:abstractNumId w:val="25"/>
  </w:num>
  <w:num w:numId="31" w16cid:durableId="999232391">
    <w:abstractNumId w:val="5"/>
  </w:num>
  <w:num w:numId="32" w16cid:durableId="389575446">
    <w:abstractNumId w:val="15"/>
  </w:num>
  <w:num w:numId="33" w16cid:durableId="534578866">
    <w:abstractNumId w:val="28"/>
  </w:num>
  <w:num w:numId="34" w16cid:durableId="793252427">
    <w:abstractNumId w:val="21"/>
  </w:num>
  <w:num w:numId="35" w16cid:durableId="162014600">
    <w:abstractNumId w:val="10"/>
  </w:num>
  <w:num w:numId="36" w16cid:durableId="117565761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85D"/>
    <w:rsid w:val="002A5780"/>
    <w:rsid w:val="0038285D"/>
    <w:rsid w:val="004308F7"/>
    <w:rsid w:val="004B0260"/>
    <w:rsid w:val="00542DFB"/>
    <w:rsid w:val="005AAE89"/>
    <w:rsid w:val="00B62491"/>
    <w:rsid w:val="00D34735"/>
    <w:rsid w:val="00D91955"/>
    <w:rsid w:val="00E02FC6"/>
    <w:rsid w:val="00E3FEF6"/>
    <w:rsid w:val="0101BBF1"/>
    <w:rsid w:val="017217BB"/>
    <w:rsid w:val="01A1F0DA"/>
    <w:rsid w:val="01BB2CE6"/>
    <w:rsid w:val="01EB315C"/>
    <w:rsid w:val="01F4E20F"/>
    <w:rsid w:val="02585616"/>
    <w:rsid w:val="02E8F1B6"/>
    <w:rsid w:val="0355D7F6"/>
    <w:rsid w:val="03693F2E"/>
    <w:rsid w:val="036C718F"/>
    <w:rsid w:val="039F4EC9"/>
    <w:rsid w:val="03AD70AF"/>
    <w:rsid w:val="03B7DD2D"/>
    <w:rsid w:val="03B99CCE"/>
    <w:rsid w:val="03CAAB46"/>
    <w:rsid w:val="041511B1"/>
    <w:rsid w:val="044D0A9E"/>
    <w:rsid w:val="04736DA4"/>
    <w:rsid w:val="04751369"/>
    <w:rsid w:val="04930FBF"/>
    <w:rsid w:val="04CE7283"/>
    <w:rsid w:val="04FACF91"/>
    <w:rsid w:val="053D7564"/>
    <w:rsid w:val="054181C4"/>
    <w:rsid w:val="05D3E64C"/>
    <w:rsid w:val="05D47886"/>
    <w:rsid w:val="063C58F9"/>
    <w:rsid w:val="06694886"/>
    <w:rsid w:val="06CFF68F"/>
    <w:rsid w:val="070883A0"/>
    <w:rsid w:val="07222201"/>
    <w:rsid w:val="07356B63"/>
    <w:rsid w:val="07445963"/>
    <w:rsid w:val="075424F4"/>
    <w:rsid w:val="075D8EFD"/>
    <w:rsid w:val="0789C84D"/>
    <w:rsid w:val="07FBBDA3"/>
    <w:rsid w:val="0809FA3B"/>
    <w:rsid w:val="083F498F"/>
    <w:rsid w:val="085EE119"/>
    <w:rsid w:val="08666A3B"/>
    <w:rsid w:val="087DBE50"/>
    <w:rsid w:val="088021B4"/>
    <w:rsid w:val="088B88F1"/>
    <w:rsid w:val="08A6822D"/>
    <w:rsid w:val="08AE9A6E"/>
    <w:rsid w:val="08BC04C3"/>
    <w:rsid w:val="08D56D54"/>
    <w:rsid w:val="08D9A935"/>
    <w:rsid w:val="08DC6BF1"/>
    <w:rsid w:val="08E20897"/>
    <w:rsid w:val="08FAE66F"/>
    <w:rsid w:val="091CDBFA"/>
    <w:rsid w:val="09CC5473"/>
    <w:rsid w:val="09FCB659"/>
    <w:rsid w:val="0A1B6922"/>
    <w:rsid w:val="0A2C197C"/>
    <w:rsid w:val="0A39D0F2"/>
    <w:rsid w:val="0A47AE9E"/>
    <w:rsid w:val="0A58E83F"/>
    <w:rsid w:val="0A6C9AE5"/>
    <w:rsid w:val="0A91212C"/>
    <w:rsid w:val="0AE1AA4C"/>
    <w:rsid w:val="0B93C8F3"/>
    <w:rsid w:val="0BFF4434"/>
    <w:rsid w:val="0C039700"/>
    <w:rsid w:val="0C536D09"/>
    <w:rsid w:val="0C5DD98D"/>
    <w:rsid w:val="0CB580E8"/>
    <w:rsid w:val="0EBACDF0"/>
    <w:rsid w:val="0ED3F004"/>
    <w:rsid w:val="0F02AFF7"/>
    <w:rsid w:val="0F0805C6"/>
    <w:rsid w:val="0F3BAE72"/>
    <w:rsid w:val="0FCE418A"/>
    <w:rsid w:val="109B814D"/>
    <w:rsid w:val="10D44388"/>
    <w:rsid w:val="10DC9E79"/>
    <w:rsid w:val="114540AE"/>
    <w:rsid w:val="1147E182"/>
    <w:rsid w:val="11634DB6"/>
    <w:rsid w:val="1167D478"/>
    <w:rsid w:val="1176A0EF"/>
    <w:rsid w:val="11F8DEB0"/>
    <w:rsid w:val="124FDFC6"/>
    <w:rsid w:val="12523AE6"/>
    <w:rsid w:val="12601AAA"/>
    <w:rsid w:val="12897AB0"/>
    <w:rsid w:val="13042E48"/>
    <w:rsid w:val="13188939"/>
    <w:rsid w:val="1342548A"/>
    <w:rsid w:val="13468334"/>
    <w:rsid w:val="1346A197"/>
    <w:rsid w:val="136BF09E"/>
    <w:rsid w:val="139EA5F2"/>
    <w:rsid w:val="142E4BA4"/>
    <w:rsid w:val="1438BB3D"/>
    <w:rsid w:val="143A8FDD"/>
    <w:rsid w:val="1463FBB8"/>
    <w:rsid w:val="14711274"/>
    <w:rsid w:val="147205D0"/>
    <w:rsid w:val="147EEE51"/>
    <w:rsid w:val="14CE0A3F"/>
    <w:rsid w:val="14F1D2E7"/>
    <w:rsid w:val="150DF336"/>
    <w:rsid w:val="1521EEA3"/>
    <w:rsid w:val="155F601D"/>
    <w:rsid w:val="15A5F0F6"/>
    <w:rsid w:val="161A217F"/>
    <w:rsid w:val="161DFE2C"/>
    <w:rsid w:val="16FCBDEE"/>
    <w:rsid w:val="17022BBB"/>
    <w:rsid w:val="170DD81D"/>
    <w:rsid w:val="17A8906D"/>
    <w:rsid w:val="17C1DE8F"/>
    <w:rsid w:val="1800E33D"/>
    <w:rsid w:val="181A0EFE"/>
    <w:rsid w:val="18435A88"/>
    <w:rsid w:val="191863D6"/>
    <w:rsid w:val="198CA2F6"/>
    <w:rsid w:val="19E846D0"/>
    <w:rsid w:val="1A1FC7FC"/>
    <w:rsid w:val="1A559A8D"/>
    <w:rsid w:val="1A61A8FE"/>
    <w:rsid w:val="1A98E40C"/>
    <w:rsid w:val="1AA6D5C9"/>
    <w:rsid w:val="1ABF0270"/>
    <w:rsid w:val="1AEB0A1B"/>
    <w:rsid w:val="1B79D553"/>
    <w:rsid w:val="1BB0B1FF"/>
    <w:rsid w:val="1BC6C123"/>
    <w:rsid w:val="1BDC7C74"/>
    <w:rsid w:val="1CCC3612"/>
    <w:rsid w:val="1CDB195A"/>
    <w:rsid w:val="1CE32B46"/>
    <w:rsid w:val="1CEBFD6F"/>
    <w:rsid w:val="1D07ABC1"/>
    <w:rsid w:val="1D2E5EE5"/>
    <w:rsid w:val="1D34A082"/>
    <w:rsid w:val="1D46D318"/>
    <w:rsid w:val="1D5525D0"/>
    <w:rsid w:val="1D92F4E6"/>
    <w:rsid w:val="1D94F40D"/>
    <w:rsid w:val="1DD4F806"/>
    <w:rsid w:val="1E4EFAB6"/>
    <w:rsid w:val="1E6CA74B"/>
    <w:rsid w:val="1EA6A55F"/>
    <w:rsid w:val="1EE3B0BA"/>
    <w:rsid w:val="1F14E06E"/>
    <w:rsid w:val="1F297915"/>
    <w:rsid w:val="1F852F2F"/>
    <w:rsid w:val="1F8D07DC"/>
    <w:rsid w:val="1F9D984C"/>
    <w:rsid w:val="1FAA5020"/>
    <w:rsid w:val="1FB482B7"/>
    <w:rsid w:val="1FB72988"/>
    <w:rsid w:val="1FB84D20"/>
    <w:rsid w:val="20062436"/>
    <w:rsid w:val="205BC4FB"/>
    <w:rsid w:val="206A4563"/>
    <w:rsid w:val="2090715A"/>
    <w:rsid w:val="2093CDFC"/>
    <w:rsid w:val="20CE38E2"/>
    <w:rsid w:val="21192C0A"/>
    <w:rsid w:val="21397C3A"/>
    <w:rsid w:val="2158D4E4"/>
    <w:rsid w:val="219D99C5"/>
    <w:rsid w:val="21CEFF26"/>
    <w:rsid w:val="21D434A6"/>
    <w:rsid w:val="22259AF3"/>
    <w:rsid w:val="222625CF"/>
    <w:rsid w:val="2228A886"/>
    <w:rsid w:val="22309CFC"/>
    <w:rsid w:val="2232B746"/>
    <w:rsid w:val="22498CF4"/>
    <w:rsid w:val="22609A5B"/>
    <w:rsid w:val="2292A2DD"/>
    <w:rsid w:val="229EBC1C"/>
    <w:rsid w:val="2377C1E9"/>
    <w:rsid w:val="23B0A8E0"/>
    <w:rsid w:val="23F4F6B6"/>
    <w:rsid w:val="241BF31E"/>
    <w:rsid w:val="2428FC63"/>
    <w:rsid w:val="24C641DC"/>
    <w:rsid w:val="24D9AFC7"/>
    <w:rsid w:val="25305761"/>
    <w:rsid w:val="25517675"/>
    <w:rsid w:val="25A8B570"/>
    <w:rsid w:val="25B4691B"/>
    <w:rsid w:val="25C01F11"/>
    <w:rsid w:val="25D2D552"/>
    <w:rsid w:val="25F03955"/>
    <w:rsid w:val="25F3A644"/>
    <w:rsid w:val="2641DC3D"/>
    <w:rsid w:val="26811644"/>
    <w:rsid w:val="26943A63"/>
    <w:rsid w:val="26F2F971"/>
    <w:rsid w:val="273FE0BC"/>
    <w:rsid w:val="2784D98C"/>
    <w:rsid w:val="279CB633"/>
    <w:rsid w:val="27BD3F59"/>
    <w:rsid w:val="27F4BA54"/>
    <w:rsid w:val="284299C9"/>
    <w:rsid w:val="287A82CA"/>
    <w:rsid w:val="2881DD44"/>
    <w:rsid w:val="28B25F3D"/>
    <w:rsid w:val="28FFBB60"/>
    <w:rsid w:val="290005A5"/>
    <w:rsid w:val="29348A77"/>
    <w:rsid w:val="299FDCDE"/>
    <w:rsid w:val="29D433AA"/>
    <w:rsid w:val="29F3E6BF"/>
    <w:rsid w:val="2A50F822"/>
    <w:rsid w:val="2A5A4BF5"/>
    <w:rsid w:val="2AACC960"/>
    <w:rsid w:val="2AC19007"/>
    <w:rsid w:val="2ADBEE6E"/>
    <w:rsid w:val="2B69026D"/>
    <w:rsid w:val="2B6B9EB6"/>
    <w:rsid w:val="2B9EE32E"/>
    <w:rsid w:val="2BAB85F4"/>
    <w:rsid w:val="2BDE98A8"/>
    <w:rsid w:val="2BE8DDCA"/>
    <w:rsid w:val="2C6E3B64"/>
    <w:rsid w:val="2C6E9F47"/>
    <w:rsid w:val="2C76D8FB"/>
    <w:rsid w:val="2CE53182"/>
    <w:rsid w:val="2CE828ED"/>
    <w:rsid w:val="2CFDA79C"/>
    <w:rsid w:val="2D1647CE"/>
    <w:rsid w:val="2D66D8EA"/>
    <w:rsid w:val="2D6F3AE2"/>
    <w:rsid w:val="2D780862"/>
    <w:rsid w:val="2D91825C"/>
    <w:rsid w:val="2E3CBE72"/>
    <w:rsid w:val="2E6CF62A"/>
    <w:rsid w:val="2F66C079"/>
    <w:rsid w:val="2F6A4478"/>
    <w:rsid w:val="2FA2C2B9"/>
    <w:rsid w:val="2FB33B9D"/>
    <w:rsid w:val="2FE16CA6"/>
    <w:rsid w:val="303E4B09"/>
    <w:rsid w:val="30C9B6BF"/>
    <w:rsid w:val="30FAE393"/>
    <w:rsid w:val="31BDD60F"/>
    <w:rsid w:val="31EF6A66"/>
    <w:rsid w:val="321F7AB0"/>
    <w:rsid w:val="322EA6A8"/>
    <w:rsid w:val="329E6AA8"/>
    <w:rsid w:val="32B3F984"/>
    <w:rsid w:val="32B4AB23"/>
    <w:rsid w:val="331B8918"/>
    <w:rsid w:val="333F50F1"/>
    <w:rsid w:val="338CE3C2"/>
    <w:rsid w:val="33985769"/>
    <w:rsid w:val="33D0F57C"/>
    <w:rsid w:val="33F7784A"/>
    <w:rsid w:val="34164A4C"/>
    <w:rsid w:val="345C9E3D"/>
    <w:rsid w:val="34E3608E"/>
    <w:rsid w:val="34E4552E"/>
    <w:rsid w:val="34F31085"/>
    <w:rsid w:val="35325F04"/>
    <w:rsid w:val="354188D0"/>
    <w:rsid w:val="358B3DC5"/>
    <w:rsid w:val="35E169FD"/>
    <w:rsid w:val="360A4181"/>
    <w:rsid w:val="360E3C96"/>
    <w:rsid w:val="362DD9C6"/>
    <w:rsid w:val="36489C7D"/>
    <w:rsid w:val="3698A285"/>
    <w:rsid w:val="36D94041"/>
    <w:rsid w:val="36FCE7C2"/>
    <w:rsid w:val="370EA32D"/>
    <w:rsid w:val="37140354"/>
    <w:rsid w:val="371FC5AA"/>
    <w:rsid w:val="373DBA3A"/>
    <w:rsid w:val="3773FA2C"/>
    <w:rsid w:val="37E27BBD"/>
    <w:rsid w:val="37E4A164"/>
    <w:rsid w:val="388C2113"/>
    <w:rsid w:val="38E088E6"/>
    <w:rsid w:val="38E2B498"/>
    <w:rsid w:val="39708B54"/>
    <w:rsid w:val="39DA697B"/>
    <w:rsid w:val="3A8119B3"/>
    <w:rsid w:val="3AA3428D"/>
    <w:rsid w:val="3AA894D3"/>
    <w:rsid w:val="3B53E85B"/>
    <w:rsid w:val="3BA0647B"/>
    <w:rsid w:val="3BB261E0"/>
    <w:rsid w:val="3C57E055"/>
    <w:rsid w:val="3C9958F4"/>
    <w:rsid w:val="3CD7A403"/>
    <w:rsid w:val="3CE7225C"/>
    <w:rsid w:val="3CFC9190"/>
    <w:rsid w:val="3D0A9422"/>
    <w:rsid w:val="3D189E28"/>
    <w:rsid w:val="3D4CE82E"/>
    <w:rsid w:val="3D959B49"/>
    <w:rsid w:val="3E2FBB17"/>
    <w:rsid w:val="3E3323F9"/>
    <w:rsid w:val="3E6D568E"/>
    <w:rsid w:val="3E7950BE"/>
    <w:rsid w:val="3E8D9914"/>
    <w:rsid w:val="3EC7054B"/>
    <w:rsid w:val="3F345CE1"/>
    <w:rsid w:val="3F4298A1"/>
    <w:rsid w:val="3F976466"/>
    <w:rsid w:val="40369C0C"/>
    <w:rsid w:val="40419384"/>
    <w:rsid w:val="40B2DA9B"/>
    <w:rsid w:val="40F03CB3"/>
    <w:rsid w:val="40F20CD0"/>
    <w:rsid w:val="4149454F"/>
    <w:rsid w:val="41896EF9"/>
    <w:rsid w:val="41B6792A"/>
    <w:rsid w:val="42542CBD"/>
    <w:rsid w:val="42642A02"/>
    <w:rsid w:val="427024B3"/>
    <w:rsid w:val="42ACFF34"/>
    <w:rsid w:val="4312C837"/>
    <w:rsid w:val="43AA57DF"/>
    <w:rsid w:val="44092856"/>
    <w:rsid w:val="440EB030"/>
    <w:rsid w:val="441A2AFF"/>
    <w:rsid w:val="4475480B"/>
    <w:rsid w:val="452DE8A1"/>
    <w:rsid w:val="45D7C567"/>
    <w:rsid w:val="4643F2E0"/>
    <w:rsid w:val="4652CB9B"/>
    <w:rsid w:val="46869069"/>
    <w:rsid w:val="468C75BE"/>
    <w:rsid w:val="46A13835"/>
    <w:rsid w:val="47244A31"/>
    <w:rsid w:val="478E2B9D"/>
    <w:rsid w:val="47CCE9D5"/>
    <w:rsid w:val="47E0E170"/>
    <w:rsid w:val="47E4677A"/>
    <w:rsid w:val="47EE875A"/>
    <w:rsid w:val="47FFA226"/>
    <w:rsid w:val="484ABE64"/>
    <w:rsid w:val="484D32D8"/>
    <w:rsid w:val="485ACC5A"/>
    <w:rsid w:val="488A1793"/>
    <w:rsid w:val="489266C8"/>
    <w:rsid w:val="48BD857E"/>
    <w:rsid w:val="48D19843"/>
    <w:rsid w:val="492B0E2D"/>
    <w:rsid w:val="4954557E"/>
    <w:rsid w:val="4981E4E4"/>
    <w:rsid w:val="49A347A2"/>
    <w:rsid w:val="49C2C283"/>
    <w:rsid w:val="49D8AEE6"/>
    <w:rsid w:val="49DC69F1"/>
    <w:rsid w:val="49FD478C"/>
    <w:rsid w:val="4A050FDD"/>
    <w:rsid w:val="4A7FC8CC"/>
    <w:rsid w:val="4AA33E1E"/>
    <w:rsid w:val="4AB4B0A8"/>
    <w:rsid w:val="4B83C18E"/>
    <w:rsid w:val="4B8A489B"/>
    <w:rsid w:val="4B8F7645"/>
    <w:rsid w:val="4B91C715"/>
    <w:rsid w:val="4B9CE9A2"/>
    <w:rsid w:val="4BA019C1"/>
    <w:rsid w:val="4BBFB73A"/>
    <w:rsid w:val="4BC31E4A"/>
    <w:rsid w:val="4BE2B8E3"/>
    <w:rsid w:val="4BFE22D0"/>
    <w:rsid w:val="4C1A9030"/>
    <w:rsid w:val="4C5F958E"/>
    <w:rsid w:val="4C94A53F"/>
    <w:rsid w:val="4D363E8B"/>
    <w:rsid w:val="4DD771E5"/>
    <w:rsid w:val="4DDF253E"/>
    <w:rsid w:val="4E1DBEA2"/>
    <w:rsid w:val="4E3831A9"/>
    <w:rsid w:val="4E512D48"/>
    <w:rsid w:val="4E574210"/>
    <w:rsid w:val="4E6895E2"/>
    <w:rsid w:val="4EA2DBDF"/>
    <w:rsid w:val="4ED91D74"/>
    <w:rsid w:val="4EF37113"/>
    <w:rsid w:val="4F104CF1"/>
    <w:rsid w:val="4F9171F2"/>
    <w:rsid w:val="4FA63F51"/>
    <w:rsid w:val="4FDF21D6"/>
    <w:rsid w:val="4FFB730F"/>
    <w:rsid w:val="5003352B"/>
    <w:rsid w:val="50314294"/>
    <w:rsid w:val="5071066D"/>
    <w:rsid w:val="50894128"/>
    <w:rsid w:val="50D17508"/>
    <w:rsid w:val="50D8F0BB"/>
    <w:rsid w:val="51174DD7"/>
    <w:rsid w:val="512F3165"/>
    <w:rsid w:val="5164E2E3"/>
    <w:rsid w:val="517A6BFB"/>
    <w:rsid w:val="51E5B0E2"/>
    <w:rsid w:val="51F13E3D"/>
    <w:rsid w:val="525ECA6D"/>
    <w:rsid w:val="526AA1B1"/>
    <w:rsid w:val="5287ABD4"/>
    <w:rsid w:val="5291CC72"/>
    <w:rsid w:val="52D359FA"/>
    <w:rsid w:val="52F850F8"/>
    <w:rsid w:val="53139C56"/>
    <w:rsid w:val="533E74AF"/>
    <w:rsid w:val="5349F919"/>
    <w:rsid w:val="53695384"/>
    <w:rsid w:val="53A129AE"/>
    <w:rsid w:val="5407F0EE"/>
    <w:rsid w:val="5418F5E5"/>
    <w:rsid w:val="5455927A"/>
    <w:rsid w:val="545AF450"/>
    <w:rsid w:val="546527FC"/>
    <w:rsid w:val="54928F4A"/>
    <w:rsid w:val="549A126F"/>
    <w:rsid w:val="54F09EBD"/>
    <w:rsid w:val="5506C562"/>
    <w:rsid w:val="5511B4AA"/>
    <w:rsid w:val="5558B366"/>
    <w:rsid w:val="55817A8A"/>
    <w:rsid w:val="5595C9EC"/>
    <w:rsid w:val="55E36D0A"/>
    <w:rsid w:val="55E4B29E"/>
    <w:rsid w:val="5602B1CD"/>
    <w:rsid w:val="56E2AEB0"/>
    <w:rsid w:val="56E3A808"/>
    <w:rsid w:val="5745BD83"/>
    <w:rsid w:val="57810A02"/>
    <w:rsid w:val="57F023F4"/>
    <w:rsid w:val="57F73FDC"/>
    <w:rsid w:val="57FC5A32"/>
    <w:rsid w:val="5878258A"/>
    <w:rsid w:val="58CFBF01"/>
    <w:rsid w:val="58D4C890"/>
    <w:rsid w:val="5976F147"/>
    <w:rsid w:val="59A4B1AB"/>
    <w:rsid w:val="59C0D1A9"/>
    <w:rsid w:val="59D5C10D"/>
    <w:rsid w:val="59F365AD"/>
    <w:rsid w:val="5A03F6F8"/>
    <w:rsid w:val="5A0DFF88"/>
    <w:rsid w:val="5A16EF53"/>
    <w:rsid w:val="5A660300"/>
    <w:rsid w:val="5A6C4BC9"/>
    <w:rsid w:val="5A8750A9"/>
    <w:rsid w:val="5A8FDDA1"/>
    <w:rsid w:val="5AACDF5A"/>
    <w:rsid w:val="5B3F5C9E"/>
    <w:rsid w:val="5B63679C"/>
    <w:rsid w:val="5BAA11CC"/>
    <w:rsid w:val="5BACEC7D"/>
    <w:rsid w:val="5C5C4BFF"/>
    <w:rsid w:val="5C85EABD"/>
    <w:rsid w:val="5CA3566A"/>
    <w:rsid w:val="5CD04D43"/>
    <w:rsid w:val="5D30B909"/>
    <w:rsid w:val="5D4844FE"/>
    <w:rsid w:val="5D52AB72"/>
    <w:rsid w:val="5D61FEEB"/>
    <w:rsid w:val="5DA7CD91"/>
    <w:rsid w:val="5DC074FD"/>
    <w:rsid w:val="5DCCA30F"/>
    <w:rsid w:val="5DDE3512"/>
    <w:rsid w:val="5E2ABF1B"/>
    <w:rsid w:val="5E69E0DE"/>
    <w:rsid w:val="5E78E14B"/>
    <w:rsid w:val="5EAE6030"/>
    <w:rsid w:val="5EEE031A"/>
    <w:rsid w:val="5FEB4F2C"/>
    <w:rsid w:val="60222258"/>
    <w:rsid w:val="6031A23B"/>
    <w:rsid w:val="605F6E04"/>
    <w:rsid w:val="61499D47"/>
    <w:rsid w:val="616D95A5"/>
    <w:rsid w:val="619A2E6D"/>
    <w:rsid w:val="61B5B3ED"/>
    <w:rsid w:val="623EB332"/>
    <w:rsid w:val="62AD0D24"/>
    <w:rsid w:val="62C9ED0C"/>
    <w:rsid w:val="62D7731F"/>
    <w:rsid w:val="6321D535"/>
    <w:rsid w:val="6404EAA5"/>
    <w:rsid w:val="640DEB04"/>
    <w:rsid w:val="6440E0E9"/>
    <w:rsid w:val="645C7E15"/>
    <w:rsid w:val="647B7722"/>
    <w:rsid w:val="648C4365"/>
    <w:rsid w:val="64BECCDB"/>
    <w:rsid w:val="64FEB5DF"/>
    <w:rsid w:val="65043D8A"/>
    <w:rsid w:val="654EE3CF"/>
    <w:rsid w:val="655597A5"/>
    <w:rsid w:val="65873BBD"/>
    <w:rsid w:val="65C4B79D"/>
    <w:rsid w:val="66235DC9"/>
    <w:rsid w:val="6660FE3C"/>
    <w:rsid w:val="666DAB66"/>
    <w:rsid w:val="669DB0D8"/>
    <w:rsid w:val="672604B8"/>
    <w:rsid w:val="672C36CC"/>
    <w:rsid w:val="6757AB71"/>
    <w:rsid w:val="675B5607"/>
    <w:rsid w:val="6779D45F"/>
    <w:rsid w:val="67AAF713"/>
    <w:rsid w:val="67BF3192"/>
    <w:rsid w:val="67E74B8E"/>
    <w:rsid w:val="68331E78"/>
    <w:rsid w:val="683B8BB1"/>
    <w:rsid w:val="694A93B3"/>
    <w:rsid w:val="695F61BB"/>
    <w:rsid w:val="6975C6A2"/>
    <w:rsid w:val="6993DDE6"/>
    <w:rsid w:val="69B92DCC"/>
    <w:rsid w:val="6A1122E4"/>
    <w:rsid w:val="6A5366F7"/>
    <w:rsid w:val="6A5B14D1"/>
    <w:rsid w:val="6A66114E"/>
    <w:rsid w:val="6B183A67"/>
    <w:rsid w:val="6B2EC359"/>
    <w:rsid w:val="6B507C01"/>
    <w:rsid w:val="6B884CE1"/>
    <w:rsid w:val="6BAB76CD"/>
    <w:rsid w:val="6BC8898C"/>
    <w:rsid w:val="6BE265B7"/>
    <w:rsid w:val="6C5386E1"/>
    <w:rsid w:val="6C9E950C"/>
    <w:rsid w:val="6CC307D5"/>
    <w:rsid w:val="6CCBBFF3"/>
    <w:rsid w:val="6CD3C2E8"/>
    <w:rsid w:val="6CFA735B"/>
    <w:rsid w:val="6D11D431"/>
    <w:rsid w:val="6D9F819B"/>
    <w:rsid w:val="6DAA128E"/>
    <w:rsid w:val="6DF31688"/>
    <w:rsid w:val="6E11A3D8"/>
    <w:rsid w:val="6EB1AE2B"/>
    <w:rsid w:val="6F208E9A"/>
    <w:rsid w:val="6F357989"/>
    <w:rsid w:val="6F4E047A"/>
    <w:rsid w:val="6F6152A8"/>
    <w:rsid w:val="6F717988"/>
    <w:rsid w:val="7046032A"/>
    <w:rsid w:val="705EE99C"/>
    <w:rsid w:val="706ABD5B"/>
    <w:rsid w:val="70990F75"/>
    <w:rsid w:val="70AD81DC"/>
    <w:rsid w:val="70AE2DF9"/>
    <w:rsid w:val="70C83B1B"/>
    <w:rsid w:val="70D6B33C"/>
    <w:rsid w:val="70E5A8A5"/>
    <w:rsid w:val="71017C1E"/>
    <w:rsid w:val="713CDCB6"/>
    <w:rsid w:val="71CBE9AE"/>
    <w:rsid w:val="71E7AB8C"/>
    <w:rsid w:val="722185B8"/>
    <w:rsid w:val="72351B1C"/>
    <w:rsid w:val="72B7BBA2"/>
    <w:rsid w:val="72C15072"/>
    <w:rsid w:val="72EA532D"/>
    <w:rsid w:val="731E68BA"/>
    <w:rsid w:val="73208FBF"/>
    <w:rsid w:val="73230BD9"/>
    <w:rsid w:val="732F4E55"/>
    <w:rsid w:val="73449D23"/>
    <w:rsid w:val="73479CC0"/>
    <w:rsid w:val="7347F255"/>
    <w:rsid w:val="7360B25B"/>
    <w:rsid w:val="7383AEFC"/>
    <w:rsid w:val="73A6E74D"/>
    <w:rsid w:val="73B4D4B8"/>
    <w:rsid w:val="7409F211"/>
    <w:rsid w:val="74745334"/>
    <w:rsid w:val="74B4860E"/>
    <w:rsid w:val="74E04CF1"/>
    <w:rsid w:val="756FDC5E"/>
    <w:rsid w:val="75807A8B"/>
    <w:rsid w:val="7605F42E"/>
    <w:rsid w:val="76B1A225"/>
    <w:rsid w:val="76C37D8F"/>
    <w:rsid w:val="770D93F0"/>
    <w:rsid w:val="77A084AD"/>
    <w:rsid w:val="78108538"/>
    <w:rsid w:val="782A4958"/>
    <w:rsid w:val="783846B4"/>
    <w:rsid w:val="783E551E"/>
    <w:rsid w:val="787285B6"/>
    <w:rsid w:val="78936C2B"/>
    <w:rsid w:val="789395B5"/>
    <w:rsid w:val="78FE5BE1"/>
    <w:rsid w:val="794BA7EE"/>
    <w:rsid w:val="794D6EEE"/>
    <w:rsid w:val="79643BE2"/>
    <w:rsid w:val="797F0088"/>
    <w:rsid w:val="79C5293D"/>
    <w:rsid w:val="79E3E9B2"/>
    <w:rsid w:val="79E44608"/>
    <w:rsid w:val="7A159C73"/>
    <w:rsid w:val="7A3ACB1B"/>
    <w:rsid w:val="7A679FDB"/>
    <w:rsid w:val="7A837098"/>
    <w:rsid w:val="7ABB1A7A"/>
    <w:rsid w:val="7AEBCCC0"/>
    <w:rsid w:val="7B38DA5A"/>
    <w:rsid w:val="7B9A1F8A"/>
    <w:rsid w:val="7BC145A7"/>
    <w:rsid w:val="7BC156D0"/>
    <w:rsid w:val="7BCB24C8"/>
    <w:rsid w:val="7BDB844F"/>
    <w:rsid w:val="7C1232A1"/>
    <w:rsid w:val="7C27D23B"/>
    <w:rsid w:val="7C84C57B"/>
    <w:rsid w:val="7CF6AAD5"/>
    <w:rsid w:val="7D0969EF"/>
    <w:rsid w:val="7D2B0507"/>
    <w:rsid w:val="7D2C0C58"/>
    <w:rsid w:val="7D798744"/>
    <w:rsid w:val="7D7BD3C6"/>
    <w:rsid w:val="7D80147B"/>
    <w:rsid w:val="7DA848B2"/>
    <w:rsid w:val="7DDA5C63"/>
    <w:rsid w:val="7DFE04CB"/>
    <w:rsid w:val="7ED06097"/>
    <w:rsid w:val="7ED71BA7"/>
    <w:rsid w:val="7F1180FC"/>
    <w:rsid w:val="7F1B393B"/>
    <w:rsid w:val="7F4EFE86"/>
    <w:rsid w:val="7F5F856E"/>
    <w:rsid w:val="7F98D447"/>
    <w:rsid w:val="7F9F1D31"/>
    <w:rsid w:val="7FF598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4EE49"/>
  <w15:docId w15:val="{F3EF46A5-7C2F-42D9-9A07-7F379E63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rFonts w:ascii="Garamond" w:eastAsia="Garamond" w:hAnsi="Garamond" w:cs="Garamond"/>
      <w:smallCaps/>
      <w:color w:val="4F6228"/>
      <w:sz w:val="16"/>
      <w:szCs w:val="16"/>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5CD04D43"/>
    <w:rPr>
      <w:color w:val="0000FF"/>
      <w:u w:val="single"/>
    </w:rPr>
  </w:style>
  <w:style w:type="paragraph" w:styleId="ListParagraph">
    <w:name w:val="List Paragraph"/>
    <w:basedOn w:val="Normal"/>
    <w:uiPriority w:val="34"/>
    <w:qFormat/>
    <w:rsid w:val="5CD04D43"/>
    <w:pPr>
      <w:ind w:left="720"/>
      <w:contextualSpacing/>
    </w:pPr>
  </w:style>
  <w:style w:type="paragraph" w:styleId="Header">
    <w:name w:val="header"/>
    <w:basedOn w:val="Normal"/>
    <w:link w:val="HeaderChar"/>
    <w:uiPriority w:val="99"/>
    <w:unhideWhenUsed/>
    <w:rsid w:val="00542DFB"/>
    <w:pPr>
      <w:tabs>
        <w:tab w:val="center" w:pos="4819"/>
        <w:tab w:val="right" w:pos="9638"/>
      </w:tabs>
      <w:spacing w:after="0" w:line="240" w:lineRule="auto"/>
    </w:pPr>
  </w:style>
  <w:style w:type="character" w:customStyle="1" w:styleId="HeaderChar">
    <w:name w:val="Header Char"/>
    <w:basedOn w:val="DefaultParagraphFont"/>
    <w:link w:val="Header"/>
    <w:uiPriority w:val="99"/>
    <w:rsid w:val="00542DFB"/>
  </w:style>
  <w:style w:type="paragraph" w:styleId="Footer">
    <w:name w:val="footer"/>
    <w:basedOn w:val="Normal"/>
    <w:link w:val="FooterChar"/>
    <w:uiPriority w:val="99"/>
    <w:unhideWhenUsed/>
    <w:rsid w:val="00542DFB"/>
    <w:pPr>
      <w:tabs>
        <w:tab w:val="center" w:pos="4819"/>
        <w:tab w:val="right" w:pos="9638"/>
      </w:tabs>
      <w:spacing w:after="0" w:line="240" w:lineRule="auto"/>
    </w:pPr>
  </w:style>
  <w:style w:type="character" w:customStyle="1" w:styleId="FooterChar">
    <w:name w:val="Footer Char"/>
    <w:basedOn w:val="DefaultParagraphFont"/>
    <w:link w:val="Footer"/>
    <w:uiPriority w:val="99"/>
    <w:rsid w:val="00542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ft.com/content/50665033-4aed-43b0-a2e6-5c15c04e8c19?syn-25a6b1a6=1" TargetMode="External"/><Relationship Id="rId21" Type="http://schemas.openxmlformats.org/officeDocument/2006/relationships/hyperlink" Target="https://greattalent.campaign.gov.uk/move-to-the-uk/business-mentorship/" TargetMode="External"/><Relationship Id="rId42" Type="http://schemas.openxmlformats.org/officeDocument/2006/relationships/hyperlink" Target="https://www.ft.com/content/d30247d9-6e9e-4c2b-a6fc-9e751a9f7110" TargetMode="External"/><Relationship Id="rId63" Type="http://schemas.openxmlformats.org/officeDocument/2006/relationships/hyperlink" Target="https://www.ft.com/content/c89182ba-283f-43ae-abda-7828bfcef07a?syn-25a6b1a6=1" TargetMode="External"/><Relationship Id="rId84" Type="http://schemas.openxmlformats.org/officeDocument/2006/relationships/hyperlink" Target="https://www.adsgroup.org.uk/facts2026/?utm_source=bulletin&amp;utm_medium=email&amp;utm_campaign=FAF2026&amp;dm_i=1W52,99AFS,AT1HR9,12VI9M,1,0,0,0" TargetMode="External"/><Relationship Id="rId138" Type="http://schemas.openxmlformats.org/officeDocument/2006/relationships/hyperlink" Target="https://www.ft.com/content/55a5df36-4f1a-4ff3-8986-3a06db58a39a?syn-25a6b1a6=1" TargetMode="External"/><Relationship Id="rId159" Type="http://schemas.openxmlformats.org/officeDocument/2006/relationships/hyperlink" Target="https://www.gov.uk/government/news/strategy-to-boost-uk-education-abroad-in-major-40bn-growth-drive?utm_medium=email&amp;utm_campaign=govuk-notifications-topic&amp;utm_source=a1a5aa8f-07df-4766-a6ec-95e2a15bf72d&amp;utm_content=weekly" TargetMode="External"/><Relationship Id="rId170" Type="http://schemas.openxmlformats.org/officeDocument/2006/relationships/hyperlink" Target="https://tradingeconomics.com/portugal/inflation-cpi" TargetMode="External"/><Relationship Id="rId191" Type="http://schemas.openxmlformats.org/officeDocument/2006/relationships/theme" Target="theme/theme1.xml"/><Relationship Id="rId107" Type="http://schemas.openxmlformats.org/officeDocument/2006/relationships/hyperlink" Target="https://www.ft.com/content/d3e785fd-fbda-41d8-9c07-5275ad30fce6?syn-25a6b1a6=1" TargetMode="External"/><Relationship Id="rId11" Type="http://schemas.openxmlformats.org/officeDocument/2006/relationships/hyperlink" Target="https://trade.ec.europa.eu/access-to-markets/en/home" TargetMode="External"/><Relationship Id="rId32" Type="http://schemas.openxmlformats.org/officeDocument/2006/relationships/hyperlink" Target="https://ahdb.org.uk/" TargetMode="External"/><Relationship Id="rId53" Type="http://schemas.openxmlformats.org/officeDocument/2006/relationships/hyperlink" Target="https://www.ft.com/content/cc394cdf-ef78-4ec4-ab49-775e1a292751?syn-25a6b1a6=1" TargetMode="External"/><Relationship Id="rId74" Type="http://schemas.openxmlformats.org/officeDocument/2006/relationships/hyperlink" Target="https://www.ft.com/content/d3eead8b-7b38-45bd-8fba-489d02a3e440?syn-25a6b1a6=1" TargetMode="External"/><Relationship Id="rId128" Type="http://schemas.openxmlformats.org/officeDocument/2006/relationships/hyperlink" Target="https://www.ft.com/content/284f83f5-b6af-41a9-909d-26ca5693e5a9?syn-25a6b1a6=1" TargetMode="External"/><Relationship Id="rId149" Type="http://schemas.openxmlformats.org/officeDocument/2006/relationships/hyperlink" Target="https://www.gov.uk/government/publications/smart-data-strategy" TargetMode="External"/><Relationship Id="rId5" Type="http://schemas.openxmlformats.org/officeDocument/2006/relationships/footnotes" Target="footnotes.xml"/><Relationship Id="rId95" Type="http://schemas.openxmlformats.org/officeDocument/2006/relationships/hyperlink" Target="https://www.ft.com/content/6d258069-e935-446c-b112-753c6c2bdfb2?syn-25a6b1a6=1" TargetMode="External"/><Relationship Id="rId160" Type="http://schemas.openxmlformats.org/officeDocument/2006/relationships/hyperlink" Target="https://www.gov.uk/business-and-industry/industrial-strategy" TargetMode="External"/><Relationship Id="rId181" Type="http://schemas.openxmlformats.org/officeDocument/2006/relationships/hyperlink" Target="https://www.agbi.com/economy/2026/08/oman-targets-investors-with-expansion-of-four-industrial-cities/" TargetMode="External"/><Relationship Id="rId22" Type="http://schemas.openxmlformats.org/officeDocument/2006/relationships/hyperlink" Target="https://londontechweek.com/" TargetMode="External"/><Relationship Id="rId43" Type="http://schemas.openxmlformats.org/officeDocument/2006/relationships/hyperlink" Target="https://www.ip21.com/latest-news/is-the-uk-life-sciences-sector-set-to-recover-in-2026-an-analysis-of-funding-patent-filings-and-growth/" TargetMode="External"/><Relationship Id="rId64" Type="http://schemas.openxmlformats.org/officeDocument/2006/relationships/hyperlink" Target="https://www.ft.com/content/7db89ce2-ca7c-43e2-b06b-07c0d3c269ca?syn-25a6b1a6=1" TargetMode="External"/><Relationship Id="rId118" Type="http://schemas.openxmlformats.org/officeDocument/2006/relationships/hyperlink" Target="https://www.ft.com/content/481b3fd0-6b2d-4bbe-b6e3-b99146df827c?syn-25a6b1a6=1" TargetMode="External"/><Relationship Id="rId139" Type="http://schemas.openxmlformats.org/officeDocument/2006/relationships/hyperlink" Target="https://www.gov.uk/government/publications/assessing-the-legal-and-economic-implications-of-the-employment-rights-act-2025?utm_medium=email&amp;utm_campaign=govuk-notifications-topic&amp;utm_source=1f76d711-a301-4bca-bedf-b69504b5a670&amp;utm_content=weekly" TargetMode="External"/><Relationship Id="rId85" Type="http://schemas.openxmlformats.org/officeDocument/2006/relationships/hyperlink" Target="https://www.ft.com/content/72e4bd53-2e4f-420a-aa44-4de486a0ab19?syn-25a6b1a6=1" TargetMode="External"/><Relationship Id="rId150" Type="http://schemas.openxmlformats.org/officeDocument/2006/relationships/hyperlink" Target="https://www.gov.uk/government/collections/uk-steel-industry?utm_medium=email&amp;utm_campaign=govuk-notifications-topic&amp;utm_source=78803d12-f664-4810-abaa-1c75570351aa&amp;utm_content=weekly" TargetMode="External"/><Relationship Id="rId171" Type="http://schemas.openxmlformats.org/officeDocument/2006/relationships/hyperlink" Target="https://www.ine.pt/xportal/xmain?xpid=INE&amp;xpgid=ine_indicadores&amp;contecto=pi&amp;indOcorrCod=0012136&amp;selTab=tab0" TargetMode="External"/><Relationship Id="rId12" Type="http://schemas.openxmlformats.org/officeDocument/2006/relationships/hyperlink" Target="https://eksportogidas.inovacijuagentura.lt/brexit-2/" TargetMode="External"/><Relationship Id="rId33" Type="http://schemas.openxmlformats.org/officeDocument/2006/relationships/hyperlink" Target="https://ahdb.org.uk/" TargetMode="External"/><Relationship Id="rId108" Type="http://schemas.openxmlformats.org/officeDocument/2006/relationships/hyperlink" Target="https://www.ft.com/content/44c08ae9-f209-4992-8744-cfff430eca07?syn-25a6b1a6=1" TargetMode="External"/><Relationship Id="rId129" Type="http://schemas.openxmlformats.org/officeDocument/2006/relationships/hyperlink" Target="https://www.ft.com/content/f677daaa-2291-4e29-ba74-ccd7f5af52bb?syn-25a6b1a6=1" TargetMode="External"/><Relationship Id="rId54" Type="http://schemas.openxmlformats.org/officeDocument/2006/relationships/hyperlink" Target="https://www.ft.com/content/8b4a32a0-f14b-4069-a2e5-5e4d55b0906d?syn-25a6b1a6=1" TargetMode="External"/><Relationship Id="rId75" Type="http://schemas.openxmlformats.org/officeDocument/2006/relationships/hyperlink" Target="https://www.thetimes.com/us/american-politics/article/marco-rubio-pushes-ed-miliband-to-hike-british-defence-spending-d95pnhm96" TargetMode="External"/><Relationship Id="rId96" Type="http://schemas.openxmlformats.org/officeDocument/2006/relationships/hyperlink" Target="https://www.ft.com/content/2434fbcc-b8b5-4bda-a82d-1b08c6a015f8?syn-25a6b1a6=1" TargetMode="External"/><Relationship Id="rId140" Type="http://schemas.openxmlformats.org/officeDocument/2006/relationships/hyperlink" Target="https://www.gov.uk/government/statistics/forecasts-for-the-uk-economy-january-2026?utm_medium=email&amp;utm_campaign=govuk-notifications-topic&amp;utm_source=3b660c82-5c4a-426f-a3cc-7c683c12254e&amp;utm_content=weekly" TargetMode="External"/><Relationship Id="rId161" Type="http://schemas.openxmlformats.org/officeDocument/2006/relationships/hyperlink" Target="https://www.gov.uk/government/publications/industrial-strategy-sector-plans/sector-plans" TargetMode="External"/><Relationship Id="rId182" Type="http://schemas.openxmlformats.org/officeDocument/2006/relationships/hyperlink" Target="https://www.bbc.co.uk/news/articles/cy5dzk0ryzdo" TargetMode="External"/><Relationship Id="rId6" Type="http://schemas.openxmlformats.org/officeDocument/2006/relationships/endnotes" Target="endnotes.xml"/><Relationship Id="rId23" Type="http://schemas.openxmlformats.org/officeDocument/2006/relationships/hyperlink" Target="https://www.expocart.com/exhibition/calendar/" TargetMode="External"/><Relationship Id="rId119" Type="http://schemas.openxmlformats.org/officeDocument/2006/relationships/hyperlink" Target="https://www.ft.com/content/7b162fb4-8889-4f9c-9d5b-878850d6e8af?syn-25a6b1a6=1" TargetMode="External"/><Relationship Id="rId44" Type="http://schemas.openxmlformats.org/officeDocument/2006/relationships/hyperlink" Target="https://apply-for-innovation-funding.service.gov.uk/competition/2526/overview/4a4b67b9-9b73-4816-8e21-bdfab83f5909" TargetMode="External"/><Relationship Id="rId65" Type="http://schemas.openxmlformats.org/officeDocument/2006/relationships/hyperlink" Target="https://www.thetimes.com/sunday-times-100-tech" TargetMode="External"/><Relationship Id="rId86" Type="http://schemas.openxmlformats.org/officeDocument/2006/relationships/hyperlink" Target="https://www.ft.com/content/cf204cc3-fe8e-4950-a84d-6884f54b7248?syn-25a6b1a6=1" TargetMode="External"/><Relationship Id="rId130" Type="http://schemas.openxmlformats.org/officeDocument/2006/relationships/hyperlink" Target="https://www.ft.com/content/f677daaa-2291-4e29-ba74-ccd7f5af52bb?syn-25a6b1a6=1" TargetMode="External"/><Relationship Id="rId151" Type="http://schemas.openxmlformats.org/officeDocument/2006/relationships/hyperlink" Target="https://www.gov.uk/government/collections/the-uks-trade-agreements?utm_medium=email&amp;utm_campaign=govuk-notifications-topic&amp;utm_source=a4e3fe3d-47d5-4b87-a11a-78133d2ee8ca&amp;utm_content=daily" TargetMode="External"/><Relationship Id="rId172" Type="http://schemas.openxmlformats.org/officeDocument/2006/relationships/hyperlink" Target="https://www.portugalresident.com/portuguese-economy-defies-turmoil-as-2-growth-comes-within-reach/" TargetMode="External"/><Relationship Id="rId13" Type="http://schemas.openxmlformats.org/officeDocument/2006/relationships/hyperlink" Target="https://www.gov.uk/government/publications/clarifying-information-for-imports-of-animal-products-iin-gen4/clarifying-information-for-imports-of-animal-products-import-information-note-iin-gen4" TargetMode="External"/><Relationship Id="rId18" Type="http://schemas.openxmlformats.org/officeDocument/2006/relationships/hyperlink" Target="https://www.gov.uk/guidance/extended-producer-responsibility-for-packaging-who-is-affected-and-what-to-do" TargetMode="External"/><Relationship Id="rId39" Type="http://schemas.openxmlformats.org/officeDocument/2006/relationships/hyperlink" Target="https://www.gov.uk/government/publications/uk-life-sciences-support?utm_medium=email&amp;utm_campaign=govuk-notifications&amp;utm_source=4b52b16d-d3af-45f0-872a-ed33aa71e6c9&amp;utm_content=immediately" TargetMode="External"/><Relationship Id="rId109" Type="http://schemas.openxmlformats.org/officeDocument/2006/relationships/hyperlink" Target="https://www.ft.com/content/b9b1c9d7-a7a1-4b6f-bcb0-910ceb025f2b?syn-25a6b1a6=1" TargetMode="External"/><Relationship Id="rId34" Type="http://schemas.openxmlformats.org/officeDocument/2006/relationships/hyperlink" Target="https://www.reuters.com/business/diageo-headcount-down-more-than-6-annual-report-says-2026-08-18/?utm_source=chatgpt.com" TargetMode="External"/><Relationship Id="rId50" Type="http://schemas.openxmlformats.org/officeDocument/2006/relationships/hyperlink" Target="https://www.ft.com/content/560ff425-c1ac-4eef-b8da-e6cdb0a412a3?syn-25a6b1a6=1" TargetMode="External"/><Relationship Id="rId55" Type="http://schemas.openxmlformats.org/officeDocument/2006/relationships/hyperlink" Target="https://www.ft.com/content/9399b276-d8b7-401f-a615-d46a32235b3e?syn-25a6b1a6=1" TargetMode="External"/><Relationship Id="rId76" Type="http://schemas.openxmlformats.org/officeDocument/2006/relationships/hyperlink" Target="https://www.ft.com/content/05408fe6-e7f4-44b2-ac5d-2fd2a7d04a0f?syn-25a6b1a6=1" TargetMode="External"/><Relationship Id="rId97" Type="http://schemas.openxmlformats.org/officeDocument/2006/relationships/hyperlink" Target="https://www.ft.com/content/43af0b33-4c2d-4c10-8948-c77082f70935?syn-25a6b1a6=1" TargetMode="External"/><Relationship Id="rId104" Type="http://schemas.openxmlformats.org/officeDocument/2006/relationships/hyperlink" Target="https://www.ft.com/content/f35f8c3d-3c9f-4209-b8a7-e4038dfc528f?syn-25a6b1a6=1" TargetMode="External"/><Relationship Id="rId120" Type="http://schemas.openxmlformats.org/officeDocument/2006/relationships/hyperlink" Target="https://www.ft.com/content/6fc8d072-5a2c-4431-895a-e3d4eb03329d?syn-25a6b1a6=1" TargetMode="External"/><Relationship Id="rId125" Type="http://schemas.openxmlformats.org/officeDocument/2006/relationships/hyperlink" Target="https://www.ft.com/content/48539819-9e46-4a98-9ef6-5db5255379c0?syn-25a6b1a6=1" TargetMode="External"/><Relationship Id="rId141" Type="http://schemas.openxmlformats.org/officeDocument/2006/relationships/hyperlink" Target="https://www.gov.uk/government/publications/a-survey-into-the-use-of-ai-in-engineering-biology?utm_medium=email&amp;utm_campaign=govuk-notifications-topic&amp;utm_source=861ab4c6-f2dc-41e2-9041-da37e2644241&amp;utm_content=weekly" TargetMode="External"/><Relationship Id="rId146" Type="http://schemas.openxmlformats.org/officeDocument/2006/relationships/hyperlink" Target="https://www.gov.uk/government/publications/ai-labour-market-survey-2025-report?utm_medium=email&amp;utm_campaign=govuk-notifications-topic&amp;utm_source=374dd945-085d-4a26-905c-404404fd190d&amp;utm_content=weekly" TargetMode="External"/><Relationship Id="rId167" Type="http://schemas.openxmlformats.org/officeDocument/2006/relationships/hyperlink" Target="https://eco.sapo.pt/eventos/" TargetMode="External"/><Relationship Id="rId188" Type="http://schemas.openxmlformats.org/officeDocument/2006/relationships/hyperlink" Target="mailto:simonas.narvydas@urm.lt" TargetMode="External"/><Relationship Id="rId7" Type="http://schemas.openxmlformats.org/officeDocument/2006/relationships/hyperlink" Target="https://www.gov.uk/topic/business-tax/import-export" TargetMode="External"/><Relationship Id="rId71" Type="http://schemas.openxmlformats.org/officeDocument/2006/relationships/hyperlink" Target="https://www.ft.com/content/b153db68-a361-4217-9cc5-b766a15c1922?syn-25a6b1a6=1" TargetMode="External"/><Relationship Id="rId92" Type="http://schemas.openxmlformats.org/officeDocument/2006/relationships/hyperlink" Target="https://www.ft.com/content/258c5cba-e65a-4990-82b1-3c5e7fc2bb10?syn-25a6b1a6=1" TargetMode="External"/><Relationship Id="rId162" Type="http://schemas.openxmlformats.org/officeDocument/2006/relationships/hyperlink" Target="https://www.gov.uk/government/publications/uk-trade-strategy" TargetMode="External"/><Relationship Id="rId183" Type="http://schemas.openxmlformats.org/officeDocument/2006/relationships/hyperlink" Target="https://www.omanobserver.om/article/1194626/business/economy/oman-regulates-investment-banking-activities" TargetMode="External"/><Relationship Id="rId2" Type="http://schemas.openxmlformats.org/officeDocument/2006/relationships/styles" Target="styles.xml"/><Relationship Id="rId29" Type="http://schemas.openxmlformats.org/officeDocument/2006/relationships/hyperlink" Target="https://www.greatbritishexpos.co.uk/register/" TargetMode="External"/><Relationship Id="rId24" Type="http://schemas.openxmlformats.org/officeDocument/2006/relationships/hyperlink" Target="https://www.displaywizard.co.uk/exhibition-calendar/" TargetMode="External"/><Relationship Id="rId40" Type="http://schemas.openxmlformats.org/officeDocument/2006/relationships/hyperlink" Target="https://www.great.gov.uk/international/content/investment/sectors/healthcare-and-life-sciences/" TargetMode="External"/><Relationship Id="rId45" Type="http://schemas.openxmlformats.org/officeDocument/2006/relationships/hyperlink" Target="https://www.ft.com/content/6691c87d-707a-4b8e-8c9c-56d0621f83aa?syn-25a6b1a6=1" TargetMode="External"/><Relationship Id="rId66" Type="http://schemas.openxmlformats.org/officeDocument/2006/relationships/hyperlink" Target="https://www.ft.com/content/69d55b1b-fa3f-420c-905a-6699d28a7b89?syn-25a6b1a6=1" TargetMode="External"/><Relationship Id="rId87" Type="http://schemas.openxmlformats.org/officeDocument/2006/relationships/hyperlink" Target="https://www.ft.com/content/5391353e-3e03-4170-a289-497019a5d615?syn-25a6b1a6=1" TargetMode="External"/><Relationship Id="rId110" Type="http://schemas.openxmlformats.org/officeDocument/2006/relationships/hyperlink" Target="https://www.ft.com/content/748b1e8c-63f4-4eca-8103-d9d148cac00c?syn-25a6b1a6=1" TargetMode="External"/><Relationship Id="rId115" Type="http://schemas.openxmlformats.org/officeDocument/2006/relationships/hyperlink" Target="https://www.ft.com/content/6c358cee-d7ec-4542-9c1b-f922b13d48ae?syn-25a6b1a6=1" TargetMode="External"/><Relationship Id="rId131" Type="http://schemas.openxmlformats.org/officeDocument/2006/relationships/hyperlink" Target="https://www.ft.com/content/f8eb3df2-5924-4fa6-a35d-046640ec94da?syn-25a6b1a6=1" TargetMode="External"/><Relationship Id="rId136" Type="http://schemas.openxmlformats.org/officeDocument/2006/relationships/hyperlink" Target="https://www.ft.com/content/817369ed-a886-4cfe-8324-5391b7187591?syn-25a6b1a6=1" TargetMode="External"/><Relationship Id="rId157" Type="http://schemas.openxmlformats.org/officeDocument/2006/relationships/hyperlink" Target="https://www.gov.uk/government/publications/backing-your-business-our-plan-for-small-and-medium-sized-businesses" TargetMode="External"/><Relationship Id="rId178" Type="http://schemas.openxmlformats.org/officeDocument/2006/relationships/hyperlink" Target="https://www.agbi.com/oil-and-gas/2026/08/higher-oil-prices-lift-profits-for-omani-listed-companies/" TargetMode="External"/><Relationship Id="rId61" Type="http://schemas.openxmlformats.org/officeDocument/2006/relationships/hyperlink" Target="https://www.ft.com/content/1d47308d-5dcb-4238-b142-156bdb3d4f7a?syn-25a6b1a6=1" TargetMode="External"/><Relationship Id="rId82" Type="http://schemas.openxmlformats.org/officeDocument/2006/relationships/hyperlink" Target="https://assets.publishing.service.gov.uk/media/6a8564f81b45e4e555421e63/Forecasts_for_the_UK_Economy_-_August_2026.pdf" TargetMode="External"/><Relationship Id="rId152" Type="http://schemas.openxmlformats.org/officeDocument/2006/relationships/hyperlink" Target="https://www.gov.uk/government/publications/climate-adaptation-strategy-for-transport/climate-adaptation-strategy-for-transport" TargetMode="External"/><Relationship Id="rId173" Type="http://schemas.openxmlformats.org/officeDocument/2006/relationships/hyperlink" Target="https://eco.sapo.pt/2026/08/11/portugal-esta-entre-mercados-europeus-mais-competitivos-para-centros-de-dados/" TargetMode="External"/><Relationship Id="rId19" Type="http://schemas.openxmlformats.org/officeDocument/2006/relationships/hyperlink" Target="https://www.gov.uk/guidance/placing-ukca-or-ce-marked-products-on-the-market-in-great-britain?utm_medium=email&amp;utm_campaign=govuk-notifications-topic&amp;utm_source=d6dc3ce1-7bf0-4f1e-b416-e24e0b69b999&amp;utm_content=weekly" TargetMode="External"/><Relationship Id="rId14" Type="http://schemas.openxmlformats.org/officeDocument/2006/relationships/hyperlink" Target="https://www.gov.uk/government/publications/clarifying-information-imports-of-live-animals-iin-gen5/clarifying-information-imports-of-live-animals-iin-gen5" TargetMode="External"/><Relationship Id="rId30" Type="http://schemas.openxmlformats.org/officeDocument/2006/relationships/hyperlink" Target="https://www.thewholesaler.co.uk/trade-show/" TargetMode="External"/><Relationship Id="rId35" Type="http://schemas.openxmlformats.org/officeDocument/2006/relationships/hyperlink" Target="https://www.foodmanufacture.co.uk/Article/2026/08/17/uk-manufacturing-profit-margins-slashed-by-a-third-due-to-fx-risk/?utm" TargetMode="External"/><Relationship Id="rId56" Type="http://schemas.openxmlformats.org/officeDocument/2006/relationships/hyperlink" Target="https://www.ft.com/content/bae67bb7-ebf8-44fc-8d55-bbfaada47eb7?syn-25a6b1a6=1" TargetMode="External"/><Relationship Id="rId77" Type="http://schemas.openxmlformats.org/officeDocument/2006/relationships/hyperlink" Target="https://www.ft.com/content/fc925436-4bcb-444c-b929-83014f6da44d?syn-25a6b1a6=1" TargetMode="External"/><Relationship Id="rId100" Type="http://schemas.openxmlformats.org/officeDocument/2006/relationships/hyperlink" Target="https://www.ft.com/content/a36fa9a6-5676-4401-9359-890916424cbd" TargetMode="External"/><Relationship Id="rId105" Type="http://schemas.openxmlformats.org/officeDocument/2006/relationships/hyperlink" Target="https://www.ft.com/content/ef45786a-aa0c-478f-b1bb-741e6abd8aaf?syn-25a6b1a6=1" TargetMode="External"/><Relationship Id="rId126" Type="http://schemas.openxmlformats.org/officeDocument/2006/relationships/hyperlink" Target="https://www.ft.com/content/910288e8-5ad1-4f09-90fb-36c3efe275e0?syn-25a6b1a6=1" TargetMode="External"/><Relationship Id="rId147" Type="http://schemas.openxmlformats.org/officeDocument/2006/relationships/hyperlink" Target="https://www.gov.uk/government/news/new-energy-resilience-strategy-to-better-protect-infrastructure?utm_medium=email&amp;utm_campaign=govuk-notifications-topic&amp;utm_source=8a889edc-9f94-47c7-bd02-46ae51e293b9&amp;utm_content=weekly" TargetMode="External"/><Relationship Id="rId168" Type="http://schemas.openxmlformats.org/officeDocument/2006/relationships/hyperlink" Target="https://euagenda.eu/events?country=PRT" TargetMode="External"/><Relationship Id="rId8" Type="http://schemas.openxmlformats.org/officeDocument/2006/relationships/hyperlink" Target="https://www.gov.uk/guidance/check-your-readiness-to-export-to-the-uk-and-other-international-markets?utm_medium=email&amp;utm_campaign=govuk-notifications-topic&amp;utm_source=3a3ba157-f707-4cc6-bd1d-02164da49d3f&amp;utm_content=immediately" TargetMode="External"/><Relationship Id="rId51" Type="http://schemas.openxmlformats.org/officeDocument/2006/relationships/hyperlink" Target="https://www.ft.com/content/8e790ba0-0c3d-47dd-9955-0b98a808ae0c?syn-25a6b1a6=1" TargetMode="External"/><Relationship Id="rId72" Type="http://schemas.openxmlformats.org/officeDocument/2006/relationships/hyperlink" Target="https://www.thetimes.com/uk/environment/article/digital-cities-future-britains-data-centres-mlzd6z9cd" TargetMode="External"/><Relationship Id="rId93" Type="http://schemas.openxmlformats.org/officeDocument/2006/relationships/hyperlink" Target="https://www.ft.com/content/1e041e56-e2b6-4320-9dd7-1db8fdd7bc9c?syn-25a6b1a6=1" TargetMode="External"/><Relationship Id="rId98" Type="http://schemas.openxmlformats.org/officeDocument/2006/relationships/hyperlink" Target="https://www.ft.com/content/82922307-311d-499b-9798-0292d5f6b7ed?syn-25a6b1a6=1" TargetMode="External"/><Relationship Id="rId121" Type="http://schemas.openxmlformats.org/officeDocument/2006/relationships/hyperlink" Target="https://www.ft.com/content/552b8fca-6dad-4b41-a0be-54d2cd70e3cb?syn-25a6b1a6=1" TargetMode="External"/><Relationship Id="rId142" Type="http://schemas.openxmlformats.org/officeDocument/2006/relationships/hyperlink" Target="https://www.gov.uk/government/collections/dcms-sectors-economic-estimates?utm_medium=email&amp;utm_campaign=govuk-notifications-topic&amp;utm_source=5b913dd9-a085-4d85-9f3e-8a153ca03a56&amp;utm_content=weekly" TargetMode="External"/><Relationship Id="rId163" Type="http://schemas.openxmlformats.org/officeDocument/2006/relationships/hyperlink" Target="https://www.gov.uk/government/publications/clean-power-2030-action-plan" TargetMode="External"/><Relationship Id="rId184" Type="http://schemas.openxmlformats.org/officeDocument/2006/relationships/hyperlink" Target="https://www.fm.gov.om/en/42717/" TargetMode="External"/><Relationship Id="rId189"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https://www.xldisplays.co.uk/exhibition-events-calendar/" TargetMode="External"/><Relationship Id="rId46" Type="http://schemas.openxmlformats.org/officeDocument/2006/relationships/hyperlink" Target="https://www.ft.com/content/63b79c58-a497-4359-a3c7-03a36fead622?syn-25a6b1a6=1" TargetMode="External"/><Relationship Id="rId67" Type="http://schemas.openxmlformats.org/officeDocument/2006/relationships/hyperlink" Target="https://www.economist.com/leaders/2026/08/06/how-ai-is-breaking-the-british-state" TargetMode="External"/><Relationship Id="rId116" Type="http://schemas.openxmlformats.org/officeDocument/2006/relationships/hyperlink" Target="https://www.ft.com/content/f1d8ba1d-d3eb-453b-b2b7-45e1c299291f?syn-25a6b1a6=1" TargetMode="External"/><Relationship Id="rId137" Type="http://schemas.openxmlformats.org/officeDocument/2006/relationships/hyperlink" Target="https://www.ft.com/content/8faac5d4-af01-4c36-949f-bb059acee910?syn-25a6b1a6=1" TargetMode="External"/><Relationship Id="rId158" Type="http://schemas.openxmlformats.org/officeDocument/2006/relationships/hyperlink" Target="https://www.gov.uk/government/publications/strategy-for-future-retail-payments-infrastructure?utm_medium=email&amp;utm_campaign=govuk-notifications-topic&amp;utm_source=bd8eb105-5909-4ad7-b4ee-c0a98cdfb2f6&amp;utm_content=weekly" TargetMode="External"/><Relationship Id="rId20" Type="http://schemas.openxmlformats.org/officeDocument/2006/relationships/hyperlink" Target="https://www.theglobalcity.uk/PositiveWebsite/media/Research-reports/Our-Global-Offer-to-Business-2026.pdf" TargetMode="External"/><Relationship Id="rId41" Type="http://schemas.openxmlformats.org/officeDocument/2006/relationships/hyperlink" Target="https://www.ft.com/content/1419a5f5-1bd7-4b89-b667-45c2789769ef?syn-25a6b1a6=1" TargetMode="External"/><Relationship Id="rId62" Type="http://schemas.openxmlformats.org/officeDocument/2006/relationships/hyperlink" Target="https://www.ft.com/content/a30e563e-0bbb-45ed-a7b3-55ff595d4e66?syn-25a6b1a6=1" TargetMode="External"/><Relationship Id="rId83" Type="http://schemas.openxmlformats.org/officeDocument/2006/relationships/hyperlink" Target="https://ahdb.org.uk/" TargetMode="External"/><Relationship Id="rId88" Type="http://schemas.openxmlformats.org/officeDocument/2006/relationships/hyperlink" Target="https://www.ft.com/content/9878a2e4-3ac5-43b0-b2c9-b1fe1a4b65e7?syn-25a6b1a6=1" TargetMode="External"/><Relationship Id="rId111" Type="http://schemas.openxmlformats.org/officeDocument/2006/relationships/hyperlink" Target="https://www.ft.com/content/1e9a7365-ee1f-489c-9dea-39a6fc33837b?syn-25a6b1a6=1" TargetMode="External"/><Relationship Id="rId132" Type="http://schemas.openxmlformats.org/officeDocument/2006/relationships/hyperlink" Target="https://www.ft.com/content/ab1a870c-4b98-46c0-a2ad-5d149defeb0f?syn-25a6b1a6=1" TargetMode="External"/><Relationship Id="rId153" Type="http://schemas.openxmlformats.org/officeDocument/2006/relationships/hyperlink" Target="https://www.gov.uk/government/publications/maritime-decarbonisation-strategy" TargetMode="External"/><Relationship Id="rId174" Type="http://schemas.openxmlformats.org/officeDocument/2006/relationships/hyperlink" Target="https://www.ft.com/content/3163af73-e7d0-4e21-81af-963d6c2fce45?syn-25a6b1a6=1" TargetMode="External"/><Relationship Id="rId179" Type="http://schemas.openxmlformats.org/officeDocument/2006/relationships/hyperlink" Target="https://www.bbc.co.uk/news/articles/ckg9d3eyeggo" TargetMode="External"/><Relationship Id="rId190" Type="http://schemas.openxmlformats.org/officeDocument/2006/relationships/fontTable" Target="fontTable.xml"/><Relationship Id="rId15" Type="http://schemas.openxmlformats.org/officeDocument/2006/relationships/hyperlink" Target="https://www.gov.uk/government/publications/risk-categories-for-animal-and-animal-product-imports-to-great-britain/animal-by-products-products-not-intended-for-human-consumption-risk-categories-for-imports-from-eu-to-gb" TargetMode="External"/><Relationship Id="rId36" Type="http://schemas.openxmlformats.org/officeDocument/2006/relationships/hyperlink" Target="https://www.gov.uk/guidance/bluetongue-latest-situation" TargetMode="External"/><Relationship Id="rId57" Type="http://schemas.openxmlformats.org/officeDocument/2006/relationships/hyperlink" Target="https://www.ft.com/content/f160c7b8-d322-4b5f-b5c9-f6861c62e3db?syn-25a6b1a6=1" TargetMode="External"/><Relationship Id="rId106" Type="http://schemas.openxmlformats.org/officeDocument/2006/relationships/hyperlink" Target="https://www.ft.com/content/319d874b-6d71-4802-ad4b-e2aac04fdf40?syn-25a6b1a6=1" TargetMode="External"/><Relationship Id="rId127" Type="http://schemas.openxmlformats.org/officeDocument/2006/relationships/hyperlink" Target="https://www.ft.com/content/d910845e-a886-45a8-a43e-4ca1c5afa4e0?syn-25a6b1a6=1" TargetMode="External"/><Relationship Id="rId10" Type="http://schemas.openxmlformats.org/officeDocument/2006/relationships/hyperlink" Target="https://www.gov.uk/government/publications/the-border-target-operating-model-august-2023" TargetMode="External"/><Relationship Id="rId31" Type="http://schemas.openxmlformats.org/officeDocument/2006/relationships/hyperlink" Target="https://smallbusiness.co.uk/" TargetMode="External"/><Relationship Id="rId52" Type="http://schemas.openxmlformats.org/officeDocument/2006/relationships/hyperlink" Target="https://www.ft.com/content/0a2db2ce-b89f-4d2b-a93b-794e4e422141?syn-25a6b1a6=1" TargetMode="External"/><Relationship Id="rId73" Type="http://schemas.openxmlformats.org/officeDocument/2006/relationships/hyperlink" Target="https://www.ft.com/content/7650d84f-4750-48c4-9a9e-ca899e608931?syn-25a6b1a6=1" TargetMode="External"/><Relationship Id="rId78" Type="http://schemas.openxmlformats.org/officeDocument/2006/relationships/hyperlink" Target="https://www.thetimes.com/uk/defence/article/navy-drone-boats-sending-data-china-k3-rcqd2jcfl" TargetMode="External"/><Relationship Id="rId94" Type="http://schemas.openxmlformats.org/officeDocument/2006/relationships/hyperlink" Target="https://www.ft.com/content/1c4a641c-42f4-429e-94c2-7d16cac96d49?syn-25a6b1a6=1" TargetMode="External"/><Relationship Id="rId99" Type="http://schemas.openxmlformats.org/officeDocument/2006/relationships/hyperlink" Target="https://www.thetimes.com/uk/politics/article/andy-burnham-uk-tour-cost-living-holiday-spnqjl8qh" TargetMode="External"/><Relationship Id="rId101" Type="http://schemas.openxmlformats.org/officeDocument/2006/relationships/hyperlink" Target="https://www.thetimes.com/business/economics/article/andy-burnham-taxes-25bn-gx28q8nnp" TargetMode="External"/><Relationship Id="rId122" Type="http://schemas.openxmlformats.org/officeDocument/2006/relationships/hyperlink" Target="https://www.ft.com/content/8ac695be-2803-4e91-84b3-9cffe2e6d0e3?syn-25a6b1a6=1" TargetMode="External"/><Relationship Id="rId143" Type="http://schemas.openxmlformats.org/officeDocument/2006/relationships/hyperlink" Target="https://www.gov.uk/government/publications/ai-adoption-research/ai-adoption-research" TargetMode="External"/><Relationship Id="rId148" Type="http://schemas.openxmlformats.org/officeDocument/2006/relationships/hyperlink" Target="https://www.gov.uk/government/publications/uk-fusion-strategy-2026?utm_medium=email&amp;utm_campaign=govuk-notifications-topic&amp;utm_source=ea09ea3a-c5d5-493a-b889-bb9f10c5b750&amp;utm_content=weekly" TargetMode="External"/><Relationship Id="rId164" Type="http://schemas.openxmlformats.org/officeDocument/2006/relationships/hyperlink" Target="https://www.find-tender.service.gov.uk/Search" TargetMode="External"/><Relationship Id="rId169" Type="http://schemas.openxmlformats.org/officeDocument/2006/relationships/hyperlink" Target="https://www.ine.pt/xportal/xmain?xpid=INE&amp;xpgid=ine_indicadores&amp;contecto=pi&amp;indOcorrCod=0013431&amp;selTab=tab0" TargetMode="External"/><Relationship Id="rId185" Type="http://schemas.openxmlformats.org/officeDocument/2006/relationships/hyperlink" Target="https://www.omanobserver.om/article/1194732/business/economy/sohar-port-sees-52-jump-in-cargo-handling" TargetMode="External"/><Relationship Id="rId4" Type="http://schemas.openxmlformats.org/officeDocument/2006/relationships/webSettings" Target="webSettings.xml"/><Relationship Id="rId9" Type="http://schemas.openxmlformats.org/officeDocument/2006/relationships/hyperlink" Target="https://taxation-customs.ec.europa.eu/customs-4/international-affairs/third-countries/united-kingdom_en" TargetMode="External"/><Relationship Id="rId180" Type="http://schemas.openxmlformats.org/officeDocument/2006/relationships/hyperlink" Target="https://www.bbc.co.uk/news/articles/c934j5y2lq9o" TargetMode="External"/><Relationship Id="rId26" Type="http://schemas.openxmlformats.org/officeDocument/2006/relationships/hyperlink" Target="https://exhibitionvision.co.uk/exhibition-event-calendar/" TargetMode="External"/><Relationship Id="rId47" Type="http://schemas.openxmlformats.org/officeDocument/2006/relationships/hyperlink" Target="https://www.ft.com/content/1e041e56-e2b6-4320-9dd7-1db8fdd7bc9c?syn-25a6b1a6=1" TargetMode="External"/><Relationship Id="rId68" Type="http://schemas.openxmlformats.org/officeDocument/2006/relationships/hyperlink" Target="https://www.economist.com/britain/2026/08/06/from-parking-tickets-to-planning-the-state-is-under-siege-by-ai" TargetMode="External"/><Relationship Id="rId89" Type="http://schemas.openxmlformats.org/officeDocument/2006/relationships/hyperlink" Target="https://www.thetimes.com/uk/politics/article/treasury-economy-boost-9bn-fiscal-rules-2g397spgb" TargetMode="External"/><Relationship Id="rId112" Type="http://schemas.openxmlformats.org/officeDocument/2006/relationships/hyperlink" Target="https://www.ft.com/content/748b1e8c-63f4-4eca-8103-d9d148cac00c?syn-25a6b1a6=1" TargetMode="External"/><Relationship Id="rId133" Type="http://schemas.openxmlformats.org/officeDocument/2006/relationships/hyperlink" Target="https://www.ft.com/content/21c0ed2d-9892-4bf4-8a1d-2ee96e66d7c5?syn-25a6b1a6=1" TargetMode="External"/><Relationship Id="rId154" Type="http://schemas.openxmlformats.org/officeDocument/2006/relationships/hyperlink" Target="https://www.gov.uk/government/publications/cyber-growth-action-plan-2025?utm_medium=email&amp;utm_campaign=govuk-notifications-topic&amp;utm_source=c3dfedff-d9b4-45bc-86ad-804481f26dce&amp;utm_content=daily" TargetMode="External"/><Relationship Id="rId175" Type="http://schemas.openxmlformats.org/officeDocument/2006/relationships/hyperlink" Target="https://www.theportugalnews.com/news/2026-08-19/inflation-accelerates-to-29-in-the-eurozone-and-3-in-the-eu/1072350" TargetMode="External"/><Relationship Id="rId16" Type="http://schemas.openxmlformats.org/officeDocument/2006/relationships/hyperlink" Target="https://www.gov.uk/government/news/fruit-and-veg-import-checks-scrapped-ahead-of-uk-eu-deal" TargetMode="External"/><Relationship Id="rId37" Type="http://schemas.openxmlformats.org/officeDocument/2006/relationships/hyperlink" Target="https://www.gov.uk/government/organisations/competition-and-markets-authority" TargetMode="External"/><Relationship Id="rId58" Type="http://schemas.openxmlformats.org/officeDocument/2006/relationships/hyperlink" Target="https://www.thetimes.com/uk/scotland/article/north-sea-oil-gas-jobs-energy-2050-zh3fhsgzz" TargetMode="External"/><Relationship Id="rId79" Type="http://schemas.openxmlformats.org/officeDocument/2006/relationships/hyperlink" Target="https://www.ft.com/content/4e3c99fe-1a8d-4fb2-b99a-da1c1da4db8e?syn-25a6b1a6=1" TargetMode="External"/><Relationship Id="rId102" Type="http://schemas.openxmlformats.org/officeDocument/2006/relationships/hyperlink" Target="https://www.ft.com/content/16906e35-f031-4bb7-9aa3-b16da4d78b87?syn-25a6b1a6=1" TargetMode="External"/><Relationship Id="rId123" Type="http://schemas.openxmlformats.org/officeDocument/2006/relationships/hyperlink" Target="https://www.ft.com/content/a70fda49-a76a-45bc-add7-221f7fc307db?syn-25a6b1a6=1" TargetMode="External"/><Relationship Id="rId144" Type="http://schemas.openxmlformats.org/officeDocument/2006/relationships/hyperlink" Target="https://www.gov.uk/government/publications/ai-opportunities-action-plan" TargetMode="External"/><Relationship Id="rId90" Type="http://schemas.openxmlformats.org/officeDocument/2006/relationships/hyperlink" Target="https://www.ft.com/content/f447bd94-8541-4176-acdf-f16e2be4289a?syn-25a6b1a6=1" TargetMode="External"/><Relationship Id="rId165" Type="http://schemas.openxmlformats.org/officeDocument/2006/relationships/hyperlink" Target="https://www.gov.uk/government/news/government-sets-out-plan-for-new-era-of-clean-electricity" TargetMode="External"/><Relationship Id="rId186" Type="http://schemas.openxmlformats.org/officeDocument/2006/relationships/hyperlink" Target="https://www.omanobserver.om/article/1194934/business/economy/omans-rd-spending-reaches-ro-1894-million" TargetMode="External"/><Relationship Id="rId27" Type="http://schemas.openxmlformats.org/officeDocument/2006/relationships/hyperlink" Target="https://businessshowmedia.co.uk/our-portfolio" TargetMode="External"/><Relationship Id="rId48" Type="http://schemas.openxmlformats.org/officeDocument/2006/relationships/hyperlink" Target="https://www.economist.com/britain/2026/08/06/as-the-climate-hurts-britains-wheat-farmers-its-time-to-adapt" TargetMode="External"/><Relationship Id="rId69" Type="http://schemas.openxmlformats.org/officeDocument/2006/relationships/hyperlink" Target="https://www.ft.com/content/418e0159-d2d1-4432-a7b3-de0cc446ef08?syn-25a6b1a6=1" TargetMode="External"/><Relationship Id="rId113" Type="http://schemas.openxmlformats.org/officeDocument/2006/relationships/hyperlink" Target="https://www.ft.com/content/5a606279-3473-4c5b-a16e-ad9db6debafb?syn-25a6b1a6=1" TargetMode="External"/><Relationship Id="rId134" Type="http://schemas.openxmlformats.org/officeDocument/2006/relationships/hyperlink" Target="https://www.ft.com/content/4d7010e3-7e54-457f-b2e1-ea44cc1fddd3?syn-25a6b1a6=1" TargetMode="External"/><Relationship Id="rId80" Type="http://schemas.openxmlformats.org/officeDocument/2006/relationships/hyperlink" Target="https://www.thetimes.com/uk/defence/article/britain-exclusive-access-ukraine-battlefield-data-burnham-zelensky-frs3lzs5v" TargetMode="External"/><Relationship Id="rId155" Type="http://schemas.openxmlformats.org/officeDocument/2006/relationships/hyperlink" Target="https://www.gov.uk/government/publications/cyber-security-longitudinal-survey-wave-five-results?utm_medium=email&amp;utm_campaign=govuk-notifications-topic&amp;utm_source=e47df8e6-0e4c-419e-a0d5-28d75c26c764&amp;utm_content=weekly" TargetMode="External"/><Relationship Id="rId176" Type="http://schemas.openxmlformats.org/officeDocument/2006/relationships/hyperlink" Target="https://www.portugalresident.com/foreign-owned-companies-account-for-almost-half-of-portugals-exports/" TargetMode="External"/><Relationship Id="rId17" Type="http://schemas.openxmlformats.org/officeDocument/2006/relationships/hyperlink" Target="https://www.gov.uk/government/publications/simpler-recycling-in-england-policy-update/simpler-recycling-in-england-policy-update?utm_source=chatgpt.com" TargetMode="External"/><Relationship Id="rId38" Type="http://schemas.openxmlformats.org/officeDocument/2006/relationships/hyperlink" Target="https://www.ft.com/content/748b1e8c-63f4-4eca-8103-d9d148cac00c?syn-25a6b1a6=1" TargetMode="External"/><Relationship Id="rId59" Type="http://schemas.openxmlformats.org/officeDocument/2006/relationships/hyperlink" Target="https://www.ft.com/content/d8162910-af1e-4a8a-93e5-a3309252337d?syn-25a6b1a6=1" TargetMode="External"/><Relationship Id="rId103" Type="http://schemas.openxmlformats.org/officeDocument/2006/relationships/hyperlink" Target="https://www.ft.com/content/699929b6-ce31-4d0b-9828-c0fe96e59d9d?syn-25a6b1a6=1" TargetMode="External"/><Relationship Id="rId124" Type="http://schemas.openxmlformats.org/officeDocument/2006/relationships/hyperlink" Target="https://www.ft.com/content/9f72dc1b-bb4b-4672-8197-73b899a2bc5d?syn-25a6b1a6=1" TargetMode="External"/><Relationship Id="rId70" Type="http://schemas.openxmlformats.org/officeDocument/2006/relationships/hyperlink" Target="https://www.thetimes.com/uk/defence/article/ai-models-help-terrorists-build-bombs-2q296j373" TargetMode="External"/><Relationship Id="rId91" Type="http://schemas.openxmlformats.org/officeDocument/2006/relationships/hyperlink" Target="https://www.thetimes.com/business/companies-markets/article/wall-streets-most-powerful-woman-warns-about-bank-taxes-xrwkrqtvh" TargetMode="External"/><Relationship Id="rId145" Type="http://schemas.openxmlformats.org/officeDocument/2006/relationships/hyperlink" Target="https://www.gov.uk/government/publications/assessment-of-ai-capabilities-and-the-impact-on-the-uk-labour-market?utm_medium=email&amp;utm_campaign=govuk-notifications-topic&amp;utm_source=864a1e1c-cd7e-4c11-939a-2b11062b0431&amp;utm_content=weekly" TargetMode="External"/><Relationship Id="rId166" Type="http://schemas.openxmlformats.org/officeDocument/2006/relationships/hyperlink" Target="https://assets.publishing.service.gov.uk/media/677bc80399c93b7286a396d6/clean-power-2030-action-plan-main-report.pdf" TargetMode="External"/><Relationship Id="rId187" Type="http://schemas.openxmlformats.org/officeDocument/2006/relationships/hyperlink" Target="https://www.omanobserver.om/article/1195306/business/economy/salalah-targets-300-rise-in-water-storage-by-2040" TargetMode="External"/><Relationship Id="rId1" Type="http://schemas.openxmlformats.org/officeDocument/2006/relationships/numbering" Target="numbering.xml"/><Relationship Id="rId28" Type="http://schemas.openxmlformats.org/officeDocument/2006/relationships/hyperlink" Target="https://www.b2bexpos.co.uk/upcoming-events" TargetMode="External"/><Relationship Id="rId49" Type="http://schemas.openxmlformats.org/officeDocument/2006/relationships/hyperlink" Target="https://www.ft.com/content/122c7788-8f8b-4f42-bc42-119a49396f91?syn-25a6b1a6=1" TargetMode="External"/><Relationship Id="rId114" Type="http://schemas.openxmlformats.org/officeDocument/2006/relationships/hyperlink" Target="https://www.ft.com/content/7a9c6019-bd0b-44b4-9a2d-db02ee881266?syn-25a6b1a6=1" TargetMode="External"/><Relationship Id="rId60" Type="http://schemas.openxmlformats.org/officeDocument/2006/relationships/hyperlink" Target="https://www.ft.com/content/7a83b577-8d67-4435-9798-1e53d7fad4e9?syn-25a6b1a6=1" TargetMode="External"/><Relationship Id="rId81" Type="http://schemas.openxmlformats.org/officeDocument/2006/relationships/hyperlink" Target="https://www.ft.com/content/53d35170-2b41-4c21-8b41-345158ef0be1?syn-25a6b1a6=1" TargetMode="External"/><Relationship Id="rId135" Type="http://schemas.openxmlformats.org/officeDocument/2006/relationships/hyperlink" Target="https://www.ft.com/content/f84a4bbe-e489-4822-8644-95b4454b968d?syn-25a6b1a6=1" TargetMode="External"/><Relationship Id="rId156" Type="http://schemas.openxmlformats.org/officeDocument/2006/relationships/hyperlink" Target="https://www.gov.uk/government/publications/government-cyber-action-plan/government-cyber-action-plan" TargetMode="External"/><Relationship Id="rId177" Type="http://schemas.openxmlformats.org/officeDocument/2006/relationships/hyperlink" Target="https://portugal.gov.pt/en/gc25/communication/news/minister-of-economy-and-territorial-cohesion-recovery-and-resilience-plan-fully-implemente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67419</Words>
  <Characters>38430</Characters>
  <Application>Microsoft Office Word</Application>
  <DocSecurity>0</DocSecurity>
  <Lines>320</Lines>
  <Paragraphs>211</Paragraphs>
  <ScaleCrop>false</ScaleCrop>
  <Company/>
  <LinksUpToDate>false</LinksUpToDate>
  <CharactersWithSpaces>105638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Simonas NARVYDAS</dc:creator>
  <cp:lastModifiedBy>Simonas NARVYDAS</cp:lastModifiedBy>
  <cp:revision>3</cp:revision>
  <dcterms:created xsi:type="dcterms:W3CDTF">2026-09-03T14:34:00Z</dcterms:created>
  <dcterms:modified xsi:type="dcterms:W3CDTF">2026-09-07T10:23:00Z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df1ab7e0-db7f-4dd6-83ff-f6ea7210176c</vt:lpwstr>
  </property>
</Properties>
</file>