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FC14F" w14:textId="77777777" w:rsidR="00B7797E" w:rsidRDefault="00000000">
      <w:pPr>
        <w:ind w:left="5103"/>
      </w:pPr>
      <w:r>
        <w:t>Lietuvos Respublikos diplomatinių atstovybių, konsulinių įstaigų ir specialiųjų misijų ekonominių funkcijų vykdymo tvarkos aprašo</w:t>
      </w:r>
    </w:p>
    <w:p w14:paraId="5657C1B3" w14:textId="77777777" w:rsidR="00B7797E" w:rsidRDefault="00000000">
      <w:pPr>
        <w:ind w:firstLine="5103"/>
      </w:pPr>
      <w:r>
        <w:t xml:space="preserve">3 priedas </w:t>
      </w:r>
    </w:p>
    <w:p w14:paraId="7FAECD3C" w14:textId="77777777" w:rsidR="00B7797E" w:rsidRDefault="00B7797E">
      <w:pPr>
        <w:jc w:val="both"/>
      </w:pPr>
    </w:p>
    <w:p w14:paraId="7004757F" w14:textId="77777777" w:rsidR="00B7797E" w:rsidRDefault="00000000">
      <w:pPr>
        <w:jc w:val="center"/>
        <w:rPr>
          <w:b/>
          <w:bCs/>
        </w:rPr>
      </w:pPr>
      <w:r>
        <w:rPr>
          <w:b/>
          <w:bCs/>
        </w:rPr>
        <w:t>(Aktualios ekonominės informacijos suvestinės forma)</w:t>
      </w:r>
    </w:p>
    <w:p w14:paraId="761C8F55" w14:textId="77777777" w:rsidR="00B7797E" w:rsidRDefault="00B7797E">
      <w:pPr>
        <w:jc w:val="center"/>
      </w:pPr>
    </w:p>
    <w:p w14:paraId="40B39602" w14:textId="77777777" w:rsidR="00B7797E" w:rsidRDefault="00000000">
      <w:pPr>
        <w:jc w:val="center"/>
      </w:pPr>
      <w:r>
        <w:t>Lietuvos Respublikos ambasada Budapešte</w:t>
      </w:r>
    </w:p>
    <w:p w14:paraId="448E9462" w14:textId="77777777" w:rsidR="00B7797E" w:rsidRDefault="00B7797E">
      <w:pPr>
        <w:jc w:val="both"/>
      </w:pPr>
    </w:p>
    <w:p w14:paraId="2CDF3C49" w14:textId="77777777" w:rsidR="00B7797E" w:rsidRDefault="00B7797E">
      <w:pPr>
        <w:jc w:val="both"/>
      </w:pPr>
    </w:p>
    <w:p w14:paraId="0B187758" w14:textId="77777777" w:rsidR="00B7797E" w:rsidRDefault="00000000">
      <w:pPr>
        <w:jc w:val="center"/>
        <w:rPr>
          <w:b/>
          <w:bCs/>
        </w:rPr>
      </w:pPr>
      <w:r>
        <w:rPr>
          <w:b/>
          <w:bCs/>
        </w:rPr>
        <w:t>AKTUALIOS EKONOMINĖS INFORMACIJOS SUVESTINĖ</w:t>
      </w:r>
    </w:p>
    <w:p w14:paraId="44A70EA2" w14:textId="77777777" w:rsidR="00B7797E" w:rsidRDefault="00B7797E">
      <w:pPr>
        <w:jc w:val="center"/>
        <w:rPr>
          <w:b/>
          <w:bCs/>
        </w:rPr>
      </w:pPr>
    </w:p>
    <w:p w14:paraId="57E9485F" w14:textId="77777777" w:rsidR="00B7797E" w:rsidRDefault="00000000">
      <w:pPr>
        <w:spacing w:after="80"/>
        <w:jc w:val="center"/>
      </w:pPr>
      <w:r>
        <w:t>2026-08-10</w:t>
      </w:r>
    </w:p>
    <w:p w14:paraId="2B8A5774" w14:textId="77777777" w:rsidR="00B7797E" w:rsidRDefault="00B7797E">
      <w:pPr>
        <w:spacing w:after="80"/>
        <w:jc w:val="center"/>
      </w:pPr>
    </w:p>
    <w:p w14:paraId="7549C90A" w14:textId="77777777" w:rsidR="00B7797E" w:rsidRDefault="00B7797E">
      <w:pPr>
        <w:spacing w:after="80"/>
      </w:pPr>
    </w:p>
    <w:tbl>
      <w:tblPr>
        <w:tblStyle w:val="a"/>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1"/>
        <w:gridCol w:w="4706"/>
        <w:gridCol w:w="2381"/>
        <w:gridCol w:w="1191"/>
      </w:tblGrid>
      <w:tr w:rsidR="00B7797E" w14:paraId="6BE5B2C7" w14:textId="77777777">
        <w:trPr>
          <w:tblHeader/>
          <w:jc w:val="center"/>
        </w:trPr>
        <w:tc>
          <w:tcPr>
            <w:tcW w:w="1361" w:type="dxa"/>
            <w:tcMar>
              <w:top w:w="65" w:type="dxa"/>
              <w:bottom w:w="65" w:type="dxa"/>
            </w:tcMar>
            <w:vAlign w:val="center"/>
          </w:tcPr>
          <w:p w14:paraId="2AB284E9" w14:textId="77777777" w:rsidR="00B7797E" w:rsidRDefault="00000000">
            <w:pPr>
              <w:jc w:val="center"/>
            </w:pPr>
            <w:r>
              <w:rPr>
                <w:b/>
                <w:bCs/>
              </w:rPr>
              <w:t>Data</w:t>
            </w:r>
          </w:p>
        </w:tc>
        <w:tc>
          <w:tcPr>
            <w:tcW w:w="4706" w:type="dxa"/>
            <w:tcMar>
              <w:top w:w="65" w:type="dxa"/>
              <w:bottom w:w="65" w:type="dxa"/>
            </w:tcMar>
            <w:vAlign w:val="center"/>
          </w:tcPr>
          <w:p w14:paraId="1DA1B74A" w14:textId="77777777" w:rsidR="00B7797E" w:rsidRDefault="00000000">
            <w:pPr>
              <w:jc w:val="center"/>
            </w:pPr>
            <w:r>
              <w:rPr>
                <w:b/>
                <w:bCs/>
              </w:rPr>
              <w:t>Pateikiamos informacijos apibendrinimas</w:t>
            </w:r>
          </w:p>
        </w:tc>
        <w:tc>
          <w:tcPr>
            <w:tcW w:w="2381" w:type="dxa"/>
            <w:tcMar>
              <w:top w:w="65" w:type="dxa"/>
              <w:bottom w:w="65" w:type="dxa"/>
            </w:tcMar>
            <w:vAlign w:val="center"/>
          </w:tcPr>
          <w:p w14:paraId="600140C9" w14:textId="77777777" w:rsidR="00B7797E" w:rsidRDefault="00000000">
            <w:pPr>
              <w:jc w:val="center"/>
            </w:pPr>
            <w:r>
              <w:rPr>
                <w:b/>
                <w:bCs/>
              </w:rPr>
              <w:t>Informacijos</w:t>
            </w:r>
            <w:r>
              <w:rPr>
                <w:b/>
                <w:bCs/>
              </w:rPr>
              <w:br/>
              <w:t>šaltinis</w:t>
            </w:r>
          </w:p>
        </w:tc>
        <w:tc>
          <w:tcPr>
            <w:tcW w:w="1191" w:type="dxa"/>
            <w:tcMar>
              <w:top w:w="65" w:type="dxa"/>
              <w:bottom w:w="65" w:type="dxa"/>
            </w:tcMar>
            <w:vAlign w:val="center"/>
          </w:tcPr>
          <w:p w14:paraId="2B1F53FC" w14:textId="77777777" w:rsidR="00B7797E" w:rsidRDefault="00000000">
            <w:pPr>
              <w:jc w:val="center"/>
            </w:pPr>
            <w:r>
              <w:rPr>
                <w:b/>
                <w:bCs/>
              </w:rPr>
              <w:t>Pastabos</w:t>
            </w:r>
          </w:p>
        </w:tc>
      </w:tr>
      <w:tr w:rsidR="00B7797E" w14:paraId="6972A15F" w14:textId="77777777">
        <w:trPr>
          <w:jc w:val="center"/>
        </w:trPr>
        <w:tc>
          <w:tcPr>
            <w:tcW w:w="9639" w:type="dxa"/>
            <w:gridSpan w:val="4"/>
            <w:shd w:val="clear" w:color="auto" w:fill="E7E6E6"/>
            <w:tcMar>
              <w:top w:w="55" w:type="dxa"/>
              <w:bottom w:w="55" w:type="dxa"/>
            </w:tcMar>
          </w:tcPr>
          <w:p w14:paraId="66085A07" w14:textId="77777777" w:rsidR="00B7797E" w:rsidRDefault="00000000">
            <w:r>
              <w:rPr>
                <w:b/>
                <w:bCs/>
              </w:rPr>
              <w:t>Lietuvos eksportuotojams aktuali informacija</w:t>
            </w:r>
          </w:p>
        </w:tc>
      </w:tr>
      <w:tr w:rsidR="00B7797E" w14:paraId="772CC664" w14:textId="77777777">
        <w:trPr>
          <w:jc w:val="center"/>
        </w:trPr>
        <w:tc>
          <w:tcPr>
            <w:tcW w:w="1361" w:type="dxa"/>
            <w:tcMar>
              <w:top w:w="65" w:type="dxa"/>
              <w:bottom w:w="65" w:type="dxa"/>
            </w:tcMar>
          </w:tcPr>
          <w:p w14:paraId="6DA5A9C0" w14:textId="77777777" w:rsidR="00B7797E" w:rsidRDefault="00000000">
            <w:r>
              <w:t>2026-07-23</w:t>
            </w:r>
          </w:p>
        </w:tc>
        <w:tc>
          <w:tcPr>
            <w:tcW w:w="4706" w:type="dxa"/>
            <w:tcMar>
              <w:top w:w="65" w:type="dxa"/>
              <w:bottom w:w="65" w:type="dxa"/>
            </w:tcMar>
          </w:tcPr>
          <w:p w14:paraId="076E2EB4" w14:textId="77777777" w:rsidR="00B7797E" w:rsidRDefault="00000000">
            <w:pPr>
              <w:spacing w:line="276" w:lineRule="auto"/>
              <w:jc w:val="both"/>
            </w:pPr>
            <w:r>
              <w:t xml:space="preserve">Vyriausybė paskelbė, kad nuo rugsėjo 1 d. receptiniams vaistams iki šiol taikytas 5 % PVM bus panaikintas. Priemonė taikoma tiek valstybės kompensuojamiems, tiek nekompensuojamiems receptiniams vaistams. </w:t>
            </w:r>
          </w:p>
        </w:tc>
        <w:tc>
          <w:tcPr>
            <w:tcW w:w="2381" w:type="dxa"/>
            <w:tcMar>
              <w:top w:w="65" w:type="dxa"/>
              <w:bottom w:w="65" w:type="dxa"/>
            </w:tcMar>
          </w:tcPr>
          <w:p w14:paraId="29025DEC" w14:textId="77777777" w:rsidR="00B7797E" w:rsidRDefault="00000000">
            <w:pPr>
              <w:rPr>
                <w:color w:val="45818E"/>
              </w:rPr>
            </w:pPr>
            <w:hyperlink r:id="rId5">
              <w:r>
                <w:rPr>
                  <w:color w:val="45818E"/>
                  <w:u w:val="single"/>
                </w:rPr>
                <w:t>https://kormany.hu/kormanyszovivoi-tajekoztato/szeptembertol-eltorli-a-venykoteles-gyogyszerek-afajat-a-kormany</w:t>
              </w:r>
            </w:hyperlink>
            <w:r>
              <w:rPr>
                <w:color w:val="45818E"/>
              </w:rPr>
              <w:t xml:space="preserve"> </w:t>
            </w:r>
          </w:p>
        </w:tc>
        <w:tc>
          <w:tcPr>
            <w:tcW w:w="1191" w:type="dxa"/>
            <w:tcMar>
              <w:top w:w="65" w:type="dxa"/>
              <w:bottom w:w="65" w:type="dxa"/>
            </w:tcMar>
          </w:tcPr>
          <w:p w14:paraId="5AD9F8DB" w14:textId="77777777" w:rsidR="00B7797E" w:rsidRDefault="00B7797E"/>
        </w:tc>
      </w:tr>
      <w:tr w:rsidR="00B7797E" w14:paraId="1D3896EB" w14:textId="77777777">
        <w:trPr>
          <w:jc w:val="center"/>
        </w:trPr>
        <w:tc>
          <w:tcPr>
            <w:tcW w:w="1361" w:type="dxa"/>
            <w:tcMar>
              <w:top w:w="65" w:type="dxa"/>
              <w:bottom w:w="65" w:type="dxa"/>
            </w:tcMar>
          </w:tcPr>
          <w:p w14:paraId="0BC3EC8F" w14:textId="77777777" w:rsidR="00B7797E" w:rsidRDefault="00000000">
            <w:r>
              <w:t>2026-08-06</w:t>
            </w:r>
          </w:p>
        </w:tc>
        <w:tc>
          <w:tcPr>
            <w:tcW w:w="4706" w:type="dxa"/>
            <w:tcMar>
              <w:top w:w="65" w:type="dxa"/>
              <w:bottom w:w="65" w:type="dxa"/>
            </w:tcMar>
          </w:tcPr>
          <w:p w14:paraId="7656D1BC" w14:textId="77777777" w:rsidR="00B7797E" w:rsidRDefault="00000000">
            <w:pPr>
              <w:spacing w:line="276" w:lineRule="auto"/>
              <w:jc w:val="both"/>
            </w:pPr>
            <w:r>
              <w:t xml:space="preserve">Metinė infliacija Vengrijoje liepą sumažėjo iki 1,2 % nuo 1,7 % birželį ir pasiekė žemiausią lygį nuo 2016 m. Palyginti su birželiu, vartotojų kainos sumažėjo 0,1 %. Maisto produktų kainų pokyčiai buvo nevienodi: maitinimo įstaigų kainos per metus augo 5,8 %, aliejus brango 3,8 %, tačiau sviestas atpigo 14,1 %, kiauliena – 13,1 %, pienas – 7 %. Namų ūkių energija atpigo 4,3 %, įskaitant 10,9 % sumažėjusias dujų kainas, o elektra pabrango 1,5 %. Grynoji infliacija sumažėjo nuo 2,0 % iki 1,9 %. Per pirmuosius septynis metų mėnesius vidutinė metinė infliacija siekė 1,7 %. </w:t>
            </w:r>
          </w:p>
        </w:tc>
        <w:tc>
          <w:tcPr>
            <w:tcW w:w="2381" w:type="dxa"/>
            <w:tcMar>
              <w:top w:w="65" w:type="dxa"/>
              <w:bottom w:w="65" w:type="dxa"/>
            </w:tcMar>
          </w:tcPr>
          <w:p w14:paraId="7BB90471" w14:textId="77777777" w:rsidR="00B7797E" w:rsidRDefault="00000000">
            <w:pPr>
              <w:rPr>
                <w:color w:val="45818E"/>
              </w:rPr>
            </w:pPr>
            <w:hyperlink r:id="rId6">
              <w:r>
                <w:rPr>
                  <w:color w:val="45818E"/>
                  <w:u w:val="single"/>
                </w:rPr>
                <w:t>https://www.ksh.hu/en/first-releases/far/efar2607.html</w:t>
              </w:r>
            </w:hyperlink>
            <w:r>
              <w:rPr>
                <w:color w:val="45818E"/>
              </w:rPr>
              <w:t xml:space="preserve"> </w:t>
            </w:r>
          </w:p>
        </w:tc>
        <w:tc>
          <w:tcPr>
            <w:tcW w:w="1191" w:type="dxa"/>
            <w:tcMar>
              <w:top w:w="65" w:type="dxa"/>
              <w:bottom w:w="65" w:type="dxa"/>
            </w:tcMar>
          </w:tcPr>
          <w:p w14:paraId="03EC59AB" w14:textId="77777777" w:rsidR="00B7797E" w:rsidRDefault="00B7797E"/>
        </w:tc>
      </w:tr>
      <w:tr w:rsidR="00B7797E" w14:paraId="3958B8BB" w14:textId="77777777">
        <w:trPr>
          <w:jc w:val="center"/>
        </w:trPr>
        <w:tc>
          <w:tcPr>
            <w:tcW w:w="1361" w:type="dxa"/>
            <w:tcMar>
              <w:top w:w="65" w:type="dxa"/>
              <w:bottom w:w="65" w:type="dxa"/>
            </w:tcMar>
          </w:tcPr>
          <w:p w14:paraId="1F0265C7" w14:textId="77777777" w:rsidR="00B7797E" w:rsidRDefault="00000000">
            <w:r>
              <w:t>2026-08-07</w:t>
            </w:r>
          </w:p>
        </w:tc>
        <w:tc>
          <w:tcPr>
            <w:tcW w:w="4706" w:type="dxa"/>
            <w:tcMar>
              <w:top w:w="65" w:type="dxa"/>
              <w:bottom w:w="65" w:type="dxa"/>
            </w:tcMar>
          </w:tcPr>
          <w:p w14:paraId="3A0743CF" w14:textId="2582DBD6" w:rsidR="00B7797E" w:rsidRDefault="00000000">
            <w:pPr>
              <w:spacing w:line="276" w:lineRule="auto"/>
              <w:jc w:val="both"/>
            </w:pPr>
            <w:r>
              <w:t xml:space="preserve">Forintas per pastarąjį mėnesį euro atžvilgiu susilpnėjo. Liepos 14 d. oficialus MNB kursas siekė 360,65 HUF už eurą, o rugpjūčio 7 d. – 366,40 HUF. </w:t>
            </w:r>
          </w:p>
        </w:tc>
        <w:tc>
          <w:tcPr>
            <w:tcW w:w="2381" w:type="dxa"/>
            <w:tcMar>
              <w:top w:w="65" w:type="dxa"/>
              <w:bottom w:w="65" w:type="dxa"/>
            </w:tcMar>
          </w:tcPr>
          <w:p w14:paraId="43C11EBC" w14:textId="77777777" w:rsidR="00B7797E" w:rsidRDefault="00000000">
            <w:pPr>
              <w:rPr>
                <w:color w:val="45818E"/>
              </w:rPr>
            </w:pPr>
            <w:hyperlink r:id="rId7">
              <w:r>
                <w:rPr>
                  <w:color w:val="45818E"/>
                  <w:u w:val="single"/>
                </w:rPr>
                <w:t>https://www.ecb.europa.eu/stats/policy_and_exchange_rates/euro_reference_exchange_rates/html/eurofxref-graph-huf.en.html</w:t>
              </w:r>
            </w:hyperlink>
            <w:r>
              <w:rPr>
                <w:color w:val="45818E"/>
              </w:rPr>
              <w:t xml:space="preserve"> </w:t>
            </w:r>
          </w:p>
        </w:tc>
        <w:tc>
          <w:tcPr>
            <w:tcW w:w="1191" w:type="dxa"/>
            <w:tcMar>
              <w:top w:w="65" w:type="dxa"/>
              <w:bottom w:w="65" w:type="dxa"/>
            </w:tcMar>
          </w:tcPr>
          <w:p w14:paraId="62C4F786" w14:textId="77777777" w:rsidR="00B7797E" w:rsidRDefault="00B7797E"/>
        </w:tc>
      </w:tr>
      <w:tr w:rsidR="00B7797E" w14:paraId="776B9F23" w14:textId="77777777">
        <w:trPr>
          <w:jc w:val="center"/>
        </w:trPr>
        <w:tc>
          <w:tcPr>
            <w:tcW w:w="1361" w:type="dxa"/>
            <w:tcMar>
              <w:top w:w="65" w:type="dxa"/>
              <w:bottom w:w="65" w:type="dxa"/>
            </w:tcMar>
          </w:tcPr>
          <w:p w14:paraId="1BB3AABD" w14:textId="77777777" w:rsidR="00B7797E" w:rsidRDefault="00000000">
            <w:r>
              <w:lastRenderedPageBreak/>
              <w:t>2026-07-23</w:t>
            </w:r>
          </w:p>
        </w:tc>
        <w:tc>
          <w:tcPr>
            <w:tcW w:w="4706" w:type="dxa"/>
            <w:tcMar>
              <w:top w:w="65" w:type="dxa"/>
              <w:bottom w:w="65" w:type="dxa"/>
            </w:tcMar>
          </w:tcPr>
          <w:p w14:paraId="56A9CF1A" w14:textId="77777777" w:rsidR="00B7797E" w:rsidRDefault="00000000">
            <w:pPr>
              <w:spacing w:line="276" w:lineRule="auto"/>
              <w:jc w:val="both"/>
            </w:pPr>
            <w:r>
              <w:t xml:space="preserve">GKI instituto skaičiuojamas ekonominio pasitikėjimo indeksas liepą pakilo nuo -6,2 iki -3,5 punkto ir pasiekė aukščiausią lygį nuo mėnesio prieš Rusijos invaziją į Ukrainą. Verslo pasitikėjimo rodiklis pagerėjo nuo -8,4 iki -5,3 punkto, ypač sustiprėjo pramonės įmonių lūkesčiai. Vartotojų pasitikėjimo indeksas pakilo nuo -0,1 iki 1,6 punkto ir pasiekė aukščiausią lygį per aštuonerius metus. 16 % apklaustų įmonių planavo per artimiausius tris mėnesius didinti pardavimo kainas, 8 % – jas mažinti. </w:t>
            </w:r>
          </w:p>
        </w:tc>
        <w:tc>
          <w:tcPr>
            <w:tcW w:w="2381" w:type="dxa"/>
            <w:tcMar>
              <w:top w:w="65" w:type="dxa"/>
              <w:bottom w:w="65" w:type="dxa"/>
            </w:tcMar>
          </w:tcPr>
          <w:p w14:paraId="4B7B0C5C" w14:textId="77777777" w:rsidR="00B7797E" w:rsidRDefault="00000000">
            <w:pPr>
              <w:rPr>
                <w:color w:val="45818E"/>
              </w:rPr>
            </w:pPr>
            <w:hyperlink r:id="rId8">
              <w:r>
                <w:rPr>
                  <w:color w:val="45818E"/>
                  <w:u w:val="single"/>
                </w:rPr>
                <w:t>https://research.gki.hu/2026/07/23/a-gki-konjunktura-indexe-juliusban-tovabb-emelkedett/</w:t>
              </w:r>
            </w:hyperlink>
            <w:r>
              <w:rPr>
                <w:color w:val="45818E"/>
              </w:rPr>
              <w:t xml:space="preserve"> </w:t>
            </w:r>
          </w:p>
        </w:tc>
        <w:tc>
          <w:tcPr>
            <w:tcW w:w="1191" w:type="dxa"/>
            <w:tcMar>
              <w:top w:w="65" w:type="dxa"/>
              <w:bottom w:w="65" w:type="dxa"/>
            </w:tcMar>
          </w:tcPr>
          <w:p w14:paraId="4A95FF30" w14:textId="77777777" w:rsidR="00B7797E" w:rsidRDefault="00B7797E"/>
        </w:tc>
      </w:tr>
      <w:tr w:rsidR="00B7797E" w14:paraId="7F743FB4" w14:textId="77777777">
        <w:trPr>
          <w:jc w:val="center"/>
        </w:trPr>
        <w:tc>
          <w:tcPr>
            <w:tcW w:w="9639" w:type="dxa"/>
            <w:gridSpan w:val="4"/>
            <w:shd w:val="clear" w:color="auto" w:fill="E7E6E6"/>
            <w:tcMar>
              <w:top w:w="55" w:type="dxa"/>
              <w:bottom w:w="55" w:type="dxa"/>
            </w:tcMar>
          </w:tcPr>
          <w:p w14:paraId="76C50596" w14:textId="77777777" w:rsidR="00B7797E" w:rsidRDefault="00000000">
            <w:r>
              <w:rPr>
                <w:b/>
                <w:bCs/>
              </w:rPr>
              <w:t>Lietuvos verslo plėtrai užsienyje aktuali informacija / Tiesioginėms užsienio investicijoms pritraukti į Lietuvą aktuali informacija</w:t>
            </w:r>
          </w:p>
        </w:tc>
      </w:tr>
      <w:tr w:rsidR="00B7797E" w14:paraId="29380E31" w14:textId="77777777">
        <w:trPr>
          <w:jc w:val="center"/>
        </w:trPr>
        <w:tc>
          <w:tcPr>
            <w:tcW w:w="1361" w:type="dxa"/>
            <w:tcMar>
              <w:top w:w="65" w:type="dxa"/>
              <w:bottom w:w="65" w:type="dxa"/>
            </w:tcMar>
          </w:tcPr>
          <w:p w14:paraId="29BCD21B" w14:textId="77777777" w:rsidR="00B7797E" w:rsidRDefault="00000000">
            <w:r>
              <w:t>2026-07-20</w:t>
            </w:r>
          </w:p>
        </w:tc>
        <w:tc>
          <w:tcPr>
            <w:tcW w:w="4706" w:type="dxa"/>
            <w:tcMar>
              <w:top w:w="65" w:type="dxa"/>
              <w:bottom w:w="65" w:type="dxa"/>
            </w:tcMar>
          </w:tcPr>
          <w:p w14:paraId="4BD51712" w14:textId="77777777" w:rsidR="00B7797E" w:rsidRDefault="00000000">
            <w:pPr>
              <w:spacing w:line="276" w:lineRule="auto"/>
              <w:jc w:val="both"/>
            </w:pPr>
            <w:r>
              <w:t>Didžiausias Vengrijos komercinis bankas OTP pasirašė susitarimą įsigyti „Luminor“ iš „Blackstone“ valdomų fondų ir Norvegijos DNB banko. Sandorio vertė neatskleidžiama, o pats įsigijimas dar nėra užbaigtas – tam reikės Europos ir Baltijos šalių priežiūros institucijų leidimų. Tai būtų pirmasis OTP grupės žingsnis į Estijos, Latvijos bei Lietuvos rinkas. Įgyvendinus sandorį OTP bendras turtas padidėtų maždaug 13 %.</w:t>
            </w:r>
          </w:p>
          <w:p w14:paraId="48E2EF65" w14:textId="77777777" w:rsidR="00B7797E" w:rsidRDefault="00000000">
            <w:pPr>
              <w:spacing w:line="276" w:lineRule="auto"/>
              <w:jc w:val="both"/>
            </w:pPr>
            <w:r>
              <w:t xml:space="preserve">Lietuvos bankas nurodė, kad OTP veikla Rusijoje kelia pagrįstų klausimų. Vertinant sandorį ECB ir Estijos priežiūros institucija konsultuosis su Lietuvos ir Latvijos reguliuotojais. </w:t>
            </w:r>
          </w:p>
        </w:tc>
        <w:tc>
          <w:tcPr>
            <w:tcW w:w="2381" w:type="dxa"/>
            <w:tcMar>
              <w:top w:w="65" w:type="dxa"/>
              <w:bottom w:w="65" w:type="dxa"/>
            </w:tcMar>
          </w:tcPr>
          <w:p w14:paraId="4506D813" w14:textId="77777777" w:rsidR="00B7797E" w:rsidRDefault="00000000">
            <w:pPr>
              <w:rPr>
                <w:color w:val="45818E"/>
              </w:rPr>
            </w:pPr>
            <w:hyperlink r:id="rId9">
              <w:r>
                <w:rPr>
                  <w:color w:val="45818E"/>
                  <w:u w:val="single"/>
                </w:rPr>
                <w:t>https://www.otpgroup.info/news/new-chapter-in-baltic-financial-markets</w:t>
              </w:r>
            </w:hyperlink>
            <w:r>
              <w:rPr>
                <w:color w:val="45818E"/>
              </w:rPr>
              <w:t xml:space="preserve"> </w:t>
            </w:r>
          </w:p>
        </w:tc>
        <w:tc>
          <w:tcPr>
            <w:tcW w:w="1191" w:type="dxa"/>
            <w:tcMar>
              <w:top w:w="65" w:type="dxa"/>
              <w:bottom w:w="65" w:type="dxa"/>
            </w:tcMar>
          </w:tcPr>
          <w:p w14:paraId="329C1756" w14:textId="77777777" w:rsidR="00B7797E" w:rsidRDefault="00B7797E"/>
        </w:tc>
      </w:tr>
      <w:tr w:rsidR="00B7797E" w14:paraId="0E145E10" w14:textId="77777777">
        <w:trPr>
          <w:jc w:val="center"/>
        </w:trPr>
        <w:tc>
          <w:tcPr>
            <w:tcW w:w="1361" w:type="dxa"/>
            <w:tcMar>
              <w:top w:w="65" w:type="dxa"/>
              <w:bottom w:w="65" w:type="dxa"/>
            </w:tcMar>
          </w:tcPr>
          <w:p w14:paraId="6685405F" w14:textId="77777777" w:rsidR="00B7797E" w:rsidRDefault="00000000">
            <w:r>
              <w:t>2026-07-22</w:t>
            </w:r>
          </w:p>
        </w:tc>
        <w:tc>
          <w:tcPr>
            <w:tcW w:w="4706" w:type="dxa"/>
            <w:tcMar>
              <w:top w:w="65" w:type="dxa"/>
              <w:bottom w:w="65" w:type="dxa"/>
            </w:tcMar>
          </w:tcPr>
          <w:p w14:paraId="21035CCC" w14:textId="77777777" w:rsidR="00B7797E" w:rsidRDefault="00000000">
            <w:pPr>
              <w:spacing w:line="276" w:lineRule="auto"/>
              <w:jc w:val="both"/>
            </w:pPr>
            <w:r>
              <w:t xml:space="preserve">Vengrijos energetikos reguliuotojas MEKH pradėjo konsultaciją dėl pirmojo naujų vėjo elektrinių tinklo prijungimo konkurso, kurį numatyta paskelbti iki rugpjūčio 31 d. Pradiniame plane konkursas turėjo apimti ne mažiau kaip 700 MW, tačiau, preliminariam rinkos tyrimui parodžius didesnį investuotojų susidomėjimą, vyriausybė svarsto jau apie 1 GW naujų pajėgumų. Iki 2030 m. per konkursus planuojama paskirstyti iš viso ne </w:t>
            </w:r>
            <w:r>
              <w:lastRenderedPageBreak/>
              <w:t xml:space="preserve">mažiau kaip 4 GW vėjo elektrinių prijungimo pajėgumų. </w:t>
            </w:r>
          </w:p>
        </w:tc>
        <w:tc>
          <w:tcPr>
            <w:tcW w:w="2381" w:type="dxa"/>
            <w:tcMar>
              <w:top w:w="65" w:type="dxa"/>
              <w:bottom w:w="65" w:type="dxa"/>
            </w:tcMar>
          </w:tcPr>
          <w:p w14:paraId="190BC13F" w14:textId="77777777" w:rsidR="00B7797E" w:rsidRDefault="00000000">
            <w:pPr>
              <w:rPr>
                <w:color w:val="45818E"/>
              </w:rPr>
            </w:pPr>
            <w:hyperlink r:id="rId10">
              <w:r>
                <w:rPr>
                  <w:color w:val="45818E"/>
                  <w:u w:val="single"/>
                </w:rPr>
                <w:t>https://www.dentons.com/en/insights/articles/2026/july/27/a-new-breeze-in-hungary-first-details-on-the-wind-energy-grid-capacity-tender</w:t>
              </w:r>
            </w:hyperlink>
            <w:r>
              <w:rPr>
                <w:color w:val="45818E"/>
              </w:rPr>
              <w:t xml:space="preserve"> </w:t>
            </w:r>
          </w:p>
          <w:p w14:paraId="73015E22" w14:textId="77777777" w:rsidR="00B7797E" w:rsidRDefault="00B7797E">
            <w:pPr>
              <w:rPr>
                <w:color w:val="45818E"/>
              </w:rPr>
            </w:pPr>
          </w:p>
        </w:tc>
        <w:tc>
          <w:tcPr>
            <w:tcW w:w="1191" w:type="dxa"/>
            <w:tcMar>
              <w:top w:w="65" w:type="dxa"/>
              <w:bottom w:w="65" w:type="dxa"/>
            </w:tcMar>
          </w:tcPr>
          <w:p w14:paraId="16852CCC" w14:textId="77777777" w:rsidR="00B7797E" w:rsidRDefault="00B7797E"/>
        </w:tc>
      </w:tr>
      <w:tr w:rsidR="00B7797E" w14:paraId="68062564" w14:textId="77777777">
        <w:trPr>
          <w:jc w:val="center"/>
        </w:trPr>
        <w:tc>
          <w:tcPr>
            <w:tcW w:w="1361" w:type="dxa"/>
            <w:tcMar>
              <w:top w:w="65" w:type="dxa"/>
              <w:bottom w:w="65" w:type="dxa"/>
            </w:tcMar>
          </w:tcPr>
          <w:p w14:paraId="3E693805" w14:textId="77777777" w:rsidR="00B7797E" w:rsidRDefault="00000000">
            <w:r>
              <w:t>2026-07-27</w:t>
            </w:r>
          </w:p>
        </w:tc>
        <w:tc>
          <w:tcPr>
            <w:tcW w:w="4706" w:type="dxa"/>
            <w:tcMar>
              <w:top w:w="65" w:type="dxa"/>
              <w:bottom w:w="65" w:type="dxa"/>
            </w:tcMar>
          </w:tcPr>
          <w:p w14:paraId="6596F819" w14:textId="77777777" w:rsidR="00B7797E" w:rsidRDefault="00000000">
            <w:pPr>
              <w:spacing w:line="276" w:lineRule="auto"/>
              <w:jc w:val="both"/>
            </w:pPr>
            <w:r>
              <w:t xml:space="preserve">JAV energetikos technologijų bendrovė „GE Vernova“ tęsia Veresegyházo gamybos ir dujų turbinų remonto centro modernizaciją. Dar 2025 m. bendrovė investavo 24,5 mln. JAV dolerių į naujas gamybos linijas ir aukšto tikslumo įrangą, taip pat diegia 14,5 MW saulės elektrinę ir 40 MWh energijos kaupimo sistemą. Per artimiausius metus numatoma papildomai įdarbinti daugiau kaip 80 specialistų. </w:t>
            </w:r>
          </w:p>
        </w:tc>
        <w:tc>
          <w:tcPr>
            <w:tcW w:w="2381" w:type="dxa"/>
            <w:tcMar>
              <w:top w:w="65" w:type="dxa"/>
              <w:bottom w:w="65" w:type="dxa"/>
            </w:tcMar>
          </w:tcPr>
          <w:p w14:paraId="6BB8C094" w14:textId="77777777" w:rsidR="00B7797E" w:rsidRDefault="00000000">
            <w:pPr>
              <w:rPr>
                <w:color w:val="45818E"/>
              </w:rPr>
            </w:pPr>
            <w:hyperlink r:id="rId11">
              <w:r>
                <w:rPr>
                  <w:color w:val="45818E"/>
                  <w:u w:val="single"/>
                </w:rPr>
                <w:t>https://www.gevernova.com/news/press-releases/ge-vernova-modernizes-its-veresegyhaz-hub-boost-energy-independence-lean-production</w:t>
              </w:r>
            </w:hyperlink>
            <w:r>
              <w:rPr>
                <w:color w:val="45818E"/>
              </w:rPr>
              <w:t xml:space="preserve"> </w:t>
            </w:r>
          </w:p>
        </w:tc>
        <w:tc>
          <w:tcPr>
            <w:tcW w:w="1191" w:type="dxa"/>
            <w:tcMar>
              <w:top w:w="65" w:type="dxa"/>
              <w:bottom w:w="65" w:type="dxa"/>
            </w:tcMar>
          </w:tcPr>
          <w:p w14:paraId="29C0E461" w14:textId="77777777" w:rsidR="00B7797E" w:rsidRDefault="00B7797E"/>
        </w:tc>
      </w:tr>
      <w:tr w:rsidR="00B7797E" w14:paraId="777184BE" w14:textId="77777777">
        <w:trPr>
          <w:jc w:val="center"/>
        </w:trPr>
        <w:tc>
          <w:tcPr>
            <w:tcW w:w="1361" w:type="dxa"/>
            <w:tcMar>
              <w:top w:w="65" w:type="dxa"/>
              <w:bottom w:w="65" w:type="dxa"/>
            </w:tcMar>
          </w:tcPr>
          <w:p w14:paraId="4ED56A75" w14:textId="77777777" w:rsidR="00B7797E" w:rsidRDefault="00000000">
            <w:r>
              <w:t>2026-07-23</w:t>
            </w:r>
          </w:p>
        </w:tc>
        <w:tc>
          <w:tcPr>
            <w:tcW w:w="4706" w:type="dxa"/>
            <w:tcMar>
              <w:top w:w="65" w:type="dxa"/>
              <w:bottom w:w="65" w:type="dxa"/>
            </w:tcMar>
          </w:tcPr>
          <w:p w14:paraId="6C61F161" w14:textId="77777777" w:rsidR="00B7797E" w:rsidRDefault="00000000">
            <w:pPr>
              <w:spacing w:line="276" w:lineRule="auto"/>
              <w:jc w:val="both"/>
            </w:pPr>
            <w:r>
              <w:t xml:space="preserve">Vengrijos vyriausybė pradėjo 10 metų trukmės, apie 3,55 trln. forintų (apie 9,8 mlrd. eurų) vertės geležinkelių plėtros programą. Numatyta modernizuoti geležinkelių infrastruktūrą, stočių tinklą ir priemiestinį transportą, plėsti krovinių vežimo pajėgumus bei atnaujinti riedmenis. </w:t>
            </w:r>
          </w:p>
          <w:p w14:paraId="0475FF24" w14:textId="77777777" w:rsidR="00B7797E" w:rsidRDefault="00000000">
            <w:pPr>
              <w:spacing w:line="276" w:lineRule="auto"/>
              <w:jc w:val="both"/>
            </w:pPr>
            <w:r>
              <w:t xml:space="preserve">Planuojama įsigyti mažiausiai 35 naujus „InterCity“ traukinius ir 42 HÉV priemiestinius traukinius. Liepos 28 d. parlamentas patvirtino naujos valstybinės riedmenų valdymo bendrovės steigimą. Ji centralizuotai rengs ir vykdys geležinkelių riedmenų pirkimus. Vien RRF plane riedmenims įsigyti numatyta apie 1,8 mlrd. eurų. </w:t>
            </w:r>
          </w:p>
        </w:tc>
        <w:tc>
          <w:tcPr>
            <w:tcW w:w="2381" w:type="dxa"/>
            <w:tcMar>
              <w:top w:w="65" w:type="dxa"/>
              <w:bottom w:w="65" w:type="dxa"/>
            </w:tcMar>
          </w:tcPr>
          <w:p w14:paraId="3DC9C6F2" w14:textId="77777777" w:rsidR="00B7797E" w:rsidRDefault="00000000">
            <w:pPr>
              <w:rPr>
                <w:color w:val="45818E"/>
              </w:rPr>
            </w:pPr>
            <w:hyperlink r:id="rId12">
              <w:r>
                <w:rPr>
                  <w:color w:val="45818E"/>
                  <w:u w:val="single"/>
                </w:rPr>
                <w:t>https://www.railwaygazette.com/news/2026/07/23/tram-trains-battery-traction-and-metro-extension-in-e10bn-hungarian-rail-investment-plan/</w:t>
              </w:r>
            </w:hyperlink>
            <w:r>
              <w:rPr>
                <w:color w:val="45818E"/>
              </w:rPr>
              <w:t xml:space="preserve"> </w:t>
            </w:r>
          </w:p>
        </w:tc>
        <w:tc>
          <w:tcPr>
            <w:tcW w:w="1191" w:type="dxa"/>
            <w:tcMar>
              <w:top w:w="65" w:type="dxa"/>
              <w:bottom w:w="65" w:type="dxa"/>
            </w:tcMar>
          </w:tcPr>
          <w:p w14:paraId="00E1F49B" w14:textId="77777777" w:rsidR="00B7797E" w:rsidRDefault="00B7797E"/>
        </w:tc>
      </w:tr>
      <w:tr w:rsidR="00B7797E" w14:paraId="5A7188D3" w14:textId="77777777">
        <w:trPr>
          <w:jc w:val="center"/>
        </w:trPr>
        <w:tc>
          <w:tcPr>
            <w:tcW w:w="1361" w:type="dxa"/>
            <w:tcMar>
              <w:top w:w="65" w:type="dxa"/>
              <w:bottom w:w="65" w:type="dxa"/>
            </w:tcMar>
          </w:tcPr>
          <w:p w14:paraId="58FE7432" w14:textId="77777777" w:rsidR="00B7797E" w:rsidRDefault="00000000">
            <w:r>
              <w:t>2026-07-31</w:t>
            </w:r>
          </w:p>
        </w:tc>
        <w:tc>
          <w:tcPr>
            <w:tcW w:w="4706" w:type="dxa"/>
            <w:tcMar>
              <w:top w:w="65" w:type="dxa"/>
              <w:bottom w:w="65" w:type="dxa"/>
            </w:tcMar>
          </w:tcPr>
          <w:p w14:paraId="34BC7B41" w14:textId="77777777" w:rsidR="00B7797E" w:rsidRDefault="00000000">
            <w:pPr>
              <w:spacing w:line="276" w:lineRule="auto"/>
              <w:jc w:val="both"/>
            </w:pPr>
            <w:r>
              <w:t xml:space="preserve">Vengrijos nekilnojamojo turto bendrovė „Appeninn“ užbaigė daugiau kaip 100 mln. eurų vertės Lenkijos bendrovės „Dekada“ prekybinio nekilnojamojo turto portfelio įsigijimą. Sandoris apima 11 objektų – septynis mažmeninės prekybos parkus ir keturis prekybos centrus – kurių bendras plotas siekia apie 53 tūkst. kv. m. </w:t>
            </w:r>
          </w:p>
          <w:p w14:paraId="3DD14554" w14:textId="77777777" w:rsidR="00B7797E" w:rsidRDefault="00000000">
            <w:pPr>
              <w:spacing w:line="276" w:lineRule="auto"/>
              <w:jc w:val="both"/>
            </w:pPr>
            <w:r>
              <w:t xml:space="preserve">Po sandorio „Appeninn“ turto Lenkijoje rinkos vertė viršija 170 mln. eurų. Įsigijimas finansuotas nuosavomis lėšomis ir 60 mln. eurų penkerių metų „Erste Group Bank“ paskola. </w:t>
            </w:r>
          </w:p>
        </w:tc>
        <w:tc>
          <w:tcPr>
            <w:tcW w:w="2381" w:type="dxa"/>
            <w:tcMar>
              <w:top w:w="65" w:type="dxa"/>
              <w:bottom w:w="65" w:type="dxa"/>
            </w:tcMar>
          </w:tcPr>
          <w:p w14:paraId="205D83C1" w14:textId="77777777" w:rsidR="00B7797E" w:rsidRDefault="00000000">
            <w:pPr>
              <w:rPr>
                <w:color w:val="45818E"/>
              </w:rPr>
            </w:pPr>
            <w:hyperlink r:id="rId13">
              <w:r>
                <w:rPr>
                  <w:color w:val="45818E"/>
                  <w:u w:val="single"/>
                </w:rPr>
                <w:t>https://bse.hu/newkibdata/129509906/20260731_Extraordinary%20information.pdf</w:t>
              </w:r>
            </w:hyperlink>
            <w:r>
              <w:rPr>
                <w:color w:val="45818E"/>
              </w:rPr>
              <w:t xml:space="preserve"> </w:t>
            </w:r>
          </w:p>
        </w:tc>
        <w:tc>
          <w:tcPr>
            <w:tcW w:w="1191" w:type="dxa"/>
            <w:tcMar>
              <w:top w:w="65" w:type="dxa"/>
              <w:bottom w:w="65" w:type="dxa"/>
            </w:tcMar>
          </w:tcPr>
          <w:p w14:paraId="3E944D98" w14:textId="77777777" w:rsidR="00B7797E" w:rsidRDefault="00B7797E"/>
        </w:tc>
      </w:tr>
      <w:tr w:rsidR="00B7797E" w14:paraId="60B172CC" w14:textId="77777777">
        <w:trPr>
          <w:jc w:val="center"/>
        </w:trPr>
        <w:tc>
          <w:tcPr>
            <w:tcW w:w="9639" w:type="dxa"/>
            <w:gridSpan w:val="4"/>
            <w:shd w:val="clear" w:color="auto" w:fill="E7E6E6"/>
            <w:tcMar>
              <w:top w:w="55" w:type="dxa"/>
              <w:bottom w:w="55" w:type="dxa"/>
            </w:tcMar>
          </w:tcPr>
          <w:p w14:paraId="509AE0DE" w14:textId="77777777" w:rsidR="00B7797E" w:rsidRDefault="00000000">
            <w:r>
              <w:rPr>
                <w:b/>
                <w:bCs/>
              </w:rPr>
              <w:lastRenderedPageBreak/>
              <w:t>Lietuvos turizmo sektoriui aktuali informacija</w:t>
            </w:r>
          </w:p>
        </w:tc>
      </w:tr>
      <w:tr w:rsidR="00B7797E" w14:paraId="360A3D60" w14:textId="77777777">
        <w:trPr>
          <w:jc w:val="center"/>
        </w:trPr>
        <w:tc>
          <w:tcPr>
            <w:tcW w:w="1361" w:type="dxa"/>
            <w:tcMar>
              <w:top w:w="65" w:type="dxa"/>
              <w:bottom w:w="65" w:type="dxa"/>
            </w:tcMar>
          </w:tcPr>
          <w:p w14:paraId="02C12A8D" w14:textId="77777777" w:rsidR="00B7797E" w:rsidRDefault="00000000">
            <w:r>
              <w:t>2026-07-31</w:t>
            </w:r>
          </w:p>
        </w:tc>
        <w:tc>
          <w:tcPr>
            <w:tcW w:w="4706" w:type="dxa"/>
            <w:tcMar>
              <w:top w:w="65" w:type="dxa"/>
              <w:bottom w:w="65" w:type="dxa"/>
            </w:tcMar>
          </w:tcPr>
          <w:p w14:paraId="478A10C7" w14:textId="77777777" w:rsidR="00B7797E" w:rsidRDefault="00000000">
            <w:pPr>
              <w:spacing w:line="276" w:lineRule="auto"/>
              <w:jc w:val="both"/>
            </w:pPr>
            <w:r>
              <w:t xml:space="preserve">Oro bendrovė „flydubai“ atnaujino tiesioginius skrydžius tarp Budapešto ir Dubajaus. Iki spalio pabaigos maršrutas bus vykdomas kiekvienos savaitės trečiadienį, penktadienį ir sekmadienį, o nuo spalio 25 d. bus pereita prie kasdienių skrydžių. Per Dubajų Budapeštas gauna jungtis su daugiau kaip 120 krypčių. </w:t>
            </w:r>
          </w:p>
        </w:tc>
        <w:tc>
          <w:tcPr>
            <w:tcW w:w="2381" w:type="dxa"/>
            <w:tcMar>
              <w:top w:w="65" w:type="dxa"/>
              <w:bottom w:w="65" w:type="dxa"/>
            </w:tcMar>
          </w:tcPr>
          <w:p w14:paraId="16B28CEC" w14:textId="77777777" w:rsidR="00B7797E" w:rsidRDefault="00000000">
            <w:pPr>
              <w:rPr>
                <w:color w:val="45818E"/>
              </w:rPr>
            </w:pPr>
            <w:hyperlink r:id="rId14">
              <w:r>
                <w:rPr>
                  <w:color w:val="45818E"/>
                  <w:u w:val="single"/>
                </w:rPr>
                <w:t>https://infostart.hu/belfold/2026/07/27/ujraindul-a-kozvetlen-legijarat-budapestrol-atszallas-120-helyre</w:t>
              </w:r>
            </w:hyperlink>
            <w:r>
              <w:rPr>
                <w:color w:val="45818E"/>
              </w:rPr>
              <w:t xml:space="preserve"> </w:t>
            </w:r>
          </w:p>
        </w:tc>
        <w:tc>
          <w:tcPr>
            <w:tcW w:w="1191" w:type="dxa"/>
            <w:tcMar>
              <w:top w:w="65" w:type="dxa"/>
              <w:bottom w:w="65" w:type="dxa"/>
            </w:tcMar>
          </w:tcPr>
          <w:p w14:paraId="5AD4F00E" w14:textId="77777777" w:rsidR="00B7797E" w:rsidRDefault="00B7797E"/>
        </w:tc>
      </w:tr>
      <w:tr w:rsidR="00B7797E" w14:paraId="7E7DF55B" w14:textId="77777777">
        <w:trPr>
          <w:jc w:val="center"/>
        </w:trPr>
        <w:tc>
          <w:tcPr>
            <w:tcW w:w="9639" w:type="dxa"/>
            <w:gridSpan w:val="4"/>
            <w:shd w:val="clear" w:color="auto" w:fill="E7E6E6"/>
            <w:tcMar>
              <w:top w:w="55" w:type="dxa"/>
              <w:bottom w:w="55" w:type="dxa"/>
            </w:tcMar>
          </w:tcPr>
          <w:p w14:paraId="41E1621E" w14:textId="77777777" w:rsidR="00B7797E" w:rsidRDefault="00000000">
            <w:r>
              <w:rPr>
                <w:b/>
                <w:bCs/>
              </w:rPr>
              <w:t>Bendradarbiavimui mokslinių tyrimų, eksperimentinės plėtros ir inovacijų (MTEPI) srityse aktuali informacija</w:t>
            </w:r>
          </w:p>
        </w:tc>
      </w:tr>
      <w:tr w:rsidR="00B7797E" w14:paraId="58F606E8" w14:textId="77777777">
        <w:trPr>
          <w:jc w:val="center"/>
        </w:trPr>
        <w:tc>
          <w:tcPr>
            <w:tcW w:w="1361" w:type="dxa"/>
            <w:tcMar>
              <w:top w:w="65" w:type="dxa"/>
              <w:bottom w:w="65" w:type="dxa"/>
            </w:tcMar>
          </w:tcPr>
          <w:p w14:paraId="413AA9CE" w14:textId="77777777" w:rsidR="00B7797E" w:rsidRDefault="00000000">
            <w:r>
              <w:t>2026-07-23</w:t>
            </w:r>
          </w:p>
        </w:tc>
        <w:tc>
          <w:tcPr>
            <w:tcW w:w="4706" w:type="dxa"/>
            <w:tcMar>
              <w:top w:w="65" w:type="dxa"/>
              <w:bottom w:w="65" w:type="dxa"/>
            </w:tcMar>
          </w:tcPr>
          <w:p w14:paraId="02912685" w14:textId="77777777" w:rsidR="00B7797E" w:rsidRDefault="00000000">
            <w:pPr>
              <w:spacing w:line="276" w:lineRule="auto"/>
              <w:jc w:val="both"/>
            </w:pPr>
            <w:r>
              <w:t xml:space="preserve">Vengrija atnaujino kelis mėnesius buvusį sustabdytą investicijų skatinimo sprendimų priėmimą. Naujas Investicijų komitetas leido HIPA (Vengrijos investicijų skatinimo agentūra) tęsti derybas dėl 8 investicinių projektų, tarp kurių yra tiek naujų investuotojų, svarstančių Vengriją kaip vietą investicijoms, tiek šalyje jau veikiančių bendrovių plėtros projektų. Vertinant valstybės paramą prioritetas bus teikiamas aukštos pridėtinės vertės veiklai, MTEP, pažangioms technologijoms, kvalifikuotų darbo vietų kūrimui ir bendradarbiavimui su vietos tiekėjais, universitetais bei mokslinių tyrimų institucijomis. </w:t>
            </w:r>
          </w:p>
        </w:tc>
        <w:tc>
          <w:tcPr>
            <w:tcW w:w="2381" w:type="dxa"/>
            <w:tcMar>
              <w:top w:w="65" w:type="dxa"/>
              <w:bottom w:w="65" w:type="dxa"/>
            </w:tcMar>
          </w:tcPr>
          <w:p w14:paraId="157F7843" w14:textId="77777777" w:rsidR="00B7797E" w:rsidRDefault="00000000">
            <w:pPr>
              <w:rPr>
                <w:color w:val="45818E"/>
              </w:rPr>
            </w:pPr>
            <w:hyperlink r:id="rId15">
              <w:r>
                <w:rPr>
                  <w:color w:val="45818E"/>
                  <w:u w:val="single"/>
                </w:rPr>
                <w:t>https://sscinsights.hipa.hu/news/Hungary-HIPA-investment-incentive-decision-making-restart/</w:t>
              </w:r>
            </w:hyperlink>
            <w:r>
              <w:rPr>
                <w:color w:val="45818E"/>
              </w:rPr>
              <w:t xml:space="preserve"> </w:t>
            </w:r>
          </w:p>
        </w:tc>
        <w:tc>
          <w:tcPr>
            <w:tcW w:w="1191" w:type="dxa"/>
            <w:tcMar>
              <w:top w:w="65" w:type="dxa"/>
              <w:bottom w:w="65" w:type="dxa"/>
            </w:tcMar>
          </w:tcPr>
          <w:p w14:paraId="563561CE" w14:textId="77777777" w:rsidR="00B7797E" w:rsidRDefault="00B7797E"/>
        </w:tc>
      </w:tr>
      <w:tr w:rsidR="00B7797E" w14:paraId="0F26CB27" w14:textId="77777777">
        <w:trPr>
          <w:jc w:val="center"/>
        </w:trPr>
        <w:tc>
          <w:tcPr>
            <w:tcW w:w="1361" w:type="dxa"/>
            <w:tcMar>
              <w:top w:w="65" w:type="dxa"/>
              <w:bottom w:w="65" w:type="dxa"/>
            </w:tcMar>
          </w:tcPr>
          <w:p w14:paraId="7173E1C6" w14:textId="77777777" w:rsidR="00B7797E" w:rsidRDefault="00000000">
            <w:r>
              <w:t>2026-08-04</w:t>
            </w:r>
          </w:p>
        </w:tc>
        <w:tc>
          <w:tcPr>
            <w:tcW w:w="4706" w:type="dxa"/>
            <w:tcMar>
              <w:top w:w="65" w:type="dxa"/>
              <w:bottom w:w="65" w:type="dxa"/>
            </w:tcMar>
          </w:tcPr>
          <w:p w14:paraId="05A94D90" w14:textId="77777777" w:rsidR="00B7797E" w:rsidRDefault="00000000">
            <w:pPr>
              <w:spacing w:line="276" w:lineRule="auto"/>
              <w:jc w:val="both"/>
            </w:pPr>
            <w:r>
              <w:t xml:space="preserve">Vengrija paskelbė prisijungianti prie Lenkijos vadovaujamo ES dirbtinio intelekto „Gigafactory“ konsorciumo, kuriame taip pat dalyvauja Čekija ir Lietuva. Pirmajame etape Lenkija ir Čekija numato skirti po 100 mln. eurų, Vengrija – 25 mln. eurų, o Lietuva – 5 mln. eurų. </w:t>
            </w:r>
          </w:p>
          <w:p w14:paraId="4B113EB1" w14:textId="77777777" w:rsidR="00B7797E" w:rsidRDefault="00000000">
            <w:pPr>
              <w:spacing w:line="276" w:lineRule="auto"/>
              <w:jc w:val="both"/>
            </w:pPr>
            <w:r>
              <w:t xml:space="preserve">Projektu siekiama sukurti infrastruktūrą, kurioje bus įdiegta ir naudojama daugiau nei 100 tūkst. GPU dirbtinio intelekto modeliams mokyti. Vengrija projektą finansuos iš 500 mln. eurų lengvatinio technologijų finansavimo paketo. Apie 125 mln. eurų numatyta jos dalyvavimui „Gigafactory“ </w:t>
            </w:r>
            <w:r>
              <w:lastRenderedPageBreak/>
              <w:t xml:space="preserve">projekte, įskaitant galimą papildomą 100 mln. eurų indėlį vėlesniame etape. </w:t>
            </w:r>
          </w:p>
          <w:p w14:paraId="6F9EDAAC" w14:textId="77777777" w:rsidR="00B7797E" w:rsidRDefault="00000000">
            <w:pPr>
              <w:spacing w:line="276" w:lineRule="auto"/>
              <w:jc w:val="both"/>
            </w:pPr>
            <w:r>
              <w:t xml:space="preserve">Lietuva bendrą pirkimų susitarimą dėl projekto pasirašė liepos 7 d., o Lenkija – liepos 28 d. Konkurso rezultatus numatoma paskelbti 2027 m. pradžioje, o infrastruktūros veiklos pradžia planuojama 2028 m. </w:t>
            </w:r>
          </w:p>
        </w:tc>
        <w:tc>
          <w:tcPr>
            <w:tcW w:w="2381" w:type="dxa"/>
            <w:tcMar>
              <w:top w:w="65" w:type="dxa"/>
              <w:bottom w:w="65" w:type="dxa"/>
            </w:tcMar>
          </w:tcPr>
          <w:p w14:paraId="3C37F88A" w14:textId="77777777" w:rsidR="00B7797E" w:rsidRDefault="00000000">
            <w:pPr>
              <w:rPr>
                <w:color w:val="45818E"/>
              </w:rPr>
            </w:pPr>
            <w:hyperlink r:id="rId16">
              <w:r>
                <w:rPr>
                  <w:color w:val="45818E"/>
                  <w:u w:val="single"/>
                </w:rPr>
                <w:t>https://centraleuropeantimes.com/hungary-joins-poland-led-ai-gigafactory-bid/</w:t>
              </w:r>
            </w:hyperlink>
            <w:r>
              <w:rPr>
                <w:color w:val="45818E"/>
              </w:rPr>
              <w:t xml:space="preserve"> </w:t>
            </w:r>
          </w:p>
        </w:tc>
        <w:tc>
          <w:tcPr>
            <w:tcW w:w="1191" w:type="dxa"/>
            <w:tcMar>
              <w:top w:w="65" w:type="dxa"/>
              <w:bottom w:w="65" w:type="dxa"/>
            </w:tcMar>
          </w:tcPr>
          <w:p w14:paraId="4A4689F1" w14:textId="77777777" w:rsidR="00B7797E" w:rsidRDefault="00B7797E"/>
        </w:tc>
      </w:tr>
      <w:tr w:rsidR="00B7797E" w14:paraId="7D3B4A26" w14:textId="77777777">
        <w:trPr>
          <w:jc w:val="center"/>
        </w:trPr>
        <w:tc>
          <w:tcPr>
            <w:tcW w:w="1361" w:type="dxa"/>
            <w:tcMar>
              <w:top w:w="65" w:type="dxa"/>
              <w:bottom w:w="65" w:type="dxa"/>
            </w:tcMar>
          </w:tcPr>
          <w:p w14:paraId="5E4C6085" w14:textId="77777777" w:rsidR="00B7797E" w:rsidRDefault="00000000">
            <w:r>
              <w:t>2026-07-16</w:t>
            </w:r>
          </w:p>
        </w:tc>
        <w:tc>
          <w:tcPr>
            <w:tcW w:w="4706" w:type="dxa"/>
            <w:tcMar>
              <w:top w:w="65" w:type="dxa"/>
              <w:bottom w:w="65" w:type="dxa"/>
            </w:tcMar>
          </w:tcPr>
          <w:p w14:paraId="331FC7DA" w14:textId="77777777" w:rsidR="00B7797E" w:rsidRDefault="00000000">
            <w:pPr>
              <w:spacing w:line="276" w:lineRule="auto"/>
              <w:jc w:val="both"/>
            </w:pPr>
            <w:r>
              <w:t xml:space="preserve">Vengrijos vyriausybė paskelbė apie prisijungimą prie ES IRIS² palydovinio ryšio programos. Pagal planą Vengrija įgis prieigą prie suverenios vyriausybinės ir karinės palydovinio ryšio infrastruktūros bei 17 šalies naudojimui skirtų palydovų. Projektas finansuojamas iš to paties 500 mln. eurų lengvatinio technologijų finansavimo paketo kaip ir dalyvavimas „AI Gigafactory“ programoje. </w:t>
            </w:r>
          </w:p>
        </w:tc>
        <w:tc>
          <w:tcPr>
            <w:tcW w:w="2381" w:type="dxa"/>
            <w:tcMar>
              <w:top w:w="65" w:type="dxa"/>
              <w:bottom w:w="65" w:type="dxa"/>
            </w:tcMar>
          </w:tcPr>
          <w:p w14:paraId="6542C17F" w14:textId="77777777" w:rsidR="00B7797E" w:rsidRDefault="00000000">
            <w:pPr>
              <w:rPr>
                <w:color w:val="45818E"/>
                <w:u w:val="single"/>
              </w:rPr>
            </w:pPr>
            <w:r>
              <w:rPr>
                <w:color w:val="45818E"/>
                <w:u w:val="single"/>
              </w:rPr>
              <w:t>https://kormany.hu/hirek/videkfejlesztes-technologiaiberuhazas-azbesztmentesites</w:t>
            </w:r>
          </w:p>
        </w:tc>
        <w:tc>
          <w:tcPr>
            <w:tcW w:w="1191" w:type="dxa"/>
            <w:tcMar>
              <w:top w:w="65" w:type="dxa"/>
              <w:bottom w:w="65" w:type="dxa"/>
            </w:tcMar>
          </w:tcPr>
          <w:p w14:paraId="4D061408" w14:textId="77777777" w:rsidR="00B7797E" w:rsidRDefault="00B7797E"/>
        </w:tc>
      </w:tr>
      <w:tr w:rsidR="00B7797E" w14:paraId="60D59A8A" w14:textId="77777777">
        <w:trPr>
          <w:jc w:val="center"/>
        </w:trPr>
        <w:tc>
          <w:tcPr>
            <w:tcW w:w="1361" w:type="dxa"/>
            <w:tcMar>
              <w:top w:w="65" w:type="dxa"/>
              <w:bottom w:w="65" w:type="dxa"/>
            </w:tcMar>
          </w:tcPr>
          <w:p w14:paraId="66988C70" w14:textId="77777777" w:rsidR="00B7797E" w:rsidRDefault="00000000">
            <w:r>
              <w:t>2026-07-15</w:t>
            </w:r>
          </w:p>
        </w:tc>
        <w:tc>
          <w:tcPr>
            <w:tcW w:w="4706" w:type="dxa"/>
            <w:tcMar>
              <w:top w:w="65" w:type="dxa"/>
              <w:bottom w:w="65" w:type="dxa"/>
            </w:tcMar>
          </w:tcPr>
          <w:p w14:paraId="05508F9D" w14:textId="77777777" w:rsidR="00B7797E" w:rsidRDefault="00000000">
            <w:pPr>
              <w:spacing w:line="276" w:lineRule="auto"/>
              <w:jc w:val="both"/>
            </w:pPr>
            <w:r>
              <w:t xml:space="preserve">Vengrijos Nacionalinis mokslinių tyrimų, plėtros ir inovacijų biuras skyrė 1,015 mlrd. HUF (~2,8 mln. eur.) finansavimą 19 projektų, kuriuos vykdo šalies universitetai ir kitos institucijos, dalyvaujančios ES mokslinių tyrimų ir inovacijų programose. Vyriausybės Garantijų fondas kompensuoja finansavimą institucijoms, kurioms apribota galimybė tiesiogiai gauti ES lėšas, ir sudaro sąlygas joms toliau dalyvauti „Horizon Europe“, „Erasmus+“ ir kituose MTEPI projektuose. Tarp finansuojamų veiklų – patikimos skaitmeninės technologijos, Europos skaitmeninių inovacijų centrai ir COST projektai. </w:t>
            </w:r>
          </w:p>
        </w:tc>
        <w:tc>
          <w:tcPr>
            <w:tcW w:w="2381" w:type="dxa"/>
            <w:tcMar>
              <w:top w:w="65" w:type="dxa"/>
              <w:bottom w:w="65" w:type="dxa"/>
            </w:tcMar>
          </w:tcPr>
          <w:p w14:paraId="7EA2353A" w14:textId="77777777" w:rsidR="00B7797E" w:rsidRDefault="00000000">
            <w:pPr>
              <w:rPr>
                <w:color w:val="45818E"/>
                <w:u w:val="single"/>
              </w:rPr>
            </w:pPr>
            <w:r>
              <w:rPr>
                <w:color w:val="45818E"/>
                <w:u w:val="single"/>
              </w:rPr>
              <w:t>https://nkfih.gov.hu/english/nrdi-fund/funded-projects-2026-121-koa</w:t>
            </w:r>
          </w:p>
        </w:tc>
        <w:tc>
          <w:tcPr>
            <w:tcW w:w="1191" w:type="dxa"/>
            <w:tcMar>
              <w:top w:w="65" w:type="dxa"/>
              <w:bottom w:w="65" w:type="dxa"/>
            </w:tcMar>
          </w:tcPr>
          <w:p w14:paraId="2FE0DEF1" w14:textId="77777777" w:rsidR="00B7797E" w:rsidRDefault="00B7797E"/>
        </w:tc>
      </w:tr>
      <w:tr w:rsidR="00B7797E" w14:paraId="15E83C8C" w14:textId="77777777">
        <w:trPr>
          <w:jc w:val="center"/>
        </w:trPr>
        <w:tc>
          <w:tcPr>
            <w:tcW w:w="9639" w:type="dxa"/>
            <w:gridSpan w:val="4"/>
            <w:shd w:val="clear" w:color="auto" w:fill="E7E6E6"/>
            <w:tcMar>
              <w:top w:w="55" w:type="dxa"/>
              <w:bottom w:w="55" w:type="dxa"/>
            </w:tcMar>
          </w:tcPr>
          <w:p w14:paraId="7D969BE9" w14:textId="77777777" w:rsidR="00B7797E" w:rsidRDefault="00000000">
            <w:r>
              <w:rPr>
                <w:b/>
                <w:bCs/>
              </w:rPr>
              <w:t>Lietuvos ekonominiam saugumui aktuali informacija</w:t>
            </w:r>
          </w:p>
        </w:tc>
      </w:tr>
      <w:tr w:rsidR="00B7797E" w14:paraId="4F551EE6" w14:textId="77777777">
        <w:trPr>
          <w:jc w:val="center"/>
        </w:trPr>
        <w:tc>
          <w:tcPr>
            <w:tcW w:w="1361" w:type="dxa"/>
            <w:tcMar>
              <w:top w:w="65" w:type="dxa"/>
              <w:bottom w:w="65" w:type="dxa"/>
            </w:tcMar>
          </w:tcPr>
          <w:p w14:paraId="096786ED" w14:textId="77777777" w:rsidR="00B7797E" w:rsidRDefault="00000000">
            <w:r>
              <w:t>2026-07-31</w:t>
            </w:r>
          </w:p>
        </w:tc>
        <w:tc>
          <w:tcPr>
            <w:tcW w:w="4706" w:type="dxa"/>
            <w:tcMar>
              <w:top w:w="65" w:type="dxa"/>
              <w:bottom w:w="65" w:type="dxa"/>
            </w:tcMar>
          </w:tcPr>
          <w:p w14:paraId="63AFF12F" w14:textId="77777777" w:rsidR="00B7797E" w:rsidRDefault="00000000">
            <w:pPr>
              <w:spacing w:line="278" w:lineRule="auto"/>
              <w:jc w:val="both"/>
              <w:rPr>
                <w:rFonts w:ascii="Aptos" w:eastAsia="Aptos" w:hAnsi="Aptos" w:cs="Aptos"/>
              </w:rPr>
            </w:pPr>
            <w:r>
              <w:t xml:space="preserve">Liepos 31 d. JAV iždo departamento OFAC dar kartą atidėjo visą sankcijų taikymą ir leido NIS importuoti naftą iki rugpjūčio 28 d. Tuo metu Vengrijos bendrovė MOL toliau derasi dėl 56,15 proc. NIS akcijų paketo, </w:t>
            </w:r>
            <w:r>
              <w:lastRenderedPageBreak/>
              <w:t>priklausančio „Gazprom Neft“ ir „Gazprom“, perėmimo.</w:t>
            </w:r>
          </w:p>
        </w:tc>
        <w:tc>
          <w:tcPr>
            <w:tcW w:w="2381" w:type="dxa"/>
            <w:tcMar>
              <w:top w:w="65" w:type="dxa"/>
              <w:bottom w:w="65" w:type="dxa"/>
            </w:tcMar>
          </w:tcPr>
          <w:p w14:paraId="6FC49607" w14:textId="77777777" w:rsidR="00B7797E" w:rsidRDefault="00000000">
            <w:pPr>
              <w:rPr>
                <w:color w:val="45818E"/>
              </w:rPr>
            </w:pPr>
            <w:hyperlink r:id="rId17">
              <w:r>
                <w:rPr>
                  <w:color w:val="45818E"/>
                  <w:u w:val="single"/>
                </w:rPr>
                <w:t>https://eualive.net/serbia-secures-another-u-s-sanctions-waiver-for-russian-owned-nis-oil-firm/</w:t>
              </w:r>
            </w:hyperlink>
            <w:r>
              <w:rPr>
                <w:color w:val="45818E"/>
              </w:rPr>
              <w:t xml:space="preserve"> </w:t>
            </w:r>
          </w:p>
        </w:tc>
        <w:tc>
          <w:tcPr>
            <w:tcW w:w="1191" w:type="dxa"/>
            <w:tcMar>
              <w:top w:w="65" w:type="dxa"/>
              <w:bottom w:w="65" w:type="dxa"/>
            </w:tcMar>
          </w:tcPr>
          <w:p w14:paraId="63BC7158" w14:textId="77777777" w:rsidR="00B7797E" w:rsidRDefault="00B7797E"/>
        </w:tc>
      </w:tr>
      <w:tr w:rsidR="00B7797E" w14:paraId="66B85089" w14:textId="77777777">
        <w:trPr>
          <w:jc w:val="center"/>
        </w:trPr>
        <w:tc>
          <w:tcPr>
            <w:tcW w:w="1361" w:type="dxa"/>
            <w:tcMar>
              <w:top w:w="65" w:type="dxa"/>
              <w:bottom w:w="65" w:type="dxa"/>
            </w:tcMar>
          </w:tcPr>
          <w:p w14:paraId="0F8F46E8" w14:textId="77777777" w:rsidR="00B7797E" w:rsidRDefault="00000000">
            <w:r>
              <w:t>2026-08-06</w:t>
            </w:r>
          </w:p>
        </w:tc>
        <w:tc>
          <w:tcPr>
            <w:tcW w:w="4706" w:type="dxa"/>
            <w:tcMar>
              <w:top w:w="65" w:type="dxa"/>
              <w:bottom w:w="65" w:type="dxa"/>
            </w:tcMar>
          </w:tcPr>
          <w:p w14:paraId="069FF499" w14:textId="77777777" w:rsidR="00B7797E" w:rsidRDefault="00000000">
            <w:pPr>
              <w:spacing w:line="276" w:lineRule="auto"/>
              <w:jc w:val="both"/>
            </w:pPr>
            <w:r>
              <w:t xml:space="preserve">Kroatijos naftotiekių operatorė JANAF ir MOL susitarė dėl 2,05 mln. tonų žalios naftos transportavimo 2026 m. pagal „take-or-pay“ modelį. Susitarimas sudarytas MOL rengiantis ES planuojamam rusiškos naftos importo atsisakymui ir vertinant galimybes didesnę žaliavos dalį Vengrijos bei Slovakijos perdirbimo gamykloms tiekti per Kroatijos Adrijos naftotiekį. MOL ir JANAF pastaraisiais mėnesiais nesutarė dėl transportavimo tarifų ir vamzdyno pajėgumų. </w:t>
            </w:r>
          </w:p>
        </w:tc>
        <w:tc>
          <w:tcPr>
            <w:tcW w:w="2381" w:type="dxa"/>
            <w:tcMar>
              <w:top w:w="65" w:type="dxa"/>
              <w:bottom w:w="65" w:type="dxa"/>
            </w:tcMar>
          </w:tcPr>
          <w:p w14:paraId="41773B8B" w14:textId="77777777" w:rsidR="00B7797E" w:rsidRDefault="00000000">
            <w:pPr>
              <w:rPr>
                <w:color w:val="45818E"/>
              </w:rPr>
            </w:pPr>
            <w:hyperlink r:id="rId18">
              <w:r>
                <w:rPr>
                  <w:color w:val="45818E"/>
                  <w:u w:val="single"/>
                </w:rPr>
                <w:t>https://www.portfolio.hu/uzlet/20260806/rabolintott-a-feltetelekre-a-mol-2-millio-tonna-koolajszallitmany-sorsa-dolt-el-854662</w:t>
              </w:r>
            </w:hyperlink>
            <w:r>
              <w:rPr>
                <w:color w:val="45818E"/>
              </w:rPr>
              <w:t xml:space="preserve"> </w:t>
            </w:r>
          </w:p>
        </w:tc>
        <w:tc>
          <w:tcPr>
            <w:tcW w:w="1191" w:type="dxa"/>
            <w:tcMar>
              <w:top w:w="65" w:type="dxa"/>
              <w:bottom w:w="65" w:type="dxa"/>
            </w:tcMar>
          </w:tcPr>
          <w:p w14:paraId="1634128C" w14:textId="77777777" w:rsidR="00B7797E" w:rsidRDefault="00B7797E"/>
        </w:tc>
      </w:tr>
      <w:tr w:rsidR="00B7797E" w14:paraId="7972DA88" w14:textId="77777777">
        <w:trPr>
          <w:jc w:val="center"/>
        </w:trPr>
        <w:tc>
          <w:tcPr>
            <w:tcW w:w="1361" w:type="dxa"/>
            <w:tcMar>
              <w:top w:w="65" w:type="dxa"/>
              <w:bottom w:w="65" w:type="dxa"/>
            </w:tcMar>
          </w:tcPr>
          <w:p w14:paraId="47F68324" w14:textId="77777777" w:rsidR="00B7797E" w:rsidRDefault="00000000">
            <w:r>
              <w:t>2026-07-29</w:t>
            </w:r>
          </w:p>
        </w:tc>
        <w:tc>
          <w:tcPr>
            <w:tcW w:w="4706" w:type="dxa"/>
            <w:tcMar>
              <w:top w:w="65" w:type="dxa"/>
              <w:bottom w:w="65" w:type="dxa"/>
            </w:tcMar>
          </w:tcPr>
          <w:p w14:paraId="5711E115" w14:textId="77777777" w:rsidR="00B7797E" w:rsidRDefault="00000000">
            <w:pPr>
              <w:spacing w:line="276" w:lineRule="auto"/>
              <w:jc w:val="both"/>
            </w:pPr>
            <w:r>
              <w:t xml:space="preserve">Vengrijos vyriausybė pradėjo Kinijos elektromobilių gamintojai BYD suteiktos valstybės paramos ir su Szegedo gamyklos projektu susijusių įsipareigojimų peržiūrą. Tikrinamos ankstesnės vyriausybės suteiktos subsidijos, mokesčių lengvatos, leidimai ir kiti valstybės įsipareigojimai. </w:t>
            </w:r>
          </w:p>
          <w:p w14:paraId="63F4B6C6" w14:textId="77777777" w:rsidR="00B7797E" w:rsidRDefault="00000000">
            <w:pPr>
              <w:spacing w:line="276" w:lineRule="auto"/>
              <w:jc w:val="both"/>
            </w:pPr>
            <w:r>
              <w:t xml:space="preserve">Liepos pabaigoje paviešinti dokumentai parodė, kad valstybė su gamyklos infrastruktūra susijusiems darbams buvo įsipareigojusi skirti daugiau kaip 70 mlrd. HUF (skaičiuojama, 175 mln. eur.), be to, projektui buvo numatyta atskira tiesioginė valstybės parama. </w:t>
            </w:r>
          </w:p>
        </w:tc>
        <w:tc>
          <w:tcPr>
            <w:tcW w:w="2381" w:type="dxa"/>
            <w:tcMar>
              <w:top w:w="65" w:type="dxa"/>
              <w:bottom w:w="65" w:type="dxa"/>
            </w:tcMar>
          </w:tcPr>
          <w:p w14:paraId="3E14A318" w14:textId="77777777" w:rsidR="00B7797E" w:rsidRDefault="00000000">
            <w:pPr>
              <w:rPr>
                <w:color w:val="45818E"/>
                <w:u w:val="single"/>
              </w:rPr>
            </w:pPr>
            <w:r>
              <w:rPr>
                <w:color w:val="45818E"/>
                <w:u w:val="single"/>
              </w:rPr>
              <w:t>https://www.intellinews.com/hungary-reviews-byd-deal-after-revealing-billions-in-undisclosed-state-support-457670/</w:t>
            </w:r>
          </w:p>
        </w:tc>
        <w:tc>
          <w:tcPr>
            <w:tcW w:w="1191" w:type="dxa"/>
            <w:tcMar>
              <w:top w:w="65" w:type="dxa"/>
              <w:bottom w:w="65" w:type="dxa"/>
            </w:tcMar>
          </w:tcPr>
          <w:p w14:paraId="38C1AF67" w14:textId="77777777" w:rsidR="00B7797E" w:rsidRDefault="00B7797E"/>
        </w:tc>
      </w:tr>
      <w:tr w:rsidR="00B7797E" w14:paraId="348AB349" w14:textId="77777777">
        <w:trPr>
          <w:jc w:val="center"/>
        </w:trPr>
        <w:tc>
          <w:tcPr>
            <w:tcW w:w="9639" w:type="dxa"/>
            <w:gridSpan w:val="4"/>
            <w:shd w:val="clear" w:color="auto" w:fill="E7E6E6"/>
            <w:tcMar>
              <w:top w:w="55" w:type="dxa"/>
              <w:bottom w:w="55" w:type="dxa"/>
            </w:tcMar>
          </w:tcPr>
          <w:p w14:paraId="4636849F" w14:textId="77777777" w:rsidR="00B7797E" w:rsidRDefault="00000000">
            <w:r>
              <w:rPr>
                <w:b/>
                <w:bCs/>
              </w:rPr>
              <w:t>Bendra akreditacijos valstybių ekonominė informacija</w:t>
            </w:r>
          </w:p>
        </w:tc>
      </w:tr>
      <w:tr w:rsidR="00B7797E" w14:paraId="7F52567E" w14:textId="77777777">
        <w:trPr>
          <w:jc w:val="center"/>
        </w:trPr>
        <w:tc>
          <w:tcPr>
            <w:tcW w:w="1361" w:type="dxa"/>
            <w:tcMar>
              <w:top w:w="65" w:type="dxa"/>
              <w:bottom w:w="65" w:type="dxa"/>
            </w:tcMar>
          </w:tcPr>
          <w:p w14:paraId="480CC419" w14:textId="77777777" w:rsidR="00B7797E" w:rsidRDefault="00000000">
            <w:r>
              <w:t>2026-07-21</w:t>
            </w:r>
          </w:p>
        </w:tc>
        <w:tc>
          <w:tcPr>
            <w:tcW w:w="4706" w:type="dxa"/>
            <w:tcMar>
              <w:top w:w="65" w:type="dxa"/>
              <w:bottom w:w="65" w:type="dxa"/>
            </w:tcMar>
          </w:tcPr>
          <w:p w14:paraId="2CCBBEFC" w14:textId="77777777" w:rsidR="00B7797E" w:rsidRDefault="00000000">
            <w:pPr>
              <w:spacing w:line="276" w:lineRule="auto"/>
              <w:jc w:val="both"/>
            </w:pPr>
            <w:r>
              <w:t xml:space="preserve">Vengrijos nacionalinis bankas (MNB) bazinę palūkanų normą sumažino dar 0,25 proc. punkto – nuo 6,0 iki 5,75 proc. MNB nurodė, kad, išliekant palankioms sąlygoms ir teigiamai realiajai palūkanų normai, vasarą išlieka erdvės tolesniam bazinės normos mažinimui. Kitas vertinimas numatytas kartu su rugsėjo infliacijos ataskaita. </w:t>
            </w:r>
          </w:p>
        </w:tc>
        <w:tc>
          <w:tcPr>
            <w:tcW w:w="2381" w:type="dxa"/>
            <w:tcMar>
              <w:top w:w="65" w:type="dxa"/>
              <w:bottom w:w="65" w:type="dxa"/>
            </w:tcMar>
          </w:tcPr>
          <w:p w14:paraId="1F6AA377" w14:textId="77777777" w:rsidR="00B7797E" w:rsidRDefault="00000000">
            <w:pPr>
              <w:rPr>
                <w:color w:val="45818E"/>
                <w:u w:val="single"/>
              </w:rPr>
            </w:pPr>
            <w:r>
              <w:rPr>
                <w:color w:val="45818E"/>
                <w:u w:val="single"/>
              </w:rPr>
              <w:t>https://www.mnb.hu/en/monetary-policy/the-monetary-council/press-releases/2026/press-release-on-the-monetary-council-meeting-of-21-july-2026</w:t>
            </w:r>
          </w:p>
        </w:tc>
        <w:tc>
          <w:tcPr>
            <w:tcW w:w="1191" w:type="dxa"/>
            <w:tcMar>
              <w:top w:w="65" w:type="dxa"/>
              <w:bottom w:w="65" w:type="dxa"/>
            </w:tcMar>
          </w:tcPr>
          <w:p w14:paraId="590DBE82" w14:textId="77777777" w:rsidR="00B7797E" w:rsidRDefault="00B7797E"/>
        </w:tc>
      </w:tr>
      <w:tr w:rsidR="00B7797E" w14:paraId="7E91D7E5" w14:textId="77777777">
        <w:trPr>
          <w:jc w:val="center"/>
        </w:trPr>
        <w:tc>
          <w:tcPr>
            <w:tcW w:w="1361" w:type="dxa"/>
            <w:tcMar>
              <w:top w:w="65" w:type="dxa"/>
              <w:bottom w:w="65" w:type="dxa"/>
            </w:tcMar>
          </w:tcPr>
          <w:p w14:paraId="14CD14BD" w14:textId="77777777" w:rsidR="00B7797E" w:rsidRDefault="00000000">
            <w:r>
              <w:t>2026-08-10</w:t>
            </w:r>
          </w:p>
        </w:tc>
        <w:tc>
          <w:tcPr>
            <w:tcW w:w="4706" w:type="dxa"/>
            <w:tcMar>
              <w:top w:w="65" w:type="dxa"/>
              <w:bottom w:w="65" w:type="dxa"/>
            </w:tcMar>
          </w:tcPr>
          <w:p w14:paraId="1AA15EF8" w14:textId="77777777" w:rsidR="00B7797E" w:rsidRDefault="00000000">
            <w:pPr>
              <w:spacing w:line="276" w:lineRule="auto"/>
              <w:jc w:val="both"/>
            </w:pPr>
            <w:r>
              <w:t xml:space="preserve">Dėl sausros istorines žemumas pasiekęs Dunojus apribojo Vengrijos Pakšo AE aušinimo veiklą. Rugpjūčio pradžioje elektrinė </w:t>
            </w:r>
            <w:r>
              <w:lastRenderedPageBreak/>
              <w:t xml:space="preserve">veikė maždaug 10 proc. pajėgumu, nors įprastai pagamina beveik pusę šalies elektros energijos. Dėl susidariusios padėties verslų ir gyventojų buvo prašoma piko valandomis mažinti vartojimą, o rugpjūčio 10 d., Dunojaus lygiui laikinai pakilus 19 cm, pradėtas dalies sustabdytų pajėgumų grąžinimas. </w:t>
            </w:r>
          </w:p>
          <w:p w14:paraId="3BC50E6F" w14:textId="77777777" w:rsidR="00B7797E" w:rsidRDefault="00000000">
            <w:pPr>
              <w:spacing w:line="276" w:lineRule="auto"/>
              <w:jc w:val="both"/>
            </w:pPr>
            <w:r>
              <w:t xml:space="preserve">Serbijoje istoriškai žemas Dunojaus vandens lygis apsunkino vandens tiekimą, transportą ir energetikos infrastruktūros darbą. Didžiausios šalies hidroelektrinės „Đerdap 1“ gamyba sumažėjo iki maždaug 5 tūkst. MWh per dieną – trečdalio įprasto lygio, o gegužę ir birželį jos gamyba buvo mažiausia nuo elektrinės veiklos pradžios. Dunojaus baržos galėjo būti pakraunamos tik maždaug 30-40 proc. įprasto pajėgumo, todėl liepą degalų importas pasiekė tik apie 25 proc. planuoto kiekio. </w:t>
            </w:r>
          </w:p>
        </w:tc>
        <w:tc>
          <w:tcPr>
            <w:tcW w:w="2381" w:type="dxa"/>
            <w:tcMar>
              <w:top w:w="65" w:type="dxa"/>
              <w:bottom w:w="65" w:type="dxa"/>
            </w:tcMar>
          </w:tcPr>
          <w:p w14:paraId="11C796F6" w14:textId="77777777" w:rsidR="00B7797E" w:rsidRDefault="00000000">
            <w:pPr>
              <w:rPr>
                <w:color w:val="45818E"/>
                <w:u w:val="single"/>
              </w:rPr>
            </w:pPr>
            <w:hyperlink r:id="rId19">
              <w:r>
                <w:rPr>
                  <w:color w:val="45818E"/>
                  <w:u w:val="single"/>
                </w:rPr>
                <w:t>https://www.reuters.com/business/energy/hungarians-curb-</w:t>
              </w:r>
              <w:r>
                <w:rPr>
                  <w:color w:val="45818E"/>
                  <w:u w:val="single"/>
                </w:rPr>
                <w:lastRenderedPageBreak/>
                <w:t>power-use-record-low-danube-waters-trigger-energy-crunch-2026-08-05/</w:t>
              </w:r>
            </w:hyperlink>
          </w:p>
          <w:p w14:paraId="30F71EA7" w14:textId="77777777" w:rsidR="00B7797E" w:rsidRDefault="00000000">
            <w:pPr>
              <w:rPr>
                <w:color w:val="45818E"/>
                <w:u w:val="single"/>
              </w:rPr>
            </w:pPr>
            <w:hyperlink r:id="rId20">
              <w:r>
                <w:rPr>
                  <w:color w:val="45818E"/>
                  <w:u w:val="single"/>
                </w:rPr>
                <w:t>https://www.reuters.com/business/energy/hungary-starts-switching-back-one-paks-turbine-danube-level-rises-2026-08-10/</w:t>
              </w:r>
            </w:hyperlink>
          </w:p>
          <w:p w14:paraId="135FCADB" w14:textId="77777777" w:rsidR="00B7797E" w:rsidRDefault="00000000">
            <w:pPr>
              <w:rPr>
                <w:color w:val="45818E"/>
                <w:u w:val="single"/>
              </w:rPr>
            </w:pPr>
            <w:hyperlink r:id="rId21">
              <w:r>
                <w:rPr>
                  <w:color w:val="45818E"/>
                  <w:u w:val="single"/>
                </w:rPr>
                <w:t>https://www.reuters.com/business/energy/serbia-open-refinery-other-firms-secure-fuel-supplies-2026-08-05/</w:t>
              </w:r>
            </w:hyperlink>
          </w:p>
          <w:p w14:paraId="5CF5F365" w14:textId="77777777" w:rsidR="00B7797E" w:rsidRDefault="00B7797E">
            <w:pPr>
              <w:rPr>
                <w:color w:val="45818E"/>
                <w:u w:val="single"/>
              </w:rPr>
            </w:pPr>
          </w:p>
        </w:tc>
        <w:tc>
          <w:tcPr>
            <w:tcW w:w="1191" w:type="dxa"/>
            <w:tcMar>
              <w:top w:w="65" w:type="dxa"/>
              <w:bottom w:w="65" w:type="dxa"/>
            </w:tcMar>
          </w:tcPr>
          <w:p w14:paraId="6287609A" w14:textId="77777777" w:rsidR="00B7797E" w:rsidRDefault="00B7797E"/>
        </w:tc>
      </w:tr>
      <w:tr w:rsidR="00B7797E" w14:paraId="364EACBC" w14:textId="77777777">
        <w:trPr>
          <w:jc w:val="center"/>
        </w:trPr>
        <w:tc>
          <w:tcPr>
            <w:tcW w:w="1361" w:type="dxa"/>
            <w:tcMar>
              <w:top w:w="65" w:type="dxa"/>
              <w:bottom w:w="65" w:type="dxa"/>
            </w:tcMar>
          </w:tcPr>
          <w:p w14:paraId="3C14783C" w14:textId="77777777" w:rsidR="00B7797E" w:rsidRDefault="00000000">
            <w:r>
              <w:t>2026-07-31</w:t>
            </w:r>
          </w:p>
        </w:tc>
        <w:tc>
          <w:tcPr>
            <w:tcW w:w="4706" w:type="dxa"/>
            <w:tcMar>
              <w:top w:w="65" w:type="dxa"/>
              <w:bottom w:w="65" w:type="dxa"/>
            </w:tcMar>
          </w:tcPr>
          <w:p w14:paraId="78555C00" w14:textId="77777777" w:rsidR="00B7797E" w:rsidRDefault="00000000">
            <w:pPr>
              <w:spacing w:after="160" w:line="278" w:lineRule="auto"/>
              <w:jc w:val="both"/>
            </w:pPr>
            <w:r>
              <w:t>Išankstiniu Serbijos statistikos tarnybos vertinimu, 2026 m. antrąjį ketvirtį realusis BVP buvo 3,6 proc. didesnis nei tuo pačiu laikotarpiu prieš metus. Tačiau registruotų darbuotojų skaičius antrąjį ketvirtį sumažėjo 14,2 tūkst. Didžiausias metinis nuosmukis užfiksuotas apdirbamojoje gamyboje, kurioje netekta daugiau kaip 17 tūkst. darbo vietų. Darbuotojų taip pat mažėjo prekyboje, kasyboje ir viešajame administravime. Gyventojų pajamos toliau augo sparčiau už kainas. Vidutinė neto alga gegužę siekė 118,4 tūkst. dinarų (~1 008 eur.) ir buvo 6,2 proc. didesnė, atsižvelgus į infliaciją, nei prieš metus. Vis dėlto medianinė neto alga siekė tik 93,3 tūkst. dinarų (~795 eur.).</w:t>
            </w:r>
          </w:p>
        </w:tc>
        <w:tc>
          <w:tcPr>
            <w:tcW w:w="2381" w:type="dxa"/>
            <w:tcMar>
              <w:top w:w="65" w:type="dxa"/>
              <w:bottom w:w="65" w:type="dxa"/>
            </w:tcMar>
          </w:tcPr>
          <w:p w14:paraId="7DB773C4" w14:textId="77777777" w:rsidR="00B7797E" w:rsidRDefault="00000000">
            <w:pPr>
              <w:rPr>
                <w:color w:val="45818E"/>
                <w:u w:val="single"/>
              </w:rPr>
            </w:pPr>
            <w:r>
              <w:rPr>
                <w:color w:val="45818E"/>
                <w:u w:val="single"/>
              </w:rPr>
              <w:t>https://www.stat.gov.rs/en-US/</w:t>
            </w:r>
          </w:p>
        </w:tc>
        <w:tc>
          <w:tcPr>
            <w:tcW w:w="1191" w:type="dxa"/>
            <w:tcMar>
              <w:top w:w="65" w:type="dxa"/>
              <w:bottom w:w="65" w:type="dxa"/>
            </w:tcMar>
          </w:tcPr>
          <w:p w14:paraId="01E12B81" w14:textId="77777777" w:rsidR="00B7797E" w:rsidRDefault="00B7797E"/>
        </w:tc>
      </w:tr>
      <w:tr w:rsidR="00B7797E" w14:paraId="0FEC3C5C" w14:textId="77777777">
        <w:trPr>
          <w:jc w:val="center"/>
        </w:trPr>
        <w:tc>
          <w:tcPr>
            <w:tcW w:w="1361" w:type="dxa"/>
            <w:tcMar>
              <w:top w:w="65" w:type="dxa"/>
              <w:bottom w:w="65" w:type="dxa"/>
            </w:tcMar>
          </w:tcPr>
          <w:p w14:paraId="03457CF9" w14:textId="77777777" w:rsidR="00B7797E" w:rsidRDefault="00000000">
            <w:r>
              <w:t>2026-08-06</w:t>
            </w:r>
          </w:p>
        </w:tc>
        <w:tc>
          <w:tcPr>
            <w:tcW w:w="4706" w:type="dxa"/>
            <w:tcMar>
              <w:top w:w="65" w:type="dxa"/>
              <w:bottom w:w="65" w:type="dxa"/>
            </w:tcMar>
          </w:tcPr>
          <w:p w14:paraId="1BD80A51" w14:textId="77777777" w:rsidR="00B7797E" w:rsidRDefault="00000000">
            <w:pPr>
              <w:spacing w:after="160" w:line="278" w:lineRule="auto"/>
              <w:jc w:val="both"/>
            </w:pPr>
            <w:r>
              <w:t xml:space="preserve">Liepos pabaigoje Serbijos valstybės biudžeto deficitas pasiekė 833 mln. eur. ir buvo 4,3 karto didesnis nei tuo pačiu laikotarpiu 2025 m. Per pirmuosius septynis metų mėnesius biudžeto pajamos siekė 12,44 mlrd. eur.  ir per metus </w:t>
            </w:r>
            <w:r>
              <w:lastRenderedPageBreak/>
              <w:t xml:space="preserve">padidėjo 10,8 proc., o išlaidos – 13,29 mlrd. eur., 16,2 proc. daugiau. Deficito padidėjimui didžiausią įtaką turėjo liepą atliktas 500 mln. eur. mokėjimas už 12 Prancūzijos „Rafale“ naikintuvų, nors ši ketvirtosios įmokos dalis pagal sutartį turėjo būti sumokėta tik 2027 m. sausį. Rugpjūčio 1 d. Serbijos valstybės skola siekė 41,8 mlrd. eurų. </w:t>
            </w:r>
          </w:p>
        </w:tc>
        <w:tc>
          <w:tcPr>
            <w:tcW w:w="2381" w:type="dxa"/>
            <w:tcMar>
              <w:top w:w="65" w:type="dxa"/>
              <w:bottom w:w="65" w:type="dxa"/>
            </w:tcMar>
          </w:tcPr>
          <w:p w14:paraId="4A107F33" w14:textId="77777777" w:rsidR="00B7797E" w:rsidRDefault="00000000">
            <w:pPr>
              <w:rPr>
                <w:color w:val="45818E"/>
                <w:u w:val="single"/>
              </w:rPr>
            </w:pPr>
            <w:r>
              <w:rPr>
                <w:color w:val="45818E"/>
                <w:u w:val="single"/>
              </w:rPr>
              <w:lastRenderedPageBreak/>
              <w:t>https://srpske.rs/en/news/ekonomija/2026/08/06/serbia-budget-deficit-quadruples-to-98-billion-dinars</w:t>
            </w:r>
          </w:p>
        </w:tc>
        <w:tc>
          <w:tcPr>
            <w:tcW w:w="1191" w:type="dxa"/>
            <w:tcMar>
              <w:top w:w="65" w:type="dxa"/>
              <w:bottom w:w="65" w:type="dxa"/>
            </w:tcMar>
          </w:tcPr>
          <w:p w14:paraId="75EC93BA" w14:textId="77777777" w:rsidR="00B7797E" w:rsidRDefault="00B7797E"/>
        </w:tc>
      </w:tr>
      <w:tr w:rsidR="00B7797E" w14:paraId="0CAD6219" w14:textId="77777777">
        <w:trPr>
          <w:jc w:val="center"/>
        </w:trPr>
        <w:tc>
          <w:tcPr>
            <w:tcW w:w="1361" w:type="dxa"/>
            <w:tcMar>
              <w:top w:w="65" w:type="dxa"/>
              <w:bottom w:w="65" w:type="dxa"/>
            </w:tcMar>
          </w:tcPr>
          <w:p w14:paraId="74D45D93" w14:textId="77777777" w:rsidR="00B7797E" w:rsidRDefault="00000000">
            <w:r>
              <w:t>2026-07-14</w:t>
            </w:r>
          </w:p>
        </w:tc>
        <w:tc>
          <w:tcPr>
            <w:tcW w:w="4706" w:type="dxa"/>
            <w:tcMar>
              <w:top w:w="65" w:type="dxa"/>
              <w:bottom w:w="65" w:type="dxa"/>
            </w:tcMar>
          </w:tcPr>
          <w:p w14:paraId="1216CD89" w14:textId="77777777" w:rsidR="00B7797E" w:rsidRDefault="00000000">
            <w:pPr>
              <w:spacing w:after="160" w:line="278" w:lineRule="auto"/>
              <w:jc w:val="both"/>
            </w:pPr>
            <w:r>
              <w:t xml:space="preserve">Serbija su Pasaulio banku rengia maždaug 1 mlrd. eurų vertės dujų infrastruktūros plėtros programą. Pirmiausia planuojama tiesti dalį dujotiekio tarp Nišo ir Velika Planos, o vėliau – stiprinti perdavimo tinklą, statyti kompresorių stotis ir plėsti dujų saugyklas. Projektas turėtų pagerinti dujų tiekimą pietų ir rytų Serbijai, sudaryti daugiau galimybių jas importuoti iš skirtingų krypčių ir sustiprinti šalies, kaip regioninio dujų tranzito centro, vaidmenį. Kol kas projektas dar tik rengiamas. </w:t>
            </w:r>
          </w:p>
        </w:tc>
        <w:tc>
          <w:tcPr>
            <w:tcW w:w="2381" w:type="dxa"/>
            <w:tcMar>
              <w:top w:w="65" w:type="dxa"/>
              <w:bottom w:w="65" w:type="dxa"/>
            </w:tcMar>
          </w:tcPr>
          <w:p w14:paraId="0FD7C170" w14:textId="77777777" w:rsidR="00B7797E" w:rsidRDefault="00000000">
            <w:pPr>
              <w:rPr>
                <w:color w:val="45818E"/>
                <w:u w:val="single"/>
              </w:rPr>
            </w:pPr>
            <w:r>
              <w:rPr>
                <w:color w:val="45818E"/>
                <w:u w:val="single"/>
              </w:rPr>
              <w:t>https://www.mre.gov.rs/vest/sr/16717/djedovic-handanovic-sa-svetskom-bankom-o-novom-gasnom-programu-vrednom-milijardu-evra.php</w:t>
            </w:r>
          </w:p>
        </w:tc>
        <w:tc>
          <w:tcPr>
            <w:tcW w:w="1191" w:type="dxa"/>
            <w:tcMar>
              <w:top w:w="65" w:type="dxa"/>
              <w:bottom w:w="65" w:type="dxa"/>
            </w:tcMar>
          </w:tcPr>
          <w:p w14:paraId="63248FCC" w14:textId="77777777" w:rsidR="00B7797E" w:rsidRDefault="00B7797E"/>
        </w:tc>
      </w:tr>
      <w:tr w:rsidR="00B7797E" w14:paraId="237B3A80" w14:textId="77777777">
        <w:trPr>
          <w:jc w:val="center"/>
        </w:trPr>
        <w:tc>
          <w:tcPr>
            <w:tcW w:w="9639" w:type="dxa"/>
            <w:gridSpan w:val="4"/>
            <w:shd w:val="clear" w:color="auto" w:fill="E7E6E6"/>
            <w:tcMar>
              <w:top w:w="55" w:type="dxa"/>
              <w:bottom w:w="55" w:type="dxa"/>
            </w:tcMar>
          </w:tcPr>
          <w:p w14:paraId="611FFEB4" w14:textId="77777777" w:rsidR="00B7797E" w:rsidRDefault="00000000">
            <w:r>
              <w:rPr>
                <w:b/>
                <w:bCs/>
              </w:rPr>
              <w:t>Kita ekonominiam bendradarbiavimui aktuali informacija</w:t>
            </w:r>
          </w:p>
        </w:tc>
      </w:tr>
      <w:tr w:rsidR="00B7797E" w14:paraId="4F4FAF29" w14:textId="77777777">
        <w:trPr>
          <w:jc w:val="center"/>
        </w:trPr>
        <w:tc>
          <w:tcPr>
            <w:tcW w:w="1361" w:type="dxa"/>
            <w:tcMar>
              <w:top w:w="65" w:type="dxa"/>
              <w:bottom w:w="65" w:type="dxa"/>
            </w:tcMar>
          </w:tcPr>
          <w:p w14:paraId="498004AF" w14:textId="77777777" w:rsidR="00B7797E" w:rsidRDefault="00000000">
            <w:r>
              <w:t>2026-07-24</w:t>
            </w:r>
          </w:p>
        </w:tc>
        <w:tc>
          <w:tcPr>
            <w:tcW w:w="4706" w:type="dxa"/>
            <w:tcMar>
              <w:top w:w="65" w:type="dxa"/>
              <w:bottom w:w="65" w:type="dxa"/>
            </w:tcMar>
          </w:tcPr>
          <w:p w14:paraId="4F4092A7" w14:textId="77777777" w:rsidR="00B7797E" w:rsidRDefault="00000000">
            <w:pPr>
              <w:spacing w:line="276" w:lineRule="auto"/>
              <w:jc w:val="both"/>
            </w:pPr>
            <w:r>
              <w:t xml:space="preserve">„Suzuki“ plečia gamybą Esztergome. Japonijos automobilių gamintoja paskelbė planuojanti į gamyklą investuoti 76 mlrd. forintų (apie 210 mln. eur.) ir pradėti joje elektromobilių bei baterijų blokų gamybą. Ekonomikos ir energetikos ministras I. Kapitány projektą pristatė kaip platesnės pramonės politikos dalį: Vengrija esą turi siekti ne vien automobilių surinkimo, bet ir daugiau vietos inžinerijos, mokslinių tyrimų, bendradarbiavimo su universitetais bei vengrų tiekėjų dalyvavimo. Esztergomo gamykloje dirba apie 2,8 tūkst. žmonių, beveik 90 % produkcijos eksportuojama, o vien 2025 m. joje pagaminta daugiau kaip 108 tūkst. automobilių. </w:t>
            </w:r>
          </w:p>
        </w:tc>
        <w:tc>
          <w:tcPr>
            <w:tcW w:w="2381" w:type="dxa"/>
            <w:tcMar>
              <w:top w:w="65" w:type="dxa"/>
              <w:bottom w:w="65" w:type="dxa"/>
            </w:tcMar>
          </w:tcPr>
          <w:p w14:paraId="7B46EBC7" w14:textId="77777777" w:rsidR="00B7797E" w:rsidRDefault="00000000">
            <w:pPr>
              <w:rPr>
                <w:color w:val="45818E"/>
                <w:u w:val="single"/>
              </w:rPr>
            </w:pPr>
            <w:r>
              <w:rPr>
                <w:color w:val="45818E"/>
                <w:u w:val="single"/>
              </w:rPr>
              <w:t>https://mti.hu/hirek/2026/07/24/kapitany-istvan-suzuki-76-milliardos-fejlesztesre-keszul-esztergomban</w:t>
            </w:r>
          </w:p>
        </w:tc>
        <w:tc>
          <w:tcPr>
            <w:tcW w:w="1191" w:type="dxa"/>
            <w:tcMar>
              <w:top w:w="65" w:type="dxa"/>
              <w:bottom w:w="65" w:type="dxa"/>
            </w:tcMar>
          </w:tcPr>
          <w:p w14:paraId="6AD02CB3" w14:textId="77777777" w:rsidR="00B7797E" w:rsidRDefault="00B7797E"/>
        </w:tc>
      </w:tr>
    </w:tbl>
    <w:p w14:paraId="3EFF9388" w14:textId="77777777" w:rsidR="00B7797E" w:rsidRDefault="00B7797E"/>
    <w:p w14:paraId="6DCBA7DD" w14:textId="77777777" w:rsidR="00B7797E" w:rsidRDefault="00B7797E"/>
    <w:p w14:paraId="38F3B2DC" w14:textId="77777777" w:rsidR="00B7797E" w:rsidRDefault="00B7797E"/>
    <w:p w14:paraId="78217936" w14:textId="77777777" w:rsidR="00B7797E" w:rsidRDefault="00000000">
      <w:r>
        <w:lastRenderedPageBreak/>
        <w:t>Rengėjas (-ai):</w:t>
      </w:r>
    </w:p>
    <w:p w14:paraId="3733FDE9" w14:textId="77777777" w:rsidR="00B7797E" w:rsidRDefault="00000000">
      <w:r>
        <w:t>______________________________________________________</w:t>
      </w:r>
    </w:p>
    <w:p w14:paraId="60A09FB2" w14:textId="77777777" w:rsidR="00B7797E" w:rsidRDefault="00000000">
      <w:r>
        <w:t xml:space="preserve">Patarėja Violeta Podagelytė, </w:t>
      </w:r>
      <w:hyperlink r:id="rId22">
        <w:r>
          <w:rPr>
            <w:color w:val="45818E"/>
            <w:u w:val="single"/>
          </w:rPr>
          <w:t>violeta.podagelyte@urm.lt</w:t>
        </w:r>
      </w:hyperlink>
      <w:r>
        <w:rPr>
          <w:color w:val="45818E"/>
        </w:rPr>
        <w:t xml:space="preserve"> </w:t>
      </w:r>
      <w:r>
        <w:t>+36 1 224 7910</w:t>
      </w:r>
    </w:p>
    <w:sectPr w:rsidR="00B7797E">
      <w:pgSz w:w="11906" w:h="16838"/>
      <w:pgMar w:top="1701" w:right="567" w:bottom="1134" w:left="1700" w:header="709" w:footer="709"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0486CECD-8BE5-4031-AEA6-C2E9362286E0}"/>
    <w:embedBold r:id="rId2" w:fontKey="{3E14D2BB-01F8-4388-BF52-71CABF1CFB50}"/>
    <w:embedItalic r:id="rId3" w:fontKey="{8C858CB8-41BF-46CE-AF81-38C428CA66DA}"/>
    <w:embedBoldItalic r:id="rId4" w:fontKey="{185C630C-C74D-409C-A1F0-0642EF305A4F}"/>
  </w:font>
  <w:font w:name="Aptos">
    <w:charset w:val="00"/>
    <w:family w:val="swiss"/>
    <w:pitch w:val="variable"/>
    <w:sig w:usb0="20000287" w:usb1="00000003" w:usb2="00000000" w:usb3="00000000" w:csb0="0000019F" w:csb1="00000000"/>
    <w:embedRegular r:id="rId5" w:fontKey="{6721FD36-0AA6-49F0-AFC3-6D1FC0452DB6}"/>
  </w:font>
  <w:font w:name="Cambria">
    <w:panose1 w:val="02040503050406030204"/>
    <w:charset w:val="BA"/>
    <w:family w:val="roman"/>
    <w:pitch w:val="variable"/>
    <w:sig w:usb0="E00006FF" w:usb1="420024FF" w:usb2="02000000" w:usb3="00000000" w:csb0="0000019F" w:csb1="00000000"/>
    <w:embedRegular r:id="rId6" w:fontKey="{D8852DB3-A74A-47CF-A971-0D3ABED874A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97E"/>
    <w:rsid w:val="006E3D69"/>
    <w:rsid w:val="009E2E86"/>
    <w:rsid w:val="00B7797E"/>
    <w:rsid w:val="00CB1F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40909"/>
  <w15:docId w15:val="{EFD5DE1F-D0E6-4D2B-B070-ABBC4CC46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earch.gki.hu/2026/07/23/a-gki-konjunktura-indexe-juliusban-tovabb-emelkedett/" TargetMode="External"/><Relationship Id="rId13" Type="http://schemas.openxmlformats.org/officeDocument/2006/relationships/hyperlink" Target="https://bse.hu/newkibdata/129509906/20260731_Extraordinary%20information.pdf" TargetMode="External"/><Relationship Id="rId18" Type="http://schemas.openxmlformats.org/officeDocument/2006/relationships/hyperlink" Target="https://www.portfolio.hu/uzlet/20260806/rabolintott-a-feltetelekre-a-mol-2-millio-tonna-koolajszallitmany-sorsa-dolt-el-854662" TargetMode="External"/><Relationship Id="rId3" Type="http://schemas.openxmlformats.org/officeDocument/2006/relationships/settings" Target="settings.xml"/><Relationship Id="rId21" Type="http://schemas.openxmlformats.org/officeDocument/2006/relationships/hyperlink" Target="https://www.reuters.com/business/energy/serbia-open-refinery-other-firms-secure-fuel-supplies-2026-08-05/" TargetMode="External"/><Relationship Id="rId7" Type="http://schemas.openxmlformats.org/officeDocument/2006/relationships/hyperlink" Target="https://www.ecb.europa.eu/stats/policy_and_exchange_rates/euro_reference_exchange_rates/html/eurofxref-graph-huf.en.html" TargetMode="External"/><Relationship Id="rId12" Type="http://schemas.openxmlformats.org/officeDocument/2006/relationships/hyperlink" Target="https://www.railwaygazette.com/news/2026/07/23/tram-trains-battery-traction-and-metro-extension-in-e10bn-hungarian-rail-investment-plan/" TargetMode="External"/><Relationship Id="rId17" Type="http://schemas.openxmlformats.org/officeDocument/2006/relationships/hyperlink" Target="https://eualive.net/serbia-secures-another-u-s-sanctions-waiver-for-russian-owned-nis-oil-firm/" TargetMode="External"/><Relationship Id="rId2" Type="http://schemas.openxmlformats.org/officeDocument/2006/relationships/styles" Target="styles.xml"/><Relationship Id="rId16" Type="http://schemas.openxmlformats.org/officeDocument/2006/relationships/hyperlink" Target="https://centraleuropeantimes.com/hungary-joins-poland-led-ai-gigafactory-bid/" TargetMode="External"/><Relationship Id="rId20" Type="http://schemas.openxmlformats.org/officeDocument/2006/relationships/hyperlink" Target="https://www.reuters.com/business/energy/hungary-starts-switching-back-one-paks-turbine-danube-level-rises-2026-08-10/" TargetMode="External"/><Relationship Id="rId1" Type="http://schemas.openxmlformats.org/officeDocument/2006/relationships/customXml" Target="../customXml/item1.xml"/><Relationship Id="rId6" Type="http://schemas.openxmlformats.org/officeDocument/2006/relationships/hyperlink" Target="https://www.ksh.hu/en/first-releases/far/efar2607.html" TargetMode="External"/><Relationship Id="rId11" Type="http://schemas.openxmlformats.org/officeDocument/2006/relationships/hyperlink" Target="https://www.gevernova.com/news/press-releases/ge-vernova-modernizes-its-veresegyhaz-hub-boost-energy-independence-lean-production" TargetMode="External"/><Relationship Id="rId24" Type="http://schemas.openxmlformats.org/officeDocument/2006/relationships/theme" Target="theme/theme1.xml"/><Relationship Id="rId5" Type="http://schemas.openxmlformats.org/officeDocument/2006/relationships/hyperlink" Target="https://kormany.hu/kormanyszovivoi-tajekoztato/szeptembertol-eltorli-a-venykoteles-gyogyszerek-afajat-a-kormany" TargetMode="External"/><Relationship Id="rId15" Type="http://schemas.openxmlformats.org/officeDocument/2006/relationships/hyperlink" Target="https://sscinsights.hipa.hu/news/Hungary-HIPA-investment-incentive-decision-making-restart/" TargetMode="External"/><Relationship Id="rId23" Type="http://schemas.openxmlformats.org/officeDocument/2006/relationships/fontTable" Target="fontTable.xml"/><Relationship Id="rId10" Type="http://schemas.openxmlformats.org/officeDocument/2006/relationships/hyperlink" Target="https://www.dentons.com/en/insights/articles/2026/july/27/a-new-breeze-in-hungary-first-details-on-the-wind-energy-grid-capacity-tender" TargetMode="External"/><Relationship Id="rId19" Type="http://schemas.openxmlformats.org/officeDocument/2006/relationships/hyperlink" Target="https://www.reuters.com/business/energy/hungarians-curb-power-use-record-low-danube-waters-trigger-energy-crunch-2026-08-05/" TargetMode="External"/><Relationship Id="rId4" Type="http://schemas.openxmlformats.org/officeDocument/2006/relationships/webSettings" Target="webSettings.xml"/><Relationship Id="rId9" Type="http://schemas.openxmlformats.org/officeDocument/2006/relationships/hyperlink" Target="https://www.otpgroup.info/news/new-chapter-in-baltic-financial-markets" TargetMode="External"/><Relationship Id="rId14" Type="http://schemas.openxmlformats.org/officeDocument/2006/relationships/hyperlink" Target="https://infostart.hu/belfold/2026/07/27/ujraindul-a-kozvetlen-legijarat-budapestrol-atszallas-120-helyre" TargetMode="External"/><Relationship Id="rId22" Type="http://schemas.openxmlformats.org/officeDocument/2006/relationships/hyperlink" Target="mailto:violeta.podagelyte@urm.l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wwVU8Qqu9pmoxR5tOAOVKW778A==">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11238</Words>
  <Characters>6407</Characters>
  <Application>Microsoft Office Word</Application>
  <DocSecurity>0</DocSecurity>
  <Lines>53</Lines>
  <Paragraphs>35</Paragraphs>
  <ScaleCrop>false</ScaleCrop>
  <Company>LR URM</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 PODAGELYTĖ</dc:creator>
  <cp:lastModifiedBy>Violeta PODAGELYTĖ</cp:lastModifiedBy>
  <cp:revision>3</cp:revision>
  <dcterms:created xsi:type="dcterms:W3CDTF">2026-08-11T13:56:00Z</dcterms:created>
  <dcterms:modified xsi:type="dcterms:W3CDTF">2026-08-11T14:00:00Z</dcterms:modified>
</cp:coreProperties>
</file>