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92FE" w14:textId="77777777" w:rsidR="00C8049E" w:rsidRPr="00524E4A" w:rsidRDefault="00C8049E" w:rsidP="0098014C">
      <w:pPr>
        <w:spacing w:after="120" w:line="240" w:lineRule="auto"/>
        <w:jc w:val="center"/>
        <w:rPr>
          <w:rFonts w:ascii="Times New Roman" w:hAnsi="Times New Roman"/>
          <w:b/>
          <w:sz w:val="28"/>
          <w:szCs w:val="28"/>
        </w:rPr>
      </w:pPr>
      <w:r w:rsidRPr="00524E4A">
        <w:rPr>
          <w:rFonts w:ascii="Times New Roman" w:hAnsi="Times New Roman"/>
          <w:b/>
          <w:sz w:val="28"/>
          <w:szCs w:val="28"/>
        </w:rPr>
        <w:t>LIETUVOS RESPUBLIKOS AMBASADA ESTIJOJE</w:t>
      </w:r>
    </w:p>
    <w:p w14:paraId="7002D829" w14:textId="77777777" w:rsidR="00C8049E" w:rsidRPr="00524E4A" w:rsidRDefault="00C8049E" w:rsidP="0098014C">
      <w:pPr>
        <w:spacing w:after="120" w:line="240" w:lineRule="auto"/>
        <w:jc w:val="center"/>
        <w:rPr>
          <w:rFonts w:ascii="Times New Roman" w:hAnsi="Times New Roman"/>
          <w:b/>
          <w:sz w:val="24"/>
          <w:szCs w:val="24"/>
        </w:rPr>
      </w:pPr>
      <w:r w:rsidRPr="00524E4A">
        <w:rPr>
          <w:rFonts w:ascii="Times New Roman" w:hAnsi="Times New Roman"/>
          <w:b/>
          <w:sz w:val="24"/>
          <w:szCs w:val="24"/>
        </w:rPr>
        <w:t>AKTUALIOS EKONOMINĖS INFORMACIJOS SUVESTINĖ</w:t>
      </w:r>
    </w:p>
    <w:p w14:paraId="382B9E72" w14:textId="26025813" w:rsidR="00A87864" w:rsidRPr="00524E4A" w:rsidRDefault="00E829FC" w:rsidP="00A87864">
      <w:pPr>
        <w:spacing w:after="0" w:line="240" w:lineRule="auto"/>
        <w:jc w:val="center"/>
        <w:rPr>
          <w:rFonts w:ascii="Times New Roman" w:hAnsi="Times New Roman"/>
          <w:sz w:val="24"/>
          <w:szCs w:val="24"/>
        </w:rPr>
      </w:pPr>
      <w:r w:rsidRPr="00524E4A">
        <w:rPr>
          <w:rFonts w:ascii="Times New Roman" w:hAnsi="Times New Roman"/>
          <w:sz w:val="24"/>
          <w:szCs w:val="24"/>
        </w:rPr>
        <w:t>202</w:t>
      </w:r>
      <w:r w:rsidR="001E5122">
        <w:rPr>
          <w:rFonts w:ascii="Times New Roman" w:hAnsi="Times New Roman"/>
          <w:sz w:val="24"/>
          <w:szCs w:val="24"/>
        </w:rPr>
        <w:t>6</w:t>
      </w:r>
      <w:r w:rsidRPr="00524E4A">
        <w:rPr>
          <w:rFonts w:ascii="Times New Roman" w:hAnsi="Times New Roman"/>
          <w:sz w:val="24"/>
          <w:szCs w:val="24"/>
        </w:rPr>
        <w:t xml:space="preserve"> </w:t>
      </w:r>
      <w:r w:rsidR="00C8049E" w:rsidRPr="00524E4A">
        <w:rPr>
          <w:rFonts w:ascii="Times New Roman" w:hAnsi="Times New Roman"/>
          <w:sz w:val="24"/>
          <w:szCs w:val="24"/>
        </w:rPr>
        <w:t>m.</w:t>
      </w:r>
      <w:r w:rsidR="009D2FFC" w:rsidRPr="00524E4A">
        <w:rPr>
          <w:rFonts w:ascii="Times New Roman" w:hAnsi="Times New Roman"/>
          <w:sz w:val="24"/>
          <w:szCs w:val="24"/>
        </w:rPr>
        <w:t xml:space="preserve"> </w:t>
      </w:r>
      <w:r w:rsidR="00303493">
        <w:rPr>
          <w:rFonts w:ascii="Times New Roman" w:hAnsi="Times New Roman"/>
          <w:sz w:val="24"/>
          <w:szCs w:val="24"/>
        </w:rPr>
        <w:t>liepos mėn.</w:t>
      </w:r>
    </w:p>
    <w:p w14:paraId="7C6A577F" w14:textId="77777777" w:rsidR="00A87864" w:rsidRPr="00524E4A" w:rsidRDefault="00A87864" w:rsidP="00A87864">
      <w:pPr>
        <w:spacing w:after="0" w:line="240" w:lineRule="auto"/>
        <w:jc w:val="center"/>
        <w:rPr>
          <w:rFonts w:ascii="Times New Roman" w:hAnsi="Times New Roman"/>
          <w:sz w:val="20"/>
          <w:szCs w:val="20"/>
        </w:rPr>
      </w:pPr>
    </w:p>
    <w:tbl>
      <w:tblPr>
        <w:tblW w:w="5243" w:type="pct"/>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4829"/>
        <w:gridCol w:w="3866"/>
        <w:gridCol w:w="562"/>
      </w:tblGrid>
      <w:tr w:rsidR="00A87864" w:rsidRPr="00524E4A" w14:paraId="11927560" w14:textId="77777777" w:rsidTr="0009314F">
        <w:trPr>
          <w:trHeight w:val="385"/>
        </w:trPr>
        <w:tc>
          <w:tcPr>
            <w:tcW w:w="839" w:type="dxa"/>
            <w:tcMar>
              <w:top w:w="29" w:type="dxa"/>
              <w:left w:w="115" w:type="dxa"/>
              <w:bottom w:w="29" w:type="dxa"/>
              <w:right w:w="115" w:type="dxa"/>
            </w:tcMar>
            <w:vAlign w:val="center"/>
          </w:tcPr>
          <w:p w14:paraId="16ABAC68" w14:textId="77777777" w:rsidR="00A87864" w:rsidRPr="00822D58" w:rsidRDefault="00A87864" w:rsidP="008C18A4">
            <w:pPr>
              <w:pStyle w:val="Heading1"/>
              <w:spacing w:after="0" w:line="240" w:lineRule="auto"/>
              <w:ind w:right="26"/>
              <w:rPr>
                <w:rFonts w:ascii="Times New Roman" w:hAnsi="Times New Roman" w:cs="Times New Roman"/>
                <w:color w:val="auto"/>
                <w:sz w:val="18"/>
                <w:szCs w:val="18"/>
                <w:lang w:val="lt-LT"/>
              </w:rPr>
            </w:pPr>
            <w:r w:rsidRPr="00822D58">
              <w:rPr>
                <w:rFonts w:ascii="Times New Roman" w:hAnsi="Times New Roman" w:cs="Times New Roman"/>
                <w:color w:val="auto"/>
                <w:sz w:val="18"/>
                <w:szCs w:val="18"/>
                <w:lang w:val="lt-LT"/>
              </w:rPr>
              <w:t>Data</w:t>
            </w:r>
          </w:p>
        </w:tc>
        <w:tc>
          <w:tcPr>
            <w:tcW w:w="4829" w:type="dxa"/>
            <w:tcMar>
              <w:top w:w="29" w:type="dxa"/>
              <w:left w:w="115" w:type="dxa"/>
              <w:bottom w:w="29" w:type="dxa"/>
              <w:right w:w="115" w:type="dxa"/>
            </w:tcMar>
            <w:vAlign w:val="center"/>
          </w:tcPr>
          <w:p w14:paraId="5301E2A1" w14:textId="77777777" w:rsidR="00A87864" w:rsidRPr="00822D58" w:rsidRDefault="00A87864" w:rsidP="00A87864">
            <w:pPr>
              <w:pStyle w:val="Heading1"/>
              <w:spacing w:after="0" w:line="240" w:lineRule="auto"/>
              <w:rPr>
                <w:rFonts w:ascii="Times New Roman" w:hAnsi="Times New Roman" w:cs="Times New Roman"/>
                <w:color w:val="auto"/>
                <w:sz w:val="20"/>
                <w:szCs w:val="20"/>
                <w:lang w:val="lt-LT"/>
              </w:rPr>
            </w:pPr>
            <w:r w:rsidRPr="00822D58">
              <w:rPr>
                <w:rFonts w:ascii="Times New Roman" w:hAnsi="Times New Roman" w:cs="Times New Roman"/>
                <w:color w:val="auto"/>
                <w:sz w:val="20"/>
                <w:szCs w:val="20"/>
                <w:lang w:val="lt-LT"/>
              </w:rPr>
              <w:t>Pateikiamos informacijos apibendrinimas</w:t>
            </w:r>
          </w:p>
        </w:tc>
        <w:tc>
          <w:tcPr>
            <w:tcW w:w="3866" w:type="dxa"/>
            <w:tcMar>
              <w:top w:w="29" w:type="dxa"/>
              <w:left w:w="115" w:type="dxa"/>
              <w:bottom w:w="29" w:type="dxa"/>
              <w:right w:w="115" w:type="dxa"/>
            </w:tcMar>
            <w:vAlign w:val="center"/>
          </w:tcPr>
          <w:p w14:paraId="0A6013F5" w14:textId="77777777" w:rsidR="00A87864" w:rsidRPr="00822D58" w:rsidRDefault="00A87864" w:rsidP="00A87864">
            <w:pPr>
              <w:pStyle w:val="Heading1"/>
              <w:spacing w:after="0" w:line="240" w:lineRule="auto"/>
              <w:rPr>
                <w:rFonts w:ascii="Times New Roman" w:hAnsi="Times New Roman" w:cs="Times New Roman"/>
                <w:color w:val="auto"/>
                <w:sz w:val="20"/>
                <w:szCs w:val="20"/>
                <w:lang w:val="lt-LT"/>
              </w:rPr>
            </w:pPr>
            <w:r w:rsidRPr="00822D58">
              <w:rPr>
                <w:rFonts w:ascii="Times New Roman" w:hAnsi="Times New Roman" w:cs="Times New Roman"/>
                <w:color w:val="auto"/>
                <w:sz w:val="20"/>
                <w:szCs w:val="20"/>
                <w:lang w:val="lt-LT"/>
              </w:rPr>
              <w:t>Informacijos šaltinis</w:t>
            </w:r>
          </w:p>
        </w:tc>
        <w:tc>
          <w:tcPr>
            <w:tcW w:w="562" w:type="dxa"/>
            <w:tcMar>
              <w:top w:w="29" w:type="dxa"/>
              <w:left w:w="115" w:type="dxa"/>
              <w:bottom w:w="29" w:type="dxa"/>
              <w:right w:w="115" w:type="dxa"/>
            </w:tcMar>
            <w:vAlign w:val="center"/>
          </w:tcPr>
          <w:p w14:paraId="22EA4CD6" w14:textId="77777777" w:rsidR="00A87864" w:rsidRPr="00822D58" w:rsidRDefault="00A87864" w:rsidP="00A87864">
            <w:pPr>
              <w:pStyle w:val="Heading1"/>
              <w:spacing w:after="0" w:line="240" w:lineRule="auto"/>
              <w:rPr>
                <w:rFonts w:ascii="Times New Roman" w:hAnsi="Times New Roman" w:cs="Times New Roman"/>
                <w:color w:val="auto"/>
                <w:szCs w:val="16"/>
                <w:lang w:val="lt-LT"/>
              </w:rPr>
            </w:pPr>
            <w:r w:rsidRPr="00822D58">
              <w:rPr>
                <w:rFonts w:ascii="Times New Roman" w:hAnsi="Times New Roman" w:cs="Times New Roman"/>
                <w:color w:val="auto"/>
                <w:szCs w:val="16"/>
                <w:lang w:val="lt-LT"/>
              </w:rPr>
              <w:t>Pastabos</w:t>
            </w:r>
          </w:p>
        </w:tc>
      </w:tr>
      <w:tr w:rsidR="00A87864" w:rsidRPr="00524E4A" w14:paraId="344E7E6F" w14:textId="77777777" w:rsidTr="0009314F">
        <w:trPr>
          <w:trHeight w:val="216"/>
        </w:trPr>
        <w:tc>
          <w:tcPr>
            <w:tcW w:w="10096" w:type="dxa"/>
            <w:gridSpan w:val="4"/>
            <w:tcMar>
              <w:top w:w="29" w:type="dxa"/>
              <w:left w:w="115" w:type="dxa"/>
              <w:bottom w:w="29" w:type="dxa"/>
              <w:right w:w="115" w:type="dxa"/>
            </w:tcMar>
          </w:tcPr>
          <w:p w14:paraId="3AADB03A" w14:textId="77777777" w:rsidR="00A87864" w:rsidRPr="00524E4A" w:rsidRDefault="00A87864" w:rsidP="00A87864">
            <w:pPr>
              <w:spacing w:after="0" w:line="240" w:lineRule="auto"/>
              <w:rPr>
                <w:rFonts w:ascii="Times New Roman" w:hAnsi="Times New Roman"/>
                <w:b/>
              </w:rPr>
            </w:pPr>
            <w:r w:rsidRPr="00524E4A">
              <w:rPr>
                <w:rFonts w:ascii="Times New Roman" w:hAnsi="Times New Roman"/>
                <w:b/>
              </w:rPr>
              <w:t>Lietuvos eksportuotojams aktuali informacija</w:t>
            </w:r>
          </w:p>
        </w:tc>
      </w:tr>
      <w:tr w:rsidR="005F44D2" w:rsidRPr="00524E4A" w14:paraId="7275F9B1" w14:textId="77777777" w:rsidTr="0009314F">
        <w:trPr>
          <w:trHeight w:val="234"/>
        </w:trPr>
        <w:tc>
          <w:tcPr>
            <w:tcW w:w="839" w:type="dxa"/>
            <w:tcMar>
              <w:top w:w="29" w:type="dxa"/>
              <w:left w:w="115" w:type="dxa"/>
              <w:bottom w:w="29" w:type="dxa"/>
              <w:right w:w="115" w:type="dxa"/>
            </w:tcMar>
          </w:tcPr>
          <w:p w14:paraId="2846B27F" w14:textId="7E84CF9B" w:rsidR="005F44D2" w:rsidRDefault="009C0EE1" w:rsidP="00BE5C16">
            <w:pPr>
              <w:spacing w:after="0" w:line="240" w:lineRule="auto"/>
              <w:rPr>
                <w:rFonts w:ascii="Times New Roman" w:hAnsi="Times New Roman"/>
                <w:b/>
                <w:bCs/>
              </w:rPr>
            </w:pPr>
            <w:r>
              <w:rPr>
                <w:rFonts w:ascii="Times New Roman" w:hAnsi="Times New Roman"/>
                <w:b/>
                <w:bCs/>
              </w:rPr>
              <w:t>07-22</w:t>
            </w:r>
          </w:p>
        </w:tc>
        <w:tc>
          <w:tcPr>
            <w:tcW w:w="4829" w:type="dxa"/>
            <w:tcMar>
              <w:top w:w="29" w:type="dxa"/>
              <w:left w:w="115" w:type="dxa"/>
              <w:bottom w:w="29" w:type="dxa"/>
              <w:right w:w="115" w:type="dxa"/>
            </w:tcMar>
          </w:tcPr>
          <w:p w14:paraId="3B3A86E2" w14:textId="177F885C" w:rsidR="005F44D2" w:rsidRPr="00914423" w:rsidRDefault="009C0EE1" w:rsidP="00BE5C16">
            <w:pPr>
              <w:pStyle w:val="HTMLPreformatted"/>
              <w:rPr>
                <w:rFonts w:ascii="Times New Roman" w:hAnsi="Times New Roman" w:cs="Times New Roman"/>
                <w:sz w:val="22"/>
                <w:szCs w:val="22"/>
              </w:rPr>
            </w:pPr>
            <w:r w:rsidRPr="009C0EE1">
              <w:rPr>
                <w:rFonts w:ascii="Times New Roman" w:hAnsi="Times New Roman" w:cs="Times New Roman"/>
                <w:sz w:val="22"/>
                <w:szCs w:val="22"/>
              </w:rPr>
              <w:t>Antrą ši</w:t>
            </w:r>
            <w:r w:rsidR="00B36D10">
              <w:rPr>
                <w:rFonts w:ascii="Times New Roman" w:hAnsi="Times New Roman" w:cs="Times New Roman"/>
                <w:sz w:val="22"/>
                <w:szCs w:val="22"/>
              </w:rPr>
              <w:t>ų</w:t>
            </w:r>
            <w:r w:rsidRPr="009C0EE1">
              <w:rPr>
                <w:rFonts w:ascii="Times New Roman" w:hAnsi="Times New Roman" w:cs="Times New Roman"/>
                <w:sz w:val="22"/>
                <w:szCs w:val="22"/>
              </w:rPr>
              <w:t xml:space="preserve"> metų ketvirtį statybos kainų indeksas Estijoje išaugo 3,1 proc. per metus ir 1,9 proc. per ketvirtį – daugiausia dėl importinių žaliavų, o medžiagų kainų augimas sudarė 76 proc. viso indekso pokyčio.</w:t>
            </w:r>
          </w:p>
        </w:tc>
        <w:tc>
          <w:tcPr>
            <w:tcW w:w="3866" w:type="dxa"/>
            <w:tcMar>
              <w:top w:w="29" w:type="dxa"/>
              <w:left w:w="115" w:type="dxa"/>
              <w:bottom w:w="29" w:type="dxa"/>
              <w:right w:w="115" w:type="dxa"/>
            </w:tcMar>
          </w:tcPr>
          <w:p w14:paraId="31A2E8A1" w14:textId="77777777" w:rsidR="009C0EE1" w:rsidRPr="00D6246E" w:rsidRDefault="009C0EE1" w:rsidP="009C0EE1">
            <w:pPr>
              <w:spacing w:after="0" w:line="240" w:lineRule="auto"/>
              <w:rPr>
                <w:rFonts w:ascii="Times New Roman" w:hAnsi="Times New Roman"/>
              </w:rPr>
            </w:pPr>
            <w:hyperlink r:id="rId8" w:history="1">
              <w:r w:rsidRPr="00D6246E">
                <w:rPr>
                  <w:rStyle w:val="Hyperlink"/>
                  <w:rFonts w:ascii="Times New Roman" w:hAnsi="Times New Roman"/>
                </w:rPr>
                <w:t>Statybinių medžiagų brangimas lėmė statybos kainų kilimą</w:t>
              </w:r>
            </w:hyperlink>
          </w:p>
          <w:p w14:paraId="4F555049" w14:textId="2ECA2FEF" w:rsidR="005F44D2" w:rsidRPr="00662EB5" w:rsidRDefault="005F44D2" w:rsidP="00BE5C16">
            <w:pPr>
              <w:spacing w:after="0" w:line="240" w:lineRule="auto"/>
              <w:rPr>
                <w:rStyle w:val="Hyperlink"/>
                <w:rFonts w:ascii="Times New Roman" w:hAnsi="Times New Roman"/>
              </w:rPr>
            </w:pPr>
          </w:p>
        </w:tc>
        <w:tc>
          <w:tcPr>
            <w:tcW w:w="562" w:type="dxa"/>
            <w:tcMar>
              <w:top w:w="29" w:type="dxa"/>
              <w:left w:w="115" w:type="dxa"/>
              <w:bottom w:w="29" w:type="dxa"/>
              <w:right w:w="115" w:type="dxa"/>
            </w:tcMar>
          </w:tcPr>
          <w:p w14:paraId="16F5E59A" w14:textId="77777777" w:rsidR="005F44D2" w:rsidRPr="00CC5D0C" w:rsidRDefault="005F44D2" w:rsidP="00BE5C16">
            <w:pPr>
              <w:spacing w:after="0" w:line="240" w:lineRule="auto"/>
              <w:rPr>
                <w:rFonts w:ascii="Times New Roman" w:hAnsi="Times New Roman"/>
              </w:rPr>
            </w:pPr>
          </w:p>
        </w:tc>
      </w:tr>
      <w:tr w:rsidR="00A120B6" w:rsidRPr="00524E4A" w14:paraId="45DD7687" w14:textId="77777777" w:rsidTr="0009314F">
        <w:trPr>
          <w:trHeight w:val="234"/>
        </w:trPr>
        <w:tc>
          <w:tcPr>
            <w:tcW w:w="839" w:type="dxa"/>
            <w:tcMar>
              <w:top w:w="29" w:type="dxa"/>
              <w:left w:w="115" w:type="dxa"/>
              <w:bottom w:w="29" w:type="dxa"/>
              <w:right w:w="115" w:type="dxa"/>
            </w:tcMar>
          </w:tcPr>
          <w:p w14:paraId="32B99C11" w14:textId="78B98471" w:rsidR="00A120B6" w:rsidRDefault="00847D3A" w:rsidP="00BE5C16">
            <w:pPr>
              <w:spacing w:after="0" w:line="240" w:lineRule="auto"/>
              <w:rPr>
                <w:rFonts w:ascii="Times New Roman" w:hAnsi="Times New Roman"/>
                <w:b/>
                <w:bCs/>
              </w:rPr>
            </w:pPr>
            <w:r>
              <w:rPr>
                <w:rFonts w:ascii="Times New Roman" w:hAnsi="Times New Roman"/>
                <w:b/>
                <w:bCs/>
              </w:rPr>
              <w:t>07-31</w:t>
            </w:r>
          </w:p>
        </w:tc>
        <w:tc>
          <w:tcPr>
            <w:tcW w:w="4829" w:type="dxa"/>
            <w:tcMar>
              <w:top w:w="29" w:type="dxa"/>
              <w:left w:w="115" w:type="dxa"/>
              <w:bottom w:w="29" w:type="dxa"/>
              <w:right w:w="115" w:type="dxa"/>
            </w:tcMar>
          </w:tcPr>
          <w:p w14:paraId="15A5067B" w14:textId="05C29EC3" w:rsidR="00A120B6" w:rsidRPr="00914423" w:rsidRDefault="00847D3A" w:rsidP="00847D3A">
            <w:pPr>
              <w:spacing w:after="0" w:line="240" w:lineRule="auto"/>
              <w:rPr>
                <w:rFonts w:ascii="Times New Roman" w:hAnsi="Times New Roman"/>
              </w:rPr>
            </w:pPr>
            <w:r w:rsidRPr="00EC31DD">
              <w:rPr>
                <w:rFonts w:ascii="Times New Roman" w:hAnsi="Times New Roman"/>
              </w:rPr>
              <w:t>Po daugiau nei dvejų metų nuosmukio maisto prekių pardavimai šių metų birželį vėl pradėjo augti. Statistikos departamento duomenimis, birželio mėnesį mažmeninės prekybos pardavimo pajamos siekė 950 mln. eurų, o, palyginti su praėjusių metų tuo pačiu mėnesiu, pardavimo apimtis padidėjo vienu procentu.</w:t>
            </w:r>
          </w:p>
        </w:tc>
        <w:tc>
          <w:tcPr>
            <w:tcW w:w="3866" w:type="dxa"/>
            <w:tcMar>
              <w:top w:w="29" w:type="dxa"/>
              <w:left w:w="115" w:type="dxa"/>
              <w:bottom w:w="29" w:type="dxa"/>
              <w:right w:w="115" w:type="dxa"/>
            </w:tcMar>
          </w:tcPr>
          <w:p w14:paraId="4B4DE263" w14:textId="77777777" w:rsidR="00847D3A" w:rsidRPr="00EC31DD" w:rsidRDefault="00847D3A" w:rsidP="00847D3A">
            <w:pPr>
              <w:spacing w:after="0" w:line="240" w:lineRule="auto"/>
              <w:rPr>
                <w:rFonts w:ascii="Times New Roman" w:hAnsi="Times New Roman"/>
              </w:rPr>
            </w:pPr>
            <w:hyperlink r:id="rId9" w:history="1">
              <w:r w:rsidRPr="00EC31DD">
                <w:rPr>
                  <w:rStyle w:val="Hyperlink"/>
                  <w:rFonts w:ascii="Times New Roman" w:hAnsi="Times New Roman"/>
                </w:rPr>
                <w:t>Maisto prekių pardavimai po ilgo nuosmukio vėl pradėjo augti</w:t>
              </w:r>
            </w:hyperlink>
          </w:p>
          <w:p w14:paraId="76F6490A" w14:textId="77777777" w:rsidR="00A120B6" w:rsidRPr="00662EB5" w:rsidRDefault="00A120B6" w:rsidP="00BE5C16">
            <w:pPr>
              <w:spacing w:after="0" w:line="240" w:lineRule="auto"/>
              <w:rPr>
                <w:rStyle w:val="Hyperlink"/>
                <w:rFonts w:ascii="Times New Roman" w:hAnsi="Times New Roman"/>
              </w:rPr>
            </w:pPr>
          </w:p>
        </w:tc>
        <w:tc>
          <w:tcPr>
            <w:tcW w:w="562" w:type="dxa"/>
            <w:tcMar>
              <w:top w:w="29" w:type="dxa"/>
              <w:left w:w="115" w:type="dxa"/>
              <w:bottom w:w="29" w:type="dxa"/>
              <w:right w:w="115" w:type="dxa"/>
            </w:tcMar>
          </w:tcPr>
          <w:p w14:paraId="615CF2DA" w14:textId="77777777" w:rsidR="00A120B6" w:rsidRPr="00CC5D0C" w:rsidRDefault="00A120B6" w:rsidP="00BE5C16">
            <w:pPr>
              <w:spacing w:after="0" w:line="240" w:lineRule="auto"/>
              <w:rPr>
                <w:rFonts w:ascii="Times New Roman" w:hAnsi="Times New Roman"/>
              </w:rPr>
            </w:pPr>
          </w:p>
        </w:tc>
      </w:tr>
      <w:tr w:rsidR="00E22139" w:rsidRPr="00524E4A" w14:paraId="3B3F9143" w14:textId="77777777" w:rsidTr="0009314F">
        <w:trPr>
          <w:trHeight w:val="234"/>
        </w:trPr>
        <w:tc>
          <w:tcPr>
            <w:tcW w:w="10096" w:type="dxa"/>
            <w:gridSpan w:val="4"/>
            <w:tcMar>
              <w:top w:w="29" w:type="dxa"/>
              <w:left w:w="115" w:type="dxa"/>
              <w:bottom w:w="29" w:type="dxa"/>
              <w:right w:w="115" w:type="dxa"/>
            </w:tcMar>
          </w:tcPr>
          <w:p w14:paraId="5DEBD462" w14:textId="77777777" w:rsidR="00E22139" w:rsidRPr="00CC5D0C" w:rsidRDefault="00E22139" w:rsidP="00E22139">
            <w:pPr>
              <w:spacing w:after="0" w:line="240" w:lineRule="auto"/>
              <w:rPr>
                <w:rFonts w:ascii="Times New Roman" w:hAnsi="Times New Roman"/>
                <w:b/>
              </w:rPr>
            </w:pPr>
            <w:r w:rsidRPr="00CC5D0C">
              <w:rPr>
                <w:rFonts w:ascii="Times New Roman" w:hAnsi="Times New Roman"/>
                <w:b/>
              </w:rPr>
              <w:t>Lietuvos turizmo sektoriui aktuali informacija</w:t>
            </w:r>
          </w:p>
        </w:tc>
      </w:tr>
      <w:tr w:rsidR="009A4B84" w:rsidRPr="00524E4A" w14:paraId="7445698A" w14:textId="77777777" w:rsidTr="0009314F">
        <w:trPr>
          <w:trHeight w:val="216"/>
        </w:trPr>
        <w:tc>
          <w:tcPr>
            <w:tcW w:w="839" w:type="dxa"/>
            <w:tcMar>
              <w:top w:w="29" w:type="dxa"/>
              <w:left w:w="115" w:type="dxa"/>
              <w:bottom w:w="29" w:type="dxa"/>
              <w:right w:w="115" w:type="dxa"/>
            </w:tcMar>
          </w:tcPr>
          <w:p w14:paraId="4F998500" w14:textId="58814B30" w:rsidR="009A4B84" w:rsidRDefault="00F563B0" w:rsidP="00BE5C16">
            <w:pPr>
              <w:spacing w:after="0" w:line="240" w:lineRule="auto"/>
              <w:rPr>
                <w:rFonts w:ascii="Times New Roman" w:hAnsi="Times New Roman"/>
                <w:b/>
                <w:bCs/>
              </w:rPr>
            </w:pPr>
            <w:r>
              <w:rPr>
                <w:rFonts w:ascii="Times New Roman" w:hAnsi="Times New Roman"/>
                <w:b/>
                <w:bCs/>
              </w:rPr>
              <w:t>07-16</w:t>
            </w:r>
          </w:p>
        </w:tc>
        <w:tc>
          <w:tcPr>
            <w:tcW w:w="4829" w:type="dxa"/>
            <w:tcMar>
              <w:top w:w="29" w:type="dxa"/>
              <w:left w:w="115" w:type="dxa"/>
              <w:bottom w:w="29" w:type="dxa"/>
              <w:right w:w="115" w:type="dxa"/>
            </w:tcMar>
          </w:tcPr>
          <w:p w14:paraId="4F90425E" w14:textId="08FC2313" w:rsidR="009A4B84" w:rsidRPr="00D97AAF" w:rsidRDefault="00F563B0" w:rsidP="00BE5C16">
            <w:pPr>
              <w:pStyle w:val="HTMLPreformatted"/>
              <w:rPr>
                <w:rFonts w:ascii="Times New Roman" w:hAnsi="Times New Roman" w:cs="Times New Roman"/>
                <w:sz w:val="22"/>
                <w:szCs w:val="22"/>
              </w:rPr>
            </w:pPr>
            <w:r w:rsidRPr="00D97AAF">
              <w:rPr>
                <w:rFonts w:ascii="Times New Roman" w:hAnsi="Times New Roman"/>
                <w:sz w:val="22"/>
                <w:szCs w:val="22"/>
              </w:rPr>
              <w:t>Estijoje, skirtingai nei daugumoje E</w:t>
            </w:r>
            <w:r w:rsidR="00B36D10">
              <w:rPr>
                <w:rFonts w:ascii="Times New Roman" w:hAnsi="Times New Roman"/>
                <w:sz w:val="22"/>
                <w:szCs w:val="22"/>
              </w:rPr>
              <w:t xml:space="preserve">S </w:t>
            </w:r>
            <w:r w:rsidRPr="00D97AAF">
              <w:rPr>
                <w:rFonts w:ascii="Times New Roman" w:hAnsi="Times New Roman"/>
                <w:sz w:val="22"/>
                <w:szCs w:val="22"/>
              </w:rPr>
              <w:t>šalių, turizmo piko sezonas yra visų pirma liepos mėnesį, tačiau, remiantis Eurostato duomenimis, Estija apskritai nepriklauso populiariausių Europos turizmo šalių sąrašui.</w:t>
            </w:r>
          </w:p>
        </w:tc>
        <w:tc>
          <w:tcPr>
            <w:tcW w:w="3866" w:type="dxa"/>
            <w:tcMar>
              <w:top w:w="29" w:type="dxa"/>
              <w:left w:w="115" w:type="dxa"/>
              <w:bottom w:w="29" w:type="dxa"/>
              <w:right w:w="115" w:type="dxa"/>
            </w:tcMar>
          </w:tcPr>
          <w:p w14:paraId="109C5A3F" w14:textId="77777777" w:rsidR="00F563B0" w:rsidRPr="002F570A" w:rsidRDefault="00F563B0" w:rsidP="00F563B0">
            <w:pPr>
              <w:spacing w:after="0" w:line="240" w:lineRule="auto"/>
              <w:rPr>
                <w:rFonts w:ascii="Times New Roman" w:hAnsi="Times New Roman"/>
              </w:rPr>
            </w:pPr>
            <w:hyperlink r:id="rId10" w:history="1">
              <w:r w:rsidRPr="002F570A">
                <w:rPr>
                  <w:rStyle w:val="Hyperlink"/>
                  <w:rFonts w:ascii="Times New Roman" w:hAnsi="Times New Roman"/>
                </w:rPr>
                <w:t>Turizmo piko sezonas Estijos viešbučiuose prasideda anksčiau nei kitose Europos šalyse</w:t>
              </w:r>
            </w:hyperlink>
          </w:p>
          <w:p w14:paraId="6C4EE32B" w14:textId="68571742" w:rsidR="009A4B84" w:rsidRPr="0073207D" w:rsidRDefault="009A4B84" w:rsidP="00BE5C16">
            <w:pPr>
              <w:spacing w:after="0" w:line="240" w:lineRule="auto"/>
              <w:rPr>
                <w:rStyle w:val="Hyperlink"/>
                <w:rFonts w:ascii="Times New Roman" w:hAnsi="Times New Roman"/>
              </w:rPr>
            </w:pPr>
          </w:p>
        </w:tc>
        <w:tc>
          <w:tcPr>
            <w:tcW w:w="562" w:type="dxa"/>
            <w:tcMar>
              <w:top w:w="29" w:type="dxa"/>
              <w:left w:w="115" w:type="dxa"/>
              <w:bottom w:w="29" w:type="dxa"/>
              <w:right w:w="115" w:type="dxa"/>
            </w:tcMar>
          </w:tcPr>
          <w:p w14:paraId="296DCC5A" w14:textId="77777777" w:rsidR="009A4B84" w:rsidRPr="00CC5D0C" w:rsidRDefault="009A4B84" w:rsidP="00BE5C16">
            <w:pPr>
              <w:spacing w:after="0" w:line="240" w:lineRule="auto"/>
              <w:rPr>
                <w:rFonts w:ascii="Times New Roman" w:hAnsi="Times New Roman"/>
              </w:rPr>
            </w:pPr>
          </w:p>
        </w:tc>
      </w:tr>
      <w:tr w:rsidR="00A120B6" w:rsidRPr="00524E4A" w14:paraId="09061555" w14:textId="77777777" w:rsidTr="0009314F">
        <w:trPr>
          <w:trHeight w:val="216"/>
        </w:trPr>
        <w:tc>
          <w:tcPr>
            <w:tcW w:w="839" w:type="dxa"/>
            <w:tcMar>
              <w:top w:w="29" w:type="dxa"/>
              <w:left w:w="115" w:type="dxa"/>
              <w:bottom w:w="29" w:type="dxa"/>
              <w:right w:w="115" w:type="dxa"/>
            </w:tcMar>
          </w:tcPr>
          <w:p w14:paraId="33DE9E51" w14:textId="70DFFFC5" w:rsidR="00A120B6" w:rsidRDefault="00F563B0" w:rsidP="00BE5C16">
            <w:pPr>
              <w:spacing w:after="0" w:line="240" w:lineRule="auto"/>
              <w:rPr>
                <w:rFonts w:ascii="Times New Roman" w:hAnsi="Times New Roman"/>
                <w:b/>
                <w:bCs/>
              </w:rPr>
            </w:pPr>
            <w:r>
              <w:rPr>
                <w:rFonts w:ascii="Times New Roman" w:hAnsi="Times New Roman"/>
                <w:b/>
                <w:bCs/>
              </w:rPr>
              <w:t>07-16</w:t>
            </w:r>
          </w:p>
        </w:tc>
        <w:tc>
          <w:tcPr>
            <w:tcW w:w="4829" w:type="dxa"/>
            <w:tcMar>
              <w:top w:w="29" w:type="dxa"/>
              <w:left w:w="115" w:type="dxa"/>
              <w:bottom w:w="29" w:type="dxa"/>
              <w:right w:w="115" w:type="dxa"/>
            </w:tcMar>
          </w:tcPr>
          <w:p w14:paraId="7E6C4F2E" w14:textId="50237C0C" w:rsidR="00A120B6" w:rsidRPr="00AA69E9" w:rsidRDefault="0098182C" w:rsidP="00BE5C16">
            <w:pPr>
              <w:pStyle w:val="HTMLPreformatted"/>
              <w:rPr>
                <w:rFonts w:ascii="Times New Roman" w:hAnsi="Times New Roman" w:cs="Times New Roman"/>
                <w:sz w:val="22"/>
                <w:szCs w:val="22"/>
              </w:rPr>
            </w:pPr>
            <w:r>
              <w:rPr>
                <w:rFonts w:ascii="Times New Roman" w:hAnsi="Times New Roman" w:cs="Times New Roman"/>
                <w:sz w:val="22"/>
                <w:szCs w:val="22"/>
              </w:rPr>
              <w:t>Talino</w:t>
            </w:r>
            <w:r w:rsidR="00F563B0" w:rsidRPr="00F563B0">
              <w:rPr>
                <w:rFonts w:ascii="Times New Roman" w:hAnsi="Times New Roman" w:cs="Times New Roman"/>
                <w:sz w:val="22"/>
                <w:szCs w:val="22"/>
              </w:rPr>
              <w:t xml:space="preserve"> oro uostas birželį aptarnavo rekordinius 373000 keleivių – tam padėjo nauji skrydžiai. Tačiau kelionių agentūros pardavimų augimo nemato: pasak jų atstovų, estai šią vasarą keliaus mažiau dėl ekonominės padėties, situacijos Artimuosiuose Rytuose</w:t>
            </w:r>
            <w:r w:rsidR="00B36D10">
              <w:rPr>
                <w:rFonts w:ascii="Times New Roman" w:hAnsi="Times New Roman" w:cs="Times New Roman"/>
                <w:sz w:val="22"/>
                <w:szCs w:val="22"/>
              </w:rPr>
              <w:t xml:space="preserve"> ir </w:t>
            </w:r>
            <w:r w:rsidR="00F563B0" w:rsidRPr="00F563B0">
              <w:rPr>
                <w:rFonts w:ascii="Times New Roman" w:hAnsi="Times New Roman" w:cs="Times New Roman"/>
                <w:sz w:val="22"/>
                <w:szCs w:val="22"/>
              </w:rPr>
              <w:t xml:space="preserve"> degalų kainų</w:t>
            </w:r>
            <w:r w:rsidR="00B36D10">
              <w:rPr>
                <w:rFonts w:ascii="Times New Roman" w:hAnsi="Times New Roman" w:cs="Times New Roman"/>
                <w:sz w:val="22"/>
                <w:szCs w:val="22"/>
              </w:rPr>
              <w:t>.</w:t>
            </w:r>
            <w:r w:rsidR="00F563B0">
              <w:rPr>
                <w:rFonts w:ascii="Times New Roman" w:hAnsi="Times New Roman" w:cs="Times New Roman"/>
                <w:sz w:val="22"/>
                <w:szCs w:val="22"/>
              </w:rPr>
              <w:t xml:space="preserve"> </w:t>
            </w:r>
          </w:p>
        </w:tc>
        <w:tc>
          <w:tcPr>
            <w:tcW w:w="3866" w:type="dxa"/>
            <w:tcMar>
              <w:top w:w="29" w:type="dxa"/>
              <w:left w:w="115" w:type="dxa"/>
              <w:bottom w:w="29" w:type="dxa"/>
              <w:right w:w="115" w:type="dxa"/>
            </w:tcMar>
          </w:tcPr>
          <w:p w14:paraId="5503C1B2" w14:textId="77777777" w:rsidR="00F563B0" w:rsidRPr="002F570A" w:rsidRDefault="00F563B0" w:rsidP="00F563B0">
            <w:pPr>
              <w:spacing w:after="0" w:line="240" w:lineRule="auto"/>
              <w:rPr>
                <w:rFonts w:ascii="Times New Roman" w:hAnsi="Times New Roman"/>
              </w:rPr>
            </w:pPr>
            <w:hyperlink r:id="rId11" w:history="1">
              <w:r w:rsidRPr="002F570A">
                <w:rPr>
                  <w:rStyle w:val="Hyperlink"/>
                  <w:rFonts w:ascii="Times New Roman" w:hAnsi="Times New Roman"/>
                </w:rPr>
                <w:t>Talino oro uostas vėl pasiekė rekordą, tačiau šiemet estai keliauja mažiau</w:t>
              </w:r>
            </w:hyperlink>
          </w:p>
          <w:p w14:paraId="1C269C09" w14:textId="77777777" w:rsidR="00A120B6" w:rsidRPr="0073207D" w:rsidRDefault="00A120B6" w:rsidP="00BE5C16">
            <w:pPr>
              <w:spacing w:after="0" w:line="240" w:lineRule="auto"/>
              <w:rPr>
                <w:rStyle w:val="Hyperlink"/>
                <w:rFonts w:ascii="Times New Roman" w:hAnsi="Times New Roman"/>
              </w:rPr>
            </w:pPr>
          </w:p>
        </w:tc>
        <w:tc>
          <w:tcPr>
            <w:tcW w:w="562" w:type="dxa"/>
            <w:tcMar>
              <w:top w:w="29" w:type="dxa"/>
              <w:left w:w="115" w:type="dxa"/>
              <w:bottom w:w="29" w:type="dxa"/>
              <w:right w:w="115" w:type="dxa"/>
            </w:tcMar>
          </w:tcPr>
          <w:p w14:paraId="103CD6B8" w14:textId="77777777" w:rsidR="00A120B6" w:rsidRPr="00CC5D0C" w:rsidRDefault="00A120B6" w:rsidP="00BE5C16">
            <w:pPr>
              <w:spacing w:after="0" w:line="240" w:lineRule="auto"/>
              <w:rPr>
                <w:rFonts w:ascii="Times New Roman" w:hAnsi="Times New Roman"/>
              </w:rPr>
            </w:pPr>
          </w:p>
        </w:tc>
      </w:tr>
      <w:tr w:rsidR="00E56D69" w:rsidRPr="00524E4A" w14:paraId="21A4E457" w14:textId="77777777" w:rsidTr="0009314F">
        <w:trPr>
          <w:trHeight w:val="216"/>
        </w:trPr>
        <w:tc>
          <w:tcPr>
            <w:tcW w:w="839" w:type="dxa"/>
            <w:tcMar>
              <w:top w:w="29" w:type="dxa"/>
              <w:left w:w="115" w:type="dxa"/>
              <w:bottom w:w="29" w:type="dxa"/>
              <w:right w:w="115" w:type="dxa"/>
            </w:tcMar>
          </w:tcPr>
          <w:p w14:paraId="5BC0BA25" w14:textId="0217B1B9" w:rsidR="00E56D69" w:rsidRDefault="00E56D69" w:rsidP="00BE5C16">
            <w:pPr>
              <w:spacing w:after="0" w:line="240" w:lineRule="auto"/>
              <w:rPr>
                <w:rFonts w:ascii="Times New Roman" w:hAnsi="Times New Roman"/>
                <w:b/>
                <w:bCs/>
              </w:rPr>
            </w:pPr>
            <w:r>
              <w:rPr>
                <w:rFonts w:ascii="Times New Roman" w:hAnsi="Times New Roman"/>
                <w:b/>
                <w:bCs/>
              </w:rPr>
              <w:t>07-23</w:t>
            </w:r>
          </w:p>
        </w:tc>
        <w:tc>
          <w:tcPr>
            <w:tcW w:w="4829" w:type="dxa"/>
            <w:tcMar>
              <w:top w:w="29" w:type="dxa"/>
              <w:left w:w="115" w:type="dxa"/>
              <w:bottom w:w="29" w:type="dxa"/>
              <w:right w:w="115" w:type="dxa"/>
            </w:tcMar>
          </w:tcPr>
          <w:p w14:paraId="0BB21089" w14:textId="37A73852" w:rsidR="00E56D69" w:rsidRDefault="00E56D69" w:rsidP="00BE5C16">
            <w:pPr>
              <w:pStyle w:val="HTMLPreformatted"/>
              <w:rPr>
                <w:rFonts w:ascii="Times New Roman" w:hAnsi="Times New Roman" w:cs="Times New Roman"/>
                <w:sz w:val="22"/>
                <w:szCs w:val="22"/>
              </w:rPr>
            </w:pPr>
            <w:r w:rsidRPr="00E56D69">
              <w:rPr>
                <w:rFonts w:ascii="Times New Roman" w:hAnsi="Times New Roman" w:cs="Times New Roman"/>
                <w:sz w:val="22"/>
                <w:szCs w:val="22"/>
              </w:rPr>
              <w:t>Antrą ketvirtį „Tallink“ keleivių skaičius sumažėjo 2,2 proc. (iki 1,5 mln.), o krovinių apyvarta išaugo 2,9 proc.; ketvirčio nuostolis siekė 2,5 mln. Eurų</w:t>
            </w:r>
            <w:r>
              <w:rPr>
                <w:rFonts w:ascii="Times New Roman" w:hAnsi="Times New Roman" w:cs="Times New Roman"/>
                <w:sz w:val="22"/>
                <w:szCs w:val="22"/>
              </w:rPr>
              <w:t xml:space="preserve">. </w:t>
            </w:r>
            <w:r w:rsidRPr="00E56D69">
              <w:rPr>
                <w:rFonts w:ascii="Times New Roman" w:hAnsi="Times New Roman" w:cs="Times New Roman"/>
                <w:sz w:val="22"/>
                <w:szCs w:val="22"/>
              </w:rPr>
              <w:t>Per pusmetį keleivių skaičius augo 1,3 proc. iki 2,5 mln., pajamos – 3,5 proc. iki 356,4 mln. eurų, o grynasis nuostolis sumažėjo nuo beveik 36 mln. iki 24,5 mln. eurų. Bendrovė per pusmetį investavo 21,5 mln. eurų, daugiausia laivų atnaujinimui.</w:t>
            </w:r>
          </w:p>
        </w:tc>
        <w:tc>
          <w:tcPr>
            <w:tcW w:w="3866" w:type="dxa"/>
            <w:tcMar>
              <w:top w:w="29" w:type="dxa"/>
              <w:left w:w="115" w:type="dxa"/>
              <w:bottom w:w="29" w:type="dxa"/>
              <w:right w:w="115" w:type="dxa"/>
            </w:tcMar>
          </w:tcPr>
          <w:p w14:paraId="49310B3F" w14:textId="3B0AFAE3" w:rsidR="00E56D69" w:rsidRDefault="00E56D69" w:rsidP="00F563B0">
            <w:pPr>
              <w:spacing w:after="0" w:line="240" w:lineRule="auto"/>
            </w:pPr>
            <w:hyperlink r:id="rId12" w:history="1">
              <w:r w:rsidRPr="00C62D23">
                <w:rPr>
                  <w:rStyle w:val="Hyperlink"/>
                  <w:rFonts w:ascii="Times New Roman" w:hAnsi="Times New Roman"/>
                </w:rPr>
                <w:t>„Tallink“ pusmečio nuostolis siekė 24,5 mln</w:t>
              </w:r>
            </w:hyperlink>
            <w:r w:rsidRPr="00C62D23">
              <w:rPr>
                <w:rFonts w:ascii="Times New Roman" w:hAnsi="Times New Roman"/>
              </w:rPr>
              <w:t>.</w:t>
            </w:r>
          </w:p>
        </w:tc>
        <w:tc>
          <w:tcPr>
            <w:tcW w:w="562" w:type="dxa"/>
            <w:tcMar>
              <w:top w:w="29" w:type="dxa"/>
              <w:left w:w="115" w:type="dxa"/>
              <w:bottom w:w="29" w:type="dxa"/>
              <w:right w:w="115" w:type="dxa"/>
            </w:tcMar>
          </w:tcPr>
          <w:p w14:paraId="7989418E" w14:textId="77777777" w:rsidR="00E56D69" w:rsidRPr="00CC5D0C" w:rsidRDefault="00E56D69" w:rsidP="00BE5C16">
            <w:pPr>
              <w:spacing w:after="0" w:line="240" w:lineRule="auto"/>
              <w:rPr>
                <w:rFonts w:ascii="Times New Roman" w:hAnsi="Times New Roman"/>
              </w:rPr>
            </w:pPr>
          </w:p>
        </w:tc>
      </w:tr>
      <w:tr w:rsidR="0009314F" w:rsidRPr="00524E4A" w14:paraId="05C9A2F2" w14:textId="77777777" w:rsidTr="0009314F">
        <w:trPr>
          <w:trHeight w:val="216"/>
        </w:trPr>
        <w:tc>
          <w:tcPr>
            <w:tcW w:w="839" w:type="dxa"/>
            <w:tcMar>
              <w:top w:w="29" w:type="dxa"/>
              <w:left w:w="115" w:type="dxa"/>
              <w:bottom w:w="29" w:type="dxa"/>
              <w:right w:w="115" w:type="dxa"/>
            </w:tcMar>
          </w:tcPr>
          <w:p w14:paraId="7F6B3C8E" w14:textId="765B2F1D" w:rsidR="0009314F" w:rsidRDefault="0009314F" w:rsidP="0009314F">
            <w:pPr>
              <w:spacing w:after="0" w:line="240" w:lineRule="auto"/>
              <w:rPr>
                <w:rFonts w:ascii="Times New Roman" w:hAnsi="Times New Roman"/>
                <w:b/>
                <w:bCs/>
              </w:rPr>
            </w:pPr>
            <w:r>
              <w:rPr>
                <w:rFonts w:ascii="Times New Roman" w:hAnsi="Times New Roman"/>
                <w:b/>
                <w:bCs/>
              </w:rPr>
              <w:t>07-24</w:t>
            </w:r>
          </w:p>
        </w:tc>
        <w:tc>
          <w:tcPr>
            <w:tcW w:w="4829" w:type="dxa"/>
            <w:tcMar>
              <w:top w:w="29" w:type="dxa"/>
              <w:left w:w="115" w:type="dxa"/>
              <w:bottom w:w="29" w:type="dxa"/>
              <w:right w:w="115" w:type="dxa"/>
            </w:tcMar>
          </w:tcPr>
          <w:p w14:paraId="4FFF0BD8" w14:textId="6D5BC903" w:rsidR="0009314F" w:rsidRPr="00AA69E9" w:rsidRDefault="0009314F" w:rsidP="0009314F">
            <w:pPr>
              <w:pStyle w:val="HTMLPreformatted"/>
              <w:rPr>
                <w:rFonts w:ascii="Times New Roman" w:hAnsi="Times New Roman" w:cs="Times New Roman"/>
                <w:sz w:val="22"/>
                <w:szCs w:val="22"/>
              </w:rPr>
            </w:pPr>
            <w:r w:rsidRPr="0009314F">
              <w:rPr>
                <w:rFonts w:ascii="Times New Roman" w:hAnsi="Times New Roman" w:cs="Times New Roman"/>
                <w:sz w:val="22"/>
                <w:szCs w:val="22"/>
              </w:rPr>
              <w:t>„Air Baltic“, aptarnaujanti beveik trečdalį Talino oro uosto keleivių ir apie 30 maršrutų, dėl finansinių sunkumų (44 mln. eurų nuostolio ir neaiškaus 30 mln. eurų paskolos grąžinimo iki rugpjūčio 31 d.) gali sumažinti veiklą ar bankrutuoti, o Latvija ieško investuotojo. Talino oro uostas nepanikuoja – jame veikia 15 reguliarių vežėjų, galinčių užpildyti spragą, tačiau ekspertai perspėja, kad mažiau pelningi maršrutai gali visai išnykti. Lietuva jau rengia atsarginį planą, o Estijos infrastruktūros ministras Kuldar Leis sako, kad situacija vystosi „įprasta linkme“ ir laukiama naujo „Air Baltic“ verslo plano.</w:t>
            </w:r>
          </w:p>
        </w:tc>
        <w:tc>
          <w:tcPr>
            <w:tcW w:w="3866" w:type="dxa"/>
            <w:tcMar>
              <w:top w:w="29" w:type="dxa"/>
              <w:left w:w="115" w:type="dxa"/>
              <w:bottom w:w="29" w:type="dxa"/>
              <w:right w:w="115" w:type="dxa"/>
            </w:tcMar>
          </w:tcPr>
          <w:p w14:paraId="06764BD8" w14:textId="75FE990C" w:rsidR="0009314F" w:rsidRPr="0073207D" w:rsidRDefault="0009314F" w:rsidP="0009314F">
            <w:pPr>
              <w:spacing w:after="0" w:line="240" w:lineRule="auto"/>
              <w:rPr>
                <w:rStyle w:val="Hyperlink"/>
                <w:rFonts w:ascii="Times New Roman" w:hAnsi="Times New Roman"/>
              </w:rPr>
            </w:pPr>
            <w:hyperlink r:id="rId13" w:history="1">
              <w:r w:rsidRPr="0009314F">
                <w:rPr>
                  <w:rStyle w:val="Hyperlink"/>
                  <w:rFonts w:ascii="Times New Roman" w:hAnsi="Times New Roman"/>
                </w:rPr>
                <w:t>Talino oro uostas nemato priežasties panikuoti, jei „Air Baltic“ pasitrauktų</w:t>
              </w:r>
            </w:hyperlink>
          </w:p>
        </w:tc>
        <w:tc>
          <w:tcPr>
            <w:tcW w:w="562" w:type="dxa"/>
            <w:tcMar>
              <w:top w:w="29" w:type="dxa"/>
              <w:left w:w="115" w:type="dxa"/>
              <w:bottom w:w="29" w:type="dxa"/>
              <w:right w:w="115" w:type="dxa"/>
            </w:tcMar>
          </w:tcPr>
          <w:p w14:paraId="03483FF1" w14:textId="77777777" w:rsidR="0009314F" w:rsidRPr="00CC5D0C" w:rsidRDefault="0009314F" w:rsidP="0009314F">
            <w:pPr>
              <w:spacing w:after="0" w:line="240" w:lineRule="auto"/>
              <w:rPr>
                <w:rFonts w:ascii="Times New Roman" w:hAnsi="Times New Roman"/>
              </w:rPr>
            </w:pPr>
          </w:p>
        </w:tc>
      </w:tr>
      <w:tr w:rsidR="00A120B6" w:rsidRPr="00524E4A" w14:paraId="27F1ACCA" w14:textId="77777777" w:rsidTr="0009314F">
        <w:trPr>
          <w:trHeight w:val="216"/>
        </w:trPr>
        <w:tc>
          <w:tcPr>
            <w:tcW w:w="839" w:type="dxa"/>
            <w:tcMar>
              <w:top w:w="29" w:type="dxa"/>
              <w:left w:w="115" w:type="dxa"/>
              <w:bottom w:w="29" w:type="dxa"/>
              <w:right w:w="115" w:type="dxa"/>
            </w:tcMar>
          </w:tcPr>
          <w:p w14:paraId="58923662" w14:textId="7B3A9EEC" w:rsidR="00A120B6" w:rsidRDefault="00B35495" w:rsidP="00BE5C16">
            <w:pPr>
              <w:spacing w:after="0" w:line="240" w:lineRule="auto"/>
              <w:rPr>
                <w:rFonts w:ascii="Times New Roman" w:hAnsi="Times New Roman"/>
                <w:b/>
                <w:bCs/>
              </w:rPr>
            </w:pPr>
            <w:r>
              <w:rPr>
                <w:rFonts w:ascii="Times New Roman" w:hAnsi="Times New Roman"/>
                <w:b/>
                <w:bCs/>
              </w:rPr>
              <w:lastRenderedPageBreak/>
              <w:t>07-30</w:t>
            </w:r>
          </w:p>
        </w:tc>
        <w:tc>
          <w:tcPr>
            <w:tcW w:w="4829" w:type="dxa"/>
            <w:tcMar>
              <w:top w:w="29" w:type="dxa"/>
              <w:left w:w="115" w:type="dxa"/>
              <w:bottom w:w="29" w:type="dxa"/>
              <w:right w:w="115" w:type="dxa"/>
            </w:tcMar>
          </w:tcPr>
          <w:p w14:paraId="7C3D3AB2" w14:textId="6B6CA8B2" w:rsidR="00A120B6" w:rsidRPr="00AA69E9" w:rsidRDefault="00B35495" w:rsidP="00BE5C16">
            <w:pPr>
              <w:pStyle w:val="HTMLPreformatted"/>
              <w:rPr>
                <w:rFonts w:ascii="Times New Roman" w:hAnsi="Times New Roman" w:cs="Times New Roman"/>
                <w:sz w:val="22"/>
                <w:szCs w:val="22"/>
              </w:rPr>
            </w:pPr>
            <w:r w:rsidRPr="00B35495">
              <w:rPr>
                <w:rFonts w:ascii="Times New Roman" w:hAnsi="Times New Roman" w:cs="Times New Roman"/>
                <w:sz w:val="22"/>
                <w:szCs w:val="22"/>
              </w:rPr>
              <w:t>Naujuose valstybės lūkesčiuose Talino oro uostui, kuriuos pasirašė infrastruktūros ministras Kuldar Leis, iki 2030 m. numatytas tikslas turėti bent 60 reguliarių krypčių ir siekti 5 mln. keleivių per metus, o dividendai turi būti nustatomi taip, kad netrukdytų šiems tikslams. Dokumentas taip pat numato, kad Pärnu oro uostas veiks tvariai ruošiantis jį ilgainiui perduoti tinkamam partneriui, o Kihnu oro uostui bus rengiamasi perdavimui atsižvelgiant į regiono poreikius.</w:t>
            </w:r>
          </w:p>
        </w:tc>
        <w:tc>
          <w:tcPr>
            <w:tcW w:w="3866" w:type="dxa"/>
            <w:tcMar>
              <w:top w:w="29" w:type="dxa"/>
              <w:left w:w="115" w:type="dxa"/>
              <w:bottom w:w="29" w:type="dxa"/>
              <w:right w:w="115" w:type="dxa"/>
            </w:tcMar>
          </w:tcPr>
          <w:p w14:paraId="2409CE13" w14:textId="77777777" w:rsidR="00B35495" w:rsidRPr="00EC31DD" w:rsidRDefault="00B35495" w:rsidP="00B35495">
            <w:pPr>
              <w:spacing w:after="0" w:line="240" w:lineRule="auto"/>
              <w:rPr>
                <w:rFonts w:ascii="Times New Roman" w:hAnsi="Times New Roman"/>
              </w:rPr>
            </w:pPr>
            <w:hyperlink r:id="rId14" w:history="1">
              <w:r w:rsidRPr="00EC31DD">
                <w:rPr>
                  <w:rStyle w:val="Hyperlink"/>
                  <w:rFonts w:ascii="Times New Roman" w:hAnsi="Times New Roman"/>
                </w:rPr>
                <w:t>Valstybė tikisi, kad oro uostas pritrauks į Estiją naujų aviakompanijų ir užtikrins daugiau skrydžių</w:t>
              </w:r>
            </w:hyperlink>
          </w:p>
          <w:p w14:paraId="5401AA7C" w14:textId="77777777" w:rsidR="00A120B6" w:rsidRPr="0073207D" w:rsidRDefault="00A120B6" w:rsidP="00BE5C16">
            <w:pPr>
              <w:spacing w:after="0" w:line="240" w:lineRule="auto"/>
              <w:rPr>
                <w:rStyle w:val="Hyperlink"/>
                <w:rFonts w:ascii="Times New Roman" w:hAnsi="Times New Roman"/>
              </w:rPr>
            </w:pPr>
          </w:p>
        </w:tc>
        <w:tc>
          <w:tcPr>
            <w:tcW w:w="562" w:type="dxa"/>
            <w:tcMar>
              <w:top w:w="29" w:type="dxa"/>
              <w:left w:w="115" w:type="dxa"/>
              <w:bottom w:w="29" w:type="dxa"/>
              <w:right w:w="115" w:type="dxa"/>
            </w:tcMar>
          </w:tcPr>
          <w:p w14:paraId="5EF63F92" w14:textId="77777777" w:rsidR="00A120B6" w:rsidRPr="00CC5D0C" w:rsidRDefault="00A120B6" w:rsidP="00BE5C16">
            <w:pPr>
              <w:spacing w:after="0" w:line="240" w:lineRule="auto"/>
              <w:rPr>
                <w:rFonts w:ascii="Times New Roman" w:hAnsi="Times New Roman"/>
              </w:rPr>
            </w:pPr>
          </w:p>
        </w:tc>
      </w:tr>
      <w:tr w:rsidR="00E22139" w:rsidRPr="00FD325E" w14:paraId="658BE3B7" w14:textId="77777777" w:rsidTr="0009314F">
        <w:trPr>
          <w:trHeight w:val="234"/>
        </w:trPr>
        <w:tc>
          <w:tcPr>
            <w:tcW w:w="10096" w:type="dxa"/>
            <w:gridSpan w:val="4"/>
            <w:tcMar>
              <w:top w:w="29" w:type="dxa"/>
              <w:left w:w="115" w:type="dxa"/>
              <w:bottom w:w="29" w:type="dxa"/>
              <w:right w:w="115" w:type="dxa"/>
            </w:tcMar>
          </w:tcPr>
          <w:p w14:paraId="0C4C48A7" w14:textId="063C15A8" w:rsidR="00E22139" w:rsidRPr="00CC5D0C" w:rsidRDefault="00831660" w:rsidP="00E22139">
            <w:pPr>
              <w:spacing w:after="0" w:line="240" w:lineRule="auto"/>
              <w:rPr>
                <w:rFonts w:ascii="Times New Roman" w:hAnsi="Times New Roman"/>
                <w:b/>
              </w:rPr>
            </w:pPr>
            <w:r w:rsidRPr="00831660">
              <w:rPr>
                <w:rFonts w:ascii="Times New Roman" w:hAnsi="Times New Roman"/>
                <w:b/>
              </w:rPr>
              <w:t>Bendradarbiavimui mokslinių tyrimų, eksperimentinės plėtros ir inovacijų (MTEPI) srityse aktuali informacija</w:t>
            </w:r>
          </w:p>
        </w:tc>
      </w:tr>
      <w:tr w:rsidR="00160BD1" w:rsidRPr="00FD325E" w14:paraId="1C4FFF97" w14:textId="77777777" w:rsidTr="0009314F">
        <w:trPr>
          <w:trHeight w:val="234"/>
        </w:trPr>
        <w:tc>
          <w:tcPr>
            <w:tcW w:w="839" w:type="dxa"/>
            <w:tcMar>
              <w:top w:w="29" w:type="dxa"/>
              <w:left w:w="115" w:type="dxa"/>
              <w:bottom w:w="29" w:type="dxa"/>
              <w:right w:w="115" w:type="dxa"/>
            </w:tcMar>
          </w:tcPr>
          <w:p w14:paraId="0363BD03" w14:textId="05FDAF48" w:rsidR="00160BD1" w:rsidRDefault="00D97AAF" w:rsidP="00BE5C16">
            <w:pPr>
              <w:spacing w:after="0" w:line="240" w:lineRule="auto"/>
              <w:rPr>
                <w:rFonts w:ascii="Times New Roman" w:hAnsi="Times New Roman"/>
                <w:b/>
              </w:rPr>
            </w:pPr>
            <w:r>
              <w:rPr>
                <w:rFonts w:ascii="Times New Roman" w:hAnsi="Times New Roman"/>
                <w:b/>
              </w:rPr>
              <w:t>07-16</w:t>
            </w:r>
          </w:p>
        </w:tc>
        <w:tc>
          <w:tcPr>
            <w:tcW w:w="4829" w:type="dxa"/>
            <w:tcMar>
              <w:top w:w="29" w:type="dxa"/>
              <w:left w:w="115" w:type="dxa"/>
              <w:bottom w:w="29" w:type="dxa"/>
              <w:right w:w="115" w:type="dxa"/>
            </w:tcMar>
          </w:tcPr>
          <w:p w14:paraId="2456C8F9" w14:textId="62B58361" w:rsidR="00160BD1" w:rsidRPr="009003BA" w:rsidRDefault="00792B4B" w:rsidP="00BE5C16">
            <w:pPr>
              <w:spacing w:after="0" w:line="240" w:lineRule="auto"/>
              <w:rPr>
                <w:rFonts w:ascii="Times New Roman" w:hAnsi="Times New Roman"/>
              </w:rPr>
            </w:pPr>
            <w:r w:rsidRPr="00792B4B">
              <w:rPr>
                <w:rFonts w:ascii="Times New Roman" w:hAnsi="Times New Roman"/>
              </w:rPr>
              <w:t>EIF-o naujoji inovacijų paskola pirmiausia atiteko dviem įmonėms: „GScan“, kuri plėtoja miuonų tomografijos technologiją tiltams ir tuneliams tikrinti be pažeidimų, panaudos lėšas 18 naujų skenerių gamybai (dabartiniai 20 skenerių pilnai užimti J</w:t>
            </w:r>
            <w:r w:rsidR="00B36D10">
              <w:rPr>
                <w:rFonts w:ascii="Times New Roman" w:hAnsi="Times New Roman"/>
              </w:rPr>
              <w:t xml:space="preserve">K </w:t>
            </w:r>
            <w:r w:rsidRPr="00792B4B">
              <w:rPr>
                <w:rFonts w:ascii="Times New Roman" w:hAnsi="Times New Roman"/>
              </w:rPr>
              <w:t xml:space="preserve">ir Japonijoje), o Viljandyje veikianti robotikos įmonė „Rollo Robotics“ pereis nuo prototipo prie serijinės gamybos savo autonominių saugumo robotų platformai. EIF valdybos narys Ivaras Pae pažymėjo, kad tai žymi agentūros strateginį poslinkį nuo </w:t>
            </w:r>
            <w:r>
              <w:rPr>
                <w:rFonts w:ascii="Times New Roman" w:hAnsi="Times New Roman"/>
              </w:rPr>
              <w:t>dotacijų</w:t>
            </w:r>
            <w:r w:rsidRPr="00792B4B">
              <w:rPr>
                <w:rFonts w:ascii="Times New Roman" w:hAnsi="Times New Roman"/>
              </w:rPr>
              <w:t xml:space="preserve"> prie įmonių plėtros finansavimo.</w:t>
            </w:r>
          </w:p>
        </w:tc>
        <w:tc>
          <w:tcPr>
            <w:tcW w:w="3866" w:type="dxa"/>
            <w:tcMar>
              <w:top w:w="29" w:type="dxa"/>
              <w:left w:w="115" w:type="dxa"/>
              <w:bottom w:w="29" w:type="dxa"/>
              <w:right w:w="115" w:type="dxa"/>
            </w:tcMar>
          </w:tcPr>
          <w:p w14:paraId="3068CABB" w14:textId="651B6208" w:rsidR="00160BD1" w:rsidRPr="005625CA" w:rsidRDefault="00792B4B" w:rsidP="00BE5C16">
            <w:pPr>
              <w:spacing w:after="0" w:line="240" w:lineRule="auto"/>
              <w:rPr>
                <w:rStyle w:val="Hyperlink"/>
                <w:rFonts w:ascii="Times New Roman" w:hAnsi="Times New Roman"/>
              </w:rPr>
            </w:pPr>
            <w:hyperlink r:id="rId15" w:history="1">
              <w:r w:rsidRPr="00792B4B">
                <w:rPr>
                  <w:rStyle w:val="Hyperlink"/>
                  <w:rFonts w:ascii="Times New Roman" w:hAnsi="Times New Roman"/>
                </w:rPr>
                <w:t>Pradėta teikti EIF inovacijų paskola: „GScan“ įsigis naują įrangą, o „Rollo Robotics“ pradės gaminti robotus</w:t>
              </w:r>
            </w:hyperlink>
          </w:p>
        </w:tc>
        <w:tc>
          <w:tcPr>
            <w:tcW w:w="562" w:type="dxa"/>
            <w:tcMar>
              <w:top w:w="29" w:type="dxa"/>
              <w:left w:w="115" w:type="dxa"/>
              <w:bottom w:w="29" w:type="dxa"/>
              <w:right w:w="115" w:type="dxa"/>
            </w:tcMar>
          </w:tcPr>
          <w:p w14:paraId="3F362C58" w14:textId="77777777" w:rsidR="00160BD1" w:rsidRPr="00CC5D0C" w:rsidRDefault="00160BD1" w:rsidP="00BE5C16">
            <w:pPr>
              <w:spacing w:after="0" w:line="240" w:lineRule="auto"/>
              <w:rPr>
                <w:rFonts w:ascii="Times New Roman" w:hAnsi="Times New Roman"/>
              </w:rPr>
            </w:pPr>
          </w:p>
        </w:tc>
      </w:tr>
      <w:tr w:rsidR="00AE7B57" w:rsidRPr="00524E4A" w14:paraId="5AF1F1F6" w14:textId="77777777" w:rsidTr="0009314F">
        <w:trPr>
          <w:trHeight w:val="330"/>
        </w:trPr>
        <w:tc>
          <w:tcPr>
            <w:tcW w:w="10096" w:type="dxa"/>
            <w:gridSpan w:val="4"/>
            <w:tcMar>
              <w:top w:w="29" w:type="dxa"/>
              <w:left w:w="115" w:type="dxa"/>
              <w:bottom w:w="29" w:type="dxa"/>
              <w:right w:w="115" w:type="dxa"/>
            </w:tcMar>
          </w:tcPr>
          <w:p w14:paraId="49B25EF6" w14:textId="45BB2B81" w:rsidR="00AE7B57" w:rsidRPr="00CC5D0C" w:rsidRDefault="00AE7B57" w:rsidP="00AE7B57">
            <w:pPr>
              <w:spacing w:after="0" w:line="240" w:lineRule="auto"/>
              <w:rPr>
                <w:rFonts w:ascii="Times New Roman" w:hAnsi="Times New Roman"/>
                <w:b/>
              </w:rPr>
            </w:pPr>
            <w:r w:rsidRPr="00CC5D0C">
              <w:rPr>
                <w:rFonts w:ascii="Times New Roman" w:hAnsi="Times New Roman"/>
                <w:b/>
              </w:rPr>
              <w:t>Lietuvos ekonomini</w:t>
            </w:r>
            <w:r>
              <w:rPr>
                <w:rFonts w:ascii="Times New Roman" w:hAnsi="Times New Roman"/>
                <w:b/>
              </w:rPr>
              <w:t>am saugumui aktuali informacija</w:t>
            </w:r>
          </w:p>
        </w:tc>
      </w:tr>
      <w:tr w:rsidR="00AE7B57" w:rsidRPr="00524E4A" w14:paraId="4FD17538" w14:textId="77777777" w:rsidTr="0009314F">
        <w:trPr>
          <w:trHeight w:val="216"/>
        </w:trPr>
        <w:tc>
          <w:tcPr>
            <w:tcW w:w="839" w:type="dxa"/>
            <w:tcMar>
              <w:top w:w="29" w:type="dxa"/>
              <w:left w:w="115" w:type="dxa"/>
              <w:bottom w:w="29" w:type="dxa"/>
              <w:right w:w="115" w:type="dxa"/>
            </w:tcMar>
          </w:tcPr>
          <w:p w14:paraId="5AF5F2CB" w14:textId="0A31BE11" w:rsidR="00AE7B57" w:rsidRDefault="00584223" w:rsidP="00AE7B57">
            <w:pPr>
              <w:spacing w:after="0" w:line="240" w:lineRule="auto"/>
              <w:rPr>
                <w:rFonts w:ascii="Times New Roman" w:hAnsi="Times New Roman"/>
                <w:b/>
                <w:bCs/>
              </w:rPr>
            </w:pPr>
            <w:r>
              <w:rPr>
                <w:rFonts w:ascii="Times New Roman" w:hAnsi="Times New Roman"/>
                <w:b/>
                <w:bCs/>
              </w:rPr>
              <w:t>07-06</w:t>
            </w:r>
          </w:p>
        </w:tc>
        <w:tc>
          <w:tcPr>
            <w:tcW w:w="4829" w:type="dxa"/>
            <w:tcMar>
              <w:top w:w="29" w:type="dxa"/>
              <w:left w:w="115" w:type="dxa"/>
              <w:bottom w:w="29" w:type="dxa"/>
              <w:right w:w="115" w:type="dxa"/>
            </w:tcMar>
          </w:tcPr>
          <w:p w14:paraId="2870459E" w14:textId="79E44293" w:rsidR="00AE7B57" w:rsidRPr="00AA69E9" w:rsidRDefault="00584223" w:rsidP="00AE7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 xml:space="preserve">Po 2 metų planavimo, </w:t>
            </w:r>
            <w:r w:rsidRPr="00584223">
              <w:rPr>
                <w:rFonts w:ascii="Times New Roman" w:hAnsi="Times New Roman"/>
              </w:rPr>
              <w:t xml:space="preserve">Estijoje viešai </w:t>
            </w:r>
            <w:r>
              <w:rPr>
                <w:rFonts w:ascii="Times New Roman" w:hAnsi="Times New Roman"/>
              </w:rPr>
              <w:t>pristato</w:t>
            </w:r>
            <w:r w:rsidRPr="00584223">
              <w:rPr>
                <w:rFonts w:ascii="Times New Roman" w:hAnsi="Times New Roman"/>
              </w:rPr>
              <w:t xml:space="preserve">mas ketvirtosios Estijos ir Latvijos elektros jungties planavimo sprendimas – trasos koridorius prasidės Paidėje ir per Sarema salos vidurį pasieks vakarų pakrantę, iš kur jungtis pajūrio kabeliu tęsis Latvijos link. Projekto tikslas – sustiprinti tiekimo saugumą, pagerinti elektros tinklo veikimą bei sudaryti geresnes sąlygas atsinaujinančios energijos naudojimui ir eksportui, tačiau galutinis įgyvendinimo terminas kol kas nežinomas – įmonė „Elering“ jį nukėlė į ateitį, o galutiniai investiciniai sprendimai numatomi 2030–2033 metais. </w:t>
            </w:r>
          </w:p>
        </w:tc>
        <w:tc>
          <w:tcPr>
            <w:tcW w:w="3866" w:type="dxa"/>
            <w:tcMar>
              <w:top w:w="29" w:type="dxa"/>
              <w:left w:w="115" w:type="dxa"/>
              <w:bottom w:w="29" w:type="dxa"/>
              <w:right w:w="115" w:type="dxa"/>
            </w:tcMar>
          </w:tcPr>
          <w:p w14:paraId="762B7924" w14:textId="6357BDC4" w:rsidR="00AE7B57" w:rsidRPr="00584223" w:rsidRDefault="00584223" w:rsidP="00AE7B57">
            <w:pPr>
              <w:spacing w:after="0" w:line="240" w:lineRule="auto"/>
              <w:rPr>
                <w:rStyle w:val="Hyperlink"/>
                <w:rFonts w:ascii="Times New Roman" w:hAnsi="Times New Roman"/>
                <w:color w:val="auto"/>
                <w:u w:val="none"/>
              </w:rPr>
            </w:pPr>
            <w:hyperlink r:id="rId16" w:history="1">
              <w:r w:rsidRPr="00B61A82">
                <w:rPr>
                  <w:rStyle w:val="Hyperlink"/>
                  <w:rFonts w:ascii="Times New Roman" w:hAnsi="Times New Roman"/>
                </w:rPr>
                <w:t>Nustatytas pageidaujamas Estijos ir Latvijos ketvirtojo elektros jungties maršrutas</w:t>
              </w:r>
            </w:hyperlink>
          </w:p>
        </w:tc>
        <w:tc>
          <w:tcPr>
            <w:tcW w:w="562" w:type="dxa"/>
            <w:tcMar>
              <w:top w:w="29" w:type="dxa"/>
              <w:left w:w="115" w:type="dxa"/>
              <w:bottom w:w="29" w:type="dxa"/>
              <w:right w:w="115" w:type="dxa"/>
            </w:tcMar>
          </w:tcPr>
          <w:p w14:paraId="7CD34380" w14:textId="77777777" w:rsidR="00AE7B57" w:rsidRPr="00CC5D0C" w:rsidRDefault="00AE7B57" w:rsidP="00AE7B57">
            <w:pPr>
              <w:spacing w:after="0" w:line="240" w:lineRule="auto"/>
              <w:rPr>
                <w:rFonts w:ascii="Times New Roman" w:hAnsi="Times New Roman"/>
              </w:rPr>
            </w:pPr>
          </w:p>
        </w:tc>
      </w:tr>
      <w:tr w:rsidR="00A120B6" w:rsidRPr="00524E4A" w14:paraId="308E6822" w14:textId="77777777" w:rsidTr="0009314F">
        <w:trPr>
          <w:trHeight w:val="216"/>
        </w:trPr>
        <w:tc>
          <w:tcPr>
            <w:tcW w:w="839" w:type="dxa"/>
            <w:tcMar>
              <w:top w:w="29" w:type="dxa"/>
              <w:left w:w="115" w:type="dxa"/>
              <w:bottom w:w="29" w:type="dxa"/>
              <w:right w:w="115" w:type="dxa"/>
            </w:tcMar>
          </w:tcPr>
          <w:p w14:paraId="7C91AE84" w14:textId="1A2F117F" w:rsidR="00A120B6" w:rsidRDefault="00AF41F4" w:rsidP="00AE7B57">
            <w:pPr>
              <w:spacing w:after="0" w:line="240" w:lineRule="auto"/>
              <w:rPr>
                <w:rFonts w:ascii="Times New Roman" w:hAnsi="Times New Roman"/>
                <w:b/>
                <w:bCs/>
              </w:rPr>
            </w:pPr>
            <w:r>
              <w:rPr>
                <w:rFonts w:ascii="Times New Roman" w:hAnsi="Times New Roman"/>
                <w:b/>
                <w:bCs/>
              </w:rPr>
              <w:t>07-07</w:t>
            </w:r>
          </w:p>
        </w:tc>
        <w:tc>
          <w:tcPr>
            <w:tcW w:w="4829" w:type="dxa"/>
            <w:tcMar>
              <w:top w:w="29" w:type="dxa"/>
              <w:left w:w="115" w:type="dxa"/>
              <w:bottom w:w="29" w:type="dxa"/>
              <w:right w:w="115" w:type="dxa"/>
            </w:tcMar>
          </w:tcPr>
          <w:p w14:paraId="7BE0E8A6" w14:textId="18A63B4E" w:rsidR="00A120B6" w:rsidRPr="00AA69E9" w:rsidRDefault="00AF41F4" w:rsidP="00AE7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B61A82">
              <w:rPr>
                <w:rFonts w:ascii="Times New Roman" w:hAnsi="Times New Roman"/>
              </w:rPr>
              <w:t>Raasiku savivaldybės Aruküloje buvo atidarytas akumuliatorių parkas „Hertz 2“, kurio galia siekia 100 megavatų, o talpa – 200 megavatvalandžių.</w:t>
            </w:r>
          </w:p>
        </w:tc>
        <w:tc>
          <w:tcPr>
            <w:tcW w:w="3866" w:type="dxa"/>
            <w:tcMar>
              <w:top w:w="29" w:type="dxa"/>
              <w:left w:w="115" w:type="dxa"/>
              <w:bottom w:w="29" w:type="dxa"/>
              <w:right w:w="115" w:type="dxa"/>
            </w:tcMar>
          </w:tcPr>
          <w:p w14:paraId="7E4A1B51" w14:textId="34FC9974" w:rsidR="00A120B6" w:rsidRPr="006B4A5D" w:rsidRDefault="00AF41F4" w:rsidP="00AE7B57">
            <w:pPr>
              <w:spacing w:after="0" w:line="240" w:lineRule="auto"/>
              <w:rPr>
                <w:rStyle w:val="Hyperlink"/>
                <w:rFonts w:ascii="Times New Roman" w:hAnsi="Times New Roman"/>
              </w:rPr>
            </w:pPr>
            <w:hyperlink r:id="rId17" w:history="1">
              <w:r w:rsidRPr="00B61A82">
                <w:rPr>
                  <w:rStyle w:val="Hyperlink"/>
                  <w:rFonts w:ascii="Times New Roman" w:hAnsi="Times New Roman"/>
                </w:rPr>
                <w:t>Aruküloje pradėjo veikti 100 megavatų baterijų parkas</w:t>
              </w:r>
            </w:hyperlink>
          </w:p>
        </w:tc>
        <w:tc>
          <w:tcPr>
            <w:tcW w:w="562" w:type="dxa"/>
            <w:tcMar>
              <w:top w:w="29" w:type="dxa"/>
              <w:left w:w="115" w:type="dxa"/>
              <w:bottom w:w="29" w:type="dxa"/>
              <w:right w:w="115" w:type="dxa"/>
            </w:tcMar>
          </w:tcPr>
          <w:p w14:paraId="7C06EBBB" w14:textId="77777777" w:rsidR="00A120B6" w:rsidRPr="00CC5D0C" w:rsidRDefault="00A120B6" w:rsidP="00AE7B57">
            <w:pPr>
              <w:spacing w:after="0" w:line="240" w:lineRule="auto"/>
              <w:rPr>
                <w:rFonts w:ascii="Times New Roman" w:hAnsi="Times New Roman"/>
              </w:rPr>
            </w:pPr>
          </w:p>
        </w:tc>
      </w:tr>
      <w:tr w:rsidR="00A120B6" w:rsidRPr="00524E4A" w14:paraId="75743425" w14:textId="77777777" w:rsidTr="0009314F">
        <w:trPr>
          <w:trHeight w:val="216"/>
        </w:trPr>
        <w:tc>
          <w:tcPr>
            <w:tcW w:w="839" w:type="dxa"/>
            <w:tcMar>
              <w:top w:w="29" w:type="dxa"/>
              <w:left w:w="115" w:type="dxa"/>
              <w:bottom w:w="29" w:type="dxa"/>
              <w:right w:w="115" w:type="dxa"/>
            </w:tcMar>
          </w:tcPr>
          <w:p w14:paraId="715467AA" w14:textId="183EE681" w:rsidR="00A120B6" w:rsidRDefault="00F563B0" w:rsidP="00AE7B57">
            <w:pPr>
              <w:spacing w:after="0" w:line="240" w:lineRule="auto"/>
              <w:rPr>
                <w:rFonts w:ascii="Times New Roman" w:hAnsi="Times New Roman"/>
                <w:b/>
                <w:bCs/>
              </w:rPr>
            </w:pPr>
            <w:r>
              <w:rPr>
                <w:rFonts w:ascii="Times New Roman" w:hAnsi="Times New Roman"/>
                <w:b/>
                <w:bCs/>
              </w:rPr>
              <w:t>07-09</w:t>
            </w:r>
          </w:p>
        </w:tc>
        <w:tc>
          <w:tcPr>
            <w:tcW w:w="4829" w:type="dxa"/>
            <w:tcMar>
              <w:top w:w="29" w:type="dxa"/>
              <w:left w:w="115" w:type="dxa"/>
              <w:bottom w:w="29" w:type="dxa"/>
              <w:right w:w="115" w:type="dxa"/>
            </w:tcMar>
          </w:tcPr>
          <w:p w14:paraId="4E19E961" w14:textId="703A16A0" w:rsidR="00A120B6" w:rsidRPr="00AA69E9" w:rsidRDefault="00F563B0" w:rsidP="00D97AAF">
            <w:pPr>
              <w:spacing w:after="0" w:line="240" w:lineRule="auto"/>
              <w:rPr>
                <w:rFonts w:ascii="Times New Roman" w:hAnsi="Times New Roman"/>
              </w:rPr>
            </w:pPr>
            <w:r w:rsidRPr="00B61A82">
              <w:rPr>
                <w:rFonts w:ascii="Times New Roman" w:hAnsi="Times New Roman"/>
              </w:rPr>
              <w:t>Per savininkus su energetikos įmonių grupe „Evecon“ susijusi uždaroji akcinė bendrovė „Sakala Energia“ pateikė Viljandi savivaldybei paraišką savivaldybės teritorijoje pastatyti dujų elektrinę, kurios vardinė galia siektų iki 200 megavatų (MW).</w:t>
            </w:r>
          </w:p>
        </w:tc>
        <w:tc>
          <w:tcPr>
            <w:tcW w:w="3866" w:type="dxa"/>
            <w:tcMar>
              <w:top w:w="29" w:type="dxa"/>
              <w:left w:w="115" w:type="dxa"/>
              <w:bottom w:w="29" w:type="dxa"/>
              <w:right w:w="115" w:type="dxa"/>
            </w:tcMar>
          </w:tcPr>
          <w:p w14:paraId="709EB394" w14:textId="77777777" w:rsidR="00F563B0" w:rsidRPr="00B61A82" w:rsidRDefault="00F563B0" w:rsidP="00F563B0">
            <w:pPr>
              <w:spacing w:after="0" w:line="240" w:lineRule="auto"/>
              <w:rPr>
                <w:rFonts w:ascii="Times New Roman" w:hAnsi="Times New Roman"/>
              </w:rPr>
            </w:pPr>
            <w:hyperlink r:id="rId18" w:history="1">
              <w:r w:rsidRPr="00B61A82">
                <w:rPr>
                  <w:rStyle w:val="Hyperlink"/>
                  <w:rFonts w:ascii="Times New Roman" w:hAnsi="Times New Roman"/>
                </w:rPr>
                <w:t>Su „Evecon“ susijusi įmonė nori Viljandi apskrityje pastatyti 200 MW dujų jėgainę</w:t>
              </w:r>
            </w:hyperlink>
          </w:p>
          <w:p w14:paraId="531B1B8F" w14:textId="77777777" w:rsidR="00A120B6" w:rsidRPr="006B4A5D" w:rsidRDefault="00A120B6" w:rsidP="00AE7B57">
            <w:pPr>
              <w:spacing w:after="0" w:line="240" w:lineRule="auto"/>
              <w:rPr>
                <w:rStyle w:val="Hyperlink"/>
                <w:rFonts w:ascii="Times New Roman" w:hAnsi="Times New Roman"/>
              </w:rPr>
            </w:pPr>
          </w:p>
        </w:tc>
        <w:tc>
          <w:tcPr>
            <w:tcW w:w="562" w:type="dxa"/>
            <w:tcMar>
              <w:top w:w="29" w:type="dxa"/>
              <w:left w:w="115" w:type="dxa"/>
              <w:bottom w:w="29" w:type="dxa"/>
              <w:right w:w="115" w:type="dxa"/>
            </w:tcMar>
          </w:tcPr>
          <w:p w14:paraId="51FD1750" w14:textId="77777777" w:rsidR="00A120B6" w:rsidRPr="00CC5D0C" w:rsidRDefault="00A120B6" w:rsidP="00AE7B57">
            <w:pPr>
              <w:spacing w:after="0" w:line="240" w:lineRule="auto"/>
              <w:rPr>
                <w:rFonts w:ascii="Times New Roman" w:hAnsi="Times New Roman"/>
              </w:rPr>
            </w:pPr>
          </w:p>
        </w:tc>
      </w:tr>
      <w:tr w:rsidR="003E4090" w:rsidRPr="00524E4A" w14:paraId="6249BE7A" w14:textId="77777777" w:rsidTr="0009314F">
        <w:trPr>
          <w:trHeight w:val="216"/>
        </w:trPr>
        <w:tc>
          <w:tcPr>
            <w:tcW w:w="839" w:type="dxa"/>
            <w:tcMar>
              <w:top w:w="29" w:type="dxa"/>
              <w:left w:w="115" w:type="dxa"/>
              <w:bottom w:w="29" w:type="dxa"/>
              <w:right w:w="115" w:type="dxa"/>
            </w:tcMar>
          </w:tcPr>
          <w:p w14:paraId="79DA7F69" w14:textId="5FF76F8D" w:rsidR="003E4090" w:rsidRDefault="003E4090" w:rsidP="00AE7B57">
            <w:pPr>
              <w:spacing w:after="0" w:line="240" w:lineRule="auto"/>
              <w:rPr>
                <w:rFonts w:ascii="Times New Roman" w:hAnsi="Times New Roman"/>
                <w:b/>
                <w:bCs/>
              </w:rPr>
            </w:pPr>
            <w:r>
              <w:rPr>
                <w:rFonts w:ascii="Times New Roman" w:hAnsi="Times New Roman"/>
                <w:b/>
                <w:bCs/>
              </w:rPr>
              <w:t>07-23</w:t>
            </w:r>
          </w:p>
        </w:tc>
        <w:tc>
          <w:tcPr>
            <w:tcW w:w="4829" w:type="dxa"/>
            <w:tcMar>
              <w:top w:w="29" w:type="dxa"/>
              <w:left w:w="115" w:type="dxa"/>
              <w:bottom w:w="29" w:type="dxa"/>
              <w:right w:w="115" w:type="dxa"/>
            </w:tcMar>
          </w:tcPr>
          <w:p w14:paraId="4E56E484" w14:textId="5A924D79" w:rsidR="003E4090" w:rsidRPr="00B61A82" w:rsidRDefault="003E4090" w:rsidP="00F563B0">
            <w:pPr>
              <w:spacing w:after="0" w:line="240" w:lineRule="auto"/>
              <w:rPr>
                <w:rFonts w:ascii="Times New Roman" w:hAnsi="Times New Roman"/>
              </w:rPr>
            </w:pPr>
            <w:r w:rsidRPr="003E4090">
              <w:rPr>
                <w:rFonts w:ascii="Times New Roman" w:hAnsi="Times New Roman"/>
              </w:rPr>
              <w:t xml:space="preserve">Vengrijos kilmės bankas OTP pasirašė sutartį įsigyti trečią pagal dydį Estijos banką „Luminor“ iš JAV fondo „Blackstone“ ir „DNB Bank“; OTP grupė aptarnauja 17,5 mln. klientų 11 šalių, o jos turtas viršija 130 mlrd. eurų. Sandoris kelia klausimų, nes OTP toliau plečia veiklą </w:t>
            </w:r>
            <w:r w:rsidR="00D97AAF">
              <w:rPr>
                <w:rFonts w:ascii="Times New Roman" w:hAnsi="Times New Roman"/>
              </w:rPr>
              <w:t>r</w:t>
            </w:r>
            <w:r w:rsidRPr="003E4090">
              <w:rPr>
                <w:rFonts w:ascii="Times New Roman" w:hAnsi="Times New Roman"/>
              </w:rPr>
              <w:t xml:space="preserve">usijoje – pernai jos turtas ir bruto paskolos ten išaugo atitinkamai 40 ir 56 proc., o 2023 m. Ukrainos </w:t>
            </w:r>
            <w:r w:rsidRPr="003E4090">
              <w:rPr>
                <w:rFonts w:ascii="Times New Roman" w:hAnsi="Times New Roman"/>
              </w:rPr>
              <w:lastRenderedPageBreak/>
              <w:t>agentūra buvo įtraukusi banką į karo rėmėjų sąrašą (vėliau pašalintą po Vengrijos spaudimo)</w:t>
            </w:r>
            <w:r>
              <w:rPr>
                <w:rFonts w:ascii="Times New Roman" w:hAnsi="Times New Roman"/>
              </w:rPr>
              <w:t>.</w:t>
            </w:r>
          </w:p>
        </w:tc>
        <w:tc>
          <w:tcPr>
            <w:tcW w:w="3866" w:type="dxa"/>
            <w:tcMar>
              <w:top w:w="29" w:type="dxa"/>
              <w:left w:w="115" w:type="dxa"/>
              <w:bottom w:w="29" w:type="dxa"/>
              <w:right w:w="115" w:type="dxa"/>
            </w:tcMar>
          </w:tcPr>
          <w:p w14:paraId="001B2A87" w14:textId="77777777" w:rsidR="003E4090" w:rsidRPr="0046111D" w:rsidRDefault="003E4090" w:rsidP="003E4090">
            <w:pPr>
              <w:spacing w:after="0" w:line="240" w:lineRule="auto"/>
              <w:rPr>
                <w:rFonts w:ascii="Times New Roman" w:hAnsi="Times New Roman"/>
              </w:rPr>
            </w:pPr>
            <w:hyperlink r:id="rId19" w:history="1">
              <w:r w:rsidRPr="0046111D">
                <w:rPr>
                  <w:rStyle w:val="Hyperlink"/>
                  <w:rFonts w:ascii="Times New Roman" w:hAnsi="Times New Roman"/>
                </w:rPr>
                <w:t>Vengrijos OTP bankas perka „Luminor“</w:t>
              </w:r>
            </w:hyperlink>
          </w:p>
          <w:p w14:paraId="76898214" w14:textId="77777777" w:rsidR="003E4090" w:rsidRDefault="003E4090" w:rsidP="00F563B0">
            <w:pPr>
              <w:spacing w:after="0" w:line="240" w:lineRule="auto"/>
            </w:pPr>
          </w:p>
        </w:tc>
        <w:tc>
          <w:tcPr>
            <w:tcW w:w="562" w:type="dxa"/>
            <w:tcMar>
              <w:top w:w="29" w:type="dxa"/>
              <w:left w:w="115" w:type="dxa"/>
              <w:bottom w:w="29" w:type="dxa"/>
              <w:right w:w="115" w:type="dxa"/>
            </w:tcMar>
          </w:tcPr>
          <w:p w14:paraId="14502936" w14:textId="77777777" w:rsidR="003E4090" w:rsidRPr="00CC5D0C" w:rsidRDefault="003E4090" w:rsidP="00AE7B57">
            <w:pPr>
              <w:spacing w:after="0" w:line="240" w:lineRule="auto"/>
              <w:rPr>
                <w:rFonts w:ascii="Times New Roman" w:hAnsi="Times New Roman"/>
              </w:rPr>
            </w:pPr>
          </w:p>
        </w:tc>
      </w:tr>
      <w:tr w:rsidR="00026B14" w:rsidRPr="00524E4A" w14:paraId="0DB2BD2F" w14:textId="77777777" w:rsidTr="0009314F">
        <w:trPr>
          <w:trHeight w:val="216"/>
        </w:trPr>
        <w:tc>
          <w:tcPr>
            <w:tcW w:w="839" w:type="dxa"/>
            <w:tcMar>
              <w:top w:w="29" w:type="dxa"/>
              <w:left w:w="115" w:type="dxa"/>
              <w:bottom w:w="29" w:type="dxa"/>
              <w:right w:w="115" w:type="dxa"/>
            </w:tcMar>
          </w:tcPr>
          <w:p w14:paraId="7AAF5ABC" w14:textId="21105973" w:rsidR="00026B14" w:rsidRDefault="00026B14" w:rsidP="00AE7B57">
            <w:pPr>
              <w:spacing w:after="0" w:line="240" w:lineRule="auto"/>
              <w:rPr>
                <w:rFonts w:ascii="Times New Roman" w:hAnsi="Times New Roman"/>
                <w:b/>
                <w:bCs/>
              </w:rPr>
            </w:pPr>
            <w:r>
              <w:rPr>
                <w:rFonts w:ascii="Times New Roman" w:hAnsi="Times New Roman"/>
                <w:b/>
                <w:bCs/>
              </w:rPr>
              <w:t>07-23</w:t>
            </w:r>
          </w:p>
        </w:tc>
        <w:tc>
          <w:tcPr>
            <w:tcW w:w="4829" w:type="dxa"/>
            <w:tcMar>
              <w:top w:w="29" w:type="dxa"/>
              <w:left w:w="115" w:type="dxa"/>
              <w:bottom w:w="29" w:type="dxa"/>
              <w:right w:w="115" w:type="dxa"/>
            </w:tcMar>
          </w:tcPr>
          <w:p w14:paraId="3438DE33" w14:textId="20801221" w:rsidR="00026B14" w:rsidRPr="00B61A82" w:rsidRDefault="00026B14" w:rsidP="00F563B0">
            <w:pPr>
              <w:spacing w:after="0" w:line="240" w:lineRule="auto"/>
              <w:rPr>
                <w:rFonts w:ascii="Times New Roman" w:hAnsi="Times New Roman"/>
              </w:rPr>
            </w:pPr>
            <w:r w:rsidRPr="00026B14">
              <w:rPr>
                <w:rFonts w:ascii="Times New Roman" w:hAnsi="Times New Roman"/>
              </w:rPr>
              <w:t>Rygoje pasirašytas Baltijos šalių susitarimas leis dalytis esamu kritiniu elektros sistemos atsargų įranga ir sukurs bendradarbiavimo pagrindą, įskaitant galimybę ateityje sukurti bendrą regioninį rezervą. Energetikos ir aplinkos ministras Andres Sutt pažymėjo, kad toks bendras krizių valdymo mechanizmas padės greičiau atkurti elektros sistemą po didelių sutrikimų, o „Elering“ artimiau bendradarbiaus su Latvijos ir Lietuvos perdavimo sistemos operatoriais.</w:t>
            </w:r>
          </w:p>
        </w:tc>
        <w:tc>
          <w:tcPr>
            <w:tcW w:w="3866" w:type="dxa"/>
            <w:tcMar>
              <w:top w:w="29" w:type="dxa"/>
              <w:left w:w="115" w:type="dxa"/>
              <w:bottom w:w="29" w:type="dxa"/>
              <w:right w:w="115" w:type="dxa"/>
            </w:tcMar>
          </w:tcPr>
          <w:p w14:paraId="04B126C5" w14:textId="0D014C28" w:rsidR="00026B14" w:rsidRPr="00026B14" w:rsidRDefault="00026B14" w:rsidP="00F563B0">
            <w:pPr>
              <w:spacing w:after="0" w:line="240" w:lineRule="auto"/>
              <w:rPr>
                <w:rFonts w:ascii="Times New Roman" w:hAnsi="Times New Roman"/>
              </w:rPr>
            </w:pPr>
            <w:hyperlink r:id="rId20" w:history="1">
              <w:r w:rsidRPr="00026B14">
                <w:rPr>
                  <w:rStyle w:val="Hyperlink"/>
                  <w:rFonts w:ascii="Times New Roman" w:hAnsi="Times New Roman"/>
                </w:rPr>
                <w:t>Baltijos šalys stiprins bendras energetikos atsargas ir dalysis avarinės įrangos ištekliais</w:t>
              </w:r>
            </w:hyperlink>
          </w:p>
        </w:tc>
        <w:tc>
          <w:tcPr>
            <w:tcW w:w="562" w:type="dxa"/>
            <w:tcMar>
              <w:top w:w="29" w:type="dxa"/>
              <w:left w:w="115" w:type="dxa"/>
              <w:bottom w:w="29" w:type="dxa"/>
              <w:right w:w="115" w:type="dxa"/>
            </w:tcMar>
          </w:tcPr>
          <w:p w14:paraId="1B28F7AF" w14:textId="77777777" w:rsidR="00026B14" w:rsidRPr="00CC5D0C" w:rsidRDefault="00026B14" w:rsidP="00AE7B57">
            <w:pPr>
              <w:spacing w:after="0" w:line="240" w:lineRule="auto"/>
              <w:rPr>
                <w:rFonts w:ascii="Times New Roman" w:hAnsi="Times New Roman"/>
              </w:rPr>
            </w:pPr>
          </w:p>
        </w:tc>
      </w:tr>
      <w:tr w:rsidR="00AA749B" w:rsidRPr="00524E4A" w14:paraId="4E453F1F" w14:textId="77777777" w:rsidTr="0009314F">
        <w:trPr>
          <w:trHeight w:val="216"/>
        </w:trPr>
        <w:tc>
          <w:tcPr>
            <w:tcW w:w="839" w:type="dxa"/>
            <w:tcMar>
              <w:top w:w="29" w:type="dxa"/>
              <w:left w:w="115" w:type="dxa"/>
              <w:bottom w:w="29" w:type="dxa"/>
              <w:right w:w="115" w:type="dxa"/>
            </w:tcMar>
          </w:tcPr>
          <w:p w14:paraId="4CBD1F81" w14:textId="0A9A7351" w:rsidR="00AA749B" w:rsidRDefault="00AA749B" w:rsidP="00AE7B57">
            <w:pPr>
              <w:spacing w:after="0" w:line="240" w:lineRule="auto"/>
              <w:rPr>
                <w:rFonts w:ascii="Times New Roman" w:hAnsi="Times New Roman"/>
                <w:b/>
                <w:bCs/>
              </w:rPr>
            </w:pPr>
            <w:r>
              <w:rPr>
                <w:rFonts w:ascii="Times New Roman" w:hAnsi="Times New Roman"/>
                <w:b/>
                <w:bCs/>
              </w:rPr>
              <w:t>07-27</w:t>
            </w:r>
          </w:p>
        </w:tc>
        <w:tc>
          <w:tcPr>
            <w:tcW w:w="4829" w:type="dxa"/>
            <w:tcMar>
              <w:top w:w="29" w:type="dxa"/>
              <w:left w:w="115" w:type="dxa"/>
              <w:bottom w:w="29" w:type="dxa"/>
              <w:right w:w="115" w:type="dxa"/>
            </w:tcMar>
          </w:tcPr>
          <w:p w14:paraId="0E6E8783" w14:textId="1BB50444" w:rsidR="00AA749B" w:rsidRPr="00B61A82" w:rsidRDefault="00AA749B" w:rsidP="00F563B0">
            <w:pPr>
              <w:spacing w:after="0" w:line="240" w:lineRule="auto"/>
              <w:rPr>
                <w:rFonts w:ascii="Times New Roman" w:hAnsi="Times New Roman"/>
              </w:rPr>
            </w:pPr>
            <w:r w:rsidRPr="00AA749B">
              <w:rPr>
                <w:rFonts w:ascii="Times New Roman" w:hAnsi="Times New Roman"/>
              </w:rPr>
              <w:t>Dėl Irano konflikto pasaulio naftos atsargos smuko iki žemiausio lygio nuo 1990 m., tačiau Estijai šalčio grėsmės žiemą nekyla – valstybės rezervų agentūros atsargų šiuo metu užtenka 56 dienoms benzino, 90 dienų dyzelino ir 77 dienoms žibalo</w:t>
            </w:r>
            <w:r>
              <w:rPr>
                <w:rFonts w:ascii="Times New Roman" w:hAnsi="Times New Roman"/>
              </w:rPr>
              <w:t>.</w:t>
            </w:r>
            <w:r w:rsidRPr="00AA749B">
              <w:rPr>
                <w:rFonts w:ascii="Times New Roman" w:hAnsi="Times New Roman"/>
              </w:rPr>
              <w:t xml:space="preserve"> Estijos turimos dujos Latvijos Inčukalno saugykloje siekia 11 TWh ir iki rudens gali išaugti iki 12–15 TWh – tai gana geras rodiklis, palyginti su regiono suvartojimu, nors bendras Europos saugyklų užpildymas (55 proc.) yra žemesnis nei įprastai.</w:t>
            </w:r>
          </w:p>
        </w:tc>
        <w:tc>
          <w:tcPr>
            <w:tcW w:w="3866" w:type="dxa"/>
            <w:tcMar>
              <w:top w:w="29" w:type="dxa"/>
              <w:left w:w="115" w:type="dxa"/>
              <w:bottom w:w="29" w:type="dxa"/>
              <w:right w:w="115" w:type="dxa"/>
            </w:tcMar>
          </w:tcPr>
          <w:p w14:paraId="58158319" w14:textId="77777777" w:rsidR="00AA749B" w:rsidRPr="00303493" w:rsidRDefault="00AA749B" w:rsidP="00AA749B">
            <w:pPr>
              <w:spacing w:after="0" w:line="240" w:lineRule="auto"/>
              <w:rPr>
                <w:rFonts w:ascii="Times New Roman" w:hAnsi="Times New Roman"/>
              </w:rPr>
            </w:pPr>
            <w:hyperlink r:id="rId21" w:history="1">
              <w:r w:rsidRPr="00303493">
                <w:rPr>
                  <w:rStyle w:val="Hyperlink"/>
                  <w:rFonts w:ascii="Times New Roman" w:hAnsi="Times New Roman"/>
                </w:rPr>
                <w:t>Ekspertai Estijai nenumato naftos ir gamtinių dujų krizės</w:t>
              </w:r>
            </w:hyperlink>
          </w:p>
          <w:p w14:paraId="4151526E" w14:textId="77777777" w:rsidR="00AA749B" w:rsidRDefault="00AA749B" w:rsidP="00F563B0">
            <w:pPr>
              <w:spacing w:after="0" w:line="240" w:lineRule="auto"/>
            </w:pPr>
          </w:p>
        </w:tc>
        <w:tc>
          <w:tcPr>
            <w:tcW w:w="562" w:type="dxa"/>
            <w:tcMar>
              <w:top w:w="29" w:type="dxa"/>
              <w:left w:w="115" w:type="dxa"/>
              <w:bottom w:w="29" w:type="dxa"/>
              <w:right w:w="115" w:type="dxa"/>
            </w:tcMar>
          </w:tcPr>
          <w:p w14:paraId="67D41562" w14:textId="77777777" w:rsidR="00AA749B" w:rsidRPr="00CC5D0C" w:rsidRDefault="00AA749B" w:rsidP="00AE7B57">
            <w:pPr>
              <w:spacing w:after="0" w:line="240" w:lineRule="auto"/>
              <w:rPr>
                <w:rFonts w:ascii="Times New Roman" w:hAnsi="Times New Roman"/>
              </w:rPr>
            </w:pPr>
          </w:p>
        </w:tc>
      </w:tr>
      <w:tr w:rsidR="00AE7B57" w:rsidRPr="00524E4A" w14:paraId="29FECD25" w14:textId="77777777" w:rsidTr="0009314F">
        <w:trPr>
          <w:trHeight w:val="234"/>
        </w:trPr>
        <w:tc>
          <w:tcPr>
            <w:tcW w:w="10096" w:type="dxa"/>
            <w:gridSpan w:val="4"/>
            <w:tcMar>
              <w:top w:w="29" w:type="dxa"/>
              <w:left w:w="115" w:type="dxa"/>
              <w:bottom w:w="29" w:type="dxa"/>
              <w:right w:w="115" w:type="dxa"/>
            </w:tcMar>
          </w:tcPr>
          <w:p w14:paraId="3A715CB8" w14:textId="0C49587F" w:rsidR="00AE7B57" w:rsidRPr="00CC5D0C" w:rsidRDefault="00AE7B57" w:rsidP="00AE7B57">
            <w:pPr>
              <w:spacing w:after="0" w:line="240" w:lineRule="auto"/>
              <w:rPr>
                <w:rFonts w:ascii="Times New Roman" w:hAnsi="Times New Roman"/>
                <w:b/>
              </w:rPr>
            </w:pPr>
            <w:r w:rsidRPr="00CC5D0C">
              <w:rPr>
                <w:rFonts w:ascii="Times New Roman" w:hAnsi="Times New Roman"/>
                <w:b/>
              </w:rPr>
              <w:t xml:space="preserve">Bendra </w:t>
            </w:r>
            <w:r w:rsidRPr="00831660">
              <w:rPr>
                <w:rFonts w:ascii="Times New Roman" w:hAnsi="Times New Roman"/>
                <w:b/>
              </w:rPr>
              <w:t>akreditacijos valstyb</w:t>
            </w:r>
            <w:r>
              <w:rPr>
                <w:rFonts w:ascii="Times New Roman" w:hAnsi="Times New Roman"/>
                <w:b/>
              </w:rPr>
              <w:t>ės</w:t>
            </w:r>
            <w:r w:rsidRPr="00831660">
              <w:rPr>
                <w:rFonts w:ascii="Times New Roman" w:hAnsi="Times New Roman"/>
                <w:b/>
              </w:rPr>
              <w:t xml:space="preserve"> </w:t>
            </w:r>
            <w:r w:rsidRPr="00CC5D0C">
              <w:rPr>
                <w:rFonts w:ascii="Times New Roman" w:hAnsi="Times New Roman"/>
                <w:b/>
              </w:rPr>
              <w:t xml:space="preserve">ekonominė informacija </w:t>
            </w:r>
          </w:p>
        </w:tc>
      </w:tr>
      <w:tr w:rsidR="008418B9" w:rsidRPr="00524E4A" w14:paraId="70FF1B9F" w14:textId="77777777" w:rsidTr="0009314F">
        <w:trPr>
          <w:trHeight w:val="216"/>
        </w:trPr>
        <w:tc>
          <w:tcPr>
            <w:tcW w:w="839" w:type="dxa"/>
            <w:tcMar>
              <w:top w:w="29" w:type="dxa"/>
              <w:left w:w="115" w:type="dxa"/>
              <w:bottom w:w="29" w:type="dxa"/>
              <w:right w:w="115" w:type="dxa"/>
            </w:tcMar>
          </w:tcPr>
          <w:p w14:paraId="0E4460D0" w14:textId="7849307D" w:rsidR="008418B9" w:rsidRDefault="00EE0573" w:rsidP="00F10BB0">
            <w:pPr>
              <w:spacing w:after="0" w:line="240" w:lineRule="auto"/>
              <w:rPr>
                <w:rFonts w:ascii="Times New Roman" w:hAnsi="Times New Roman"/>
                <w:b/>
                <w:bCs/>
              </w:rPr>
            </w:pPr>
            <w:r>
              <w:rPr>
                <w:rFonts w:ascii="Times New Roman" w:hAnsi="Times New Roman"/>
                <w:b/>
                <w:bCs/>
              </w:rPr>
              <w:t>07-0</w:t>
            </w:r>
            <w:r w:rsidR="007F7DFF">
              <w:rPr>
                <w:rFonts w:ascii="Times New Roman" w:hAnsi="Times New Roman"/>
                <w:b/>
                <w:bCs/>
              </w:rPr>
              <w:t>7</w:t>
            </w:r>
          </w:p>
        </w:tc>
        <w:tc>
          <w:tcPr>
            <w:tcW w:w="4829" w:type="dxa"/>
            <w:tcMar>
              <w:top w:w="29" w:type="dxa"/>
              <w:left w:w="115" w:type="dxa"/>
              <w:bottom w:w="29" w:type="dxa"/>
              <w:right w:w="115" w:type="dxa"/>
            </w:tcMar>
          </w:tcPr>
          <w:p w14:paraId="7042C6D4" w14:textId="189CF7F4" w:rsidR="008418B9" w:rsidRPr="00A338D5" w:rsidRDefault="00AF41F4" w:rsidP="00F1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et-EE"/>
              </w:rPr>
            </w:pPr>
            <w:r w:rsidRPr="00AF41F4">
              <w:rPr>
                <w:rFonts w:ascii="Times New Roman" w:hAnsi="Times New Roman"/>
              </w:rPr>
              <w:t>Birželį vartotojų kainų indeksas Estijoje sumažėjo 0,5 proc., palyginti su geguže, tačiau per metus padidėjo 2,3 proc. – tai mažiausias metinis augimas nuo 2021 m. balandžio</w:t>
            </w:r>
            <w:r>
              <w:rPr>
                <w:rFonts w:ascii="Times New Roman" w:hAnsi="Times New Roman"/>
              </w:rPr>
              <w:t>.</w:t>
            </w:r>
            <w:r w:rsidRPr="00AF41F4">
              <w:rPr>
                <w:rFonts w:ascii="Times New Roman" w:hAnsi="Times New Roman"/>
              </w:rPr>
              <w:t xml:space="preserve"> Metinį augimą labiausiai lėmė 7,6 proc. brangesnės būsto išlaidos</w:t>
            </w:r>
            <w:r>
              <w:rPr>
                <w:rFonts w:ascii="Times New Roman" w:hAnsi="Times New Roman"/>
              </w:rPr>
              <w:t xml:space="preserve"> </w:t>
            </w:r>
            <w:r w:rsidRPr="00AF41F4">
              <w:rPr>
                <w:rFonts w:ascii="Times New Roman" w:hAnsi="Times New Roman"/>
              </w:rPr>
              <w:t>bei 7,5 proc. brangesnis transportas</w:t>
            </w:r>
            <w:r>
              <w:rPr>
                <w:rFonts w:ascii="Times New Roman" w:hAnsi="Times New Roman"/>
              </w:rPr>
              <w:t xml:space="preserve">, </w:t>
            </w:r>
            <w:r w:rsidRPr="00AF41F4">
              <w:rPr>
                <w:rFonts w:ascii="Times New Roman" w:hAnsi="Times New Roman"/>
              </w:rPr>
              <w:t>o alkoholiniai gėrimai ir tabakas pabrango 8,9 proc. daugiausia dėl akcizų didinimo.</w:t>
            </w:r>
          </w:p>
        </w:tc>
        <w:tc>
          <w:tcPr>
            <w:tcW w:w="3866" w:type="dxa"/>
            <w:tcMar>
              <w:top w:w="29" w:type="dxa"/>
              <w:left w:w="115" w:type="dxa"/>
              <w:bottom w:w="29" w:type="dxa"/>
              <w:right w:w="115" w:type="dxa"/>
            </w:tcMar>
          </w:tcPr>
          <w:p w14:paraId="4CD2A6DB" w14:textId="422CD8C4" w:rsidR="008418B9" w:rsidRPr="00A338D5" w:rsidRDefault="007F7DFF" w:rsidP="00F10BB0">
            <w:pPr>
              <w:spacing w:after="0" w:line="240" w:lineRule="auto"/>
              <w:rPr>
                <w:rStyle w:val="Hyperlink"/>
                <w:rFonts w:ascii="Times New Roman" w:hAnsi="Times New Roman"/>
                <w:b/>
                <w:bCs/>
                <w:color w:val="auto"/>
                <w:u w:val="none"/>
              </w:rPr>
            </w:pPr>
            <w:hyperlink r:id="rId22" w:history="1">
              <w:r w:rsidRPr="00B61A82">
                <w:rPr>
                  <w:rStyle w:val="Hyperlink"/>
                  <w:rFonts w:ascii="Times New Roman" w:hAnsi="Times New Roman"/>
                </w:rPr>
                <w:t>Birželį vartotojų kainų indeksas pakilo 2,3 procento</w:t>
              </w:r>
            </w:hyperlink>
          </w:p>
        </w:tc>
        <w:tc>
          <w:tcPr>
            <w:tcW w:w="562" w:type="dxa"/>
            <w:tcMar>
              <w:top w:w="29" w:type="dxa"/>
              <w:left w:w="115" w:type="dxa"/>
              <w:bottom w:w="29" w:type="dxa"/>
              <w:right w:w="115" w:type="dxa"/>
            </w:tcMar>
          </w:tcPr>
          <w:p w14:paraId="4857F281" w14:textId="77777777" w:rsidR="008418B9" w:rsidRPr="00CC5D0C" w:rsidRDefault="008418B9" w:rsidP="00F10BB0">
            <w:pPr>
              <w:spacing w:after="0" w:line="240" w:lineRule="auto"/>
              <w:rPr>
                <w:rFonts w:ascii="Times New Roman" w:hAnsi="Times New Roman"/>
              </w:rPr>
            </w:pPr>
          </w:p>
        </w:tc>
      </w:tr>
      <w:tr w:rsidR="00A120B6" w:rsidRPr="00524E4A" w14:paraId="2D8C8480" w14:textId="77777777" w:rsidTr="0009314F">
        <w:trPr>
          <w:trHeight w:val="216"/>
        </w:trPr>
        <w:tc>
          <w:tcPr>
            <w:tcW w:w="839" w:type="dxa"/>
            <w:tcMar>
              <w:top w:w="29" w:type="dxa"/>
              <w:left w:w="115" w:type="dxa"/>
              <w:bottom w:w="29" w:type="dxa"/>
              <w:right w:w="115" w:type="dxa"/>
            </w:tcMar>
          </w:tcPr>
          <w:p w14:paraId="62F26235" w14:textId="403097C8" w:rsidR="00A120B6" w:rsidRDefault="000774CB" w:rsidP="00F10BB0">
            <w:pPr>
              <w:spacing w:after="0" w:line="240" w:lineRule="auto"/>
              <w:rPr>
                <w:rFonts w:ascii="Times New Roman" w:hAnsi="Times New Roman"/>
                <w:b/>
                <w:bCs/>
              </w:rPr>
            </w:pPr>
            <w:r>
              <w:rPr>
                <w:rFonts w:ascii="Times New Roman" w:hAnsi="Times New Roman"/>
                <w:b/>
                <w:bCs/>
              </w:rPr>
              <w:t>07-09</w:t>
            </w:r>
          </w:p>
        </w:tc>
        <w:tc>
          <w:tcPr>
            <w:tcW w:w="4829" w:type="dxa"/>
            <w:tcMar>
              <w:top w:w="29" w:type="dxa"/>
              <w:left w:w="115" w:type="dxa"/>
              <w:bottom w:w="29" w:type="dxa"/>
              <w:right w:w="115" w:type="dxa"/>
            </w:tcMar>
          </w:tcPr>
          <w:p w14:paraId="07AE70B6" w14:textId="39EDFC58" w:rsidR="00A120B6" w:rsidRPr="00AE6466" w:rsidRDefault="000774CB" w:rsidP="00F1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et-EE"/>
              </w:rPr>
            </w:pPr>
            <w:r w:rsidRPr="000774CB">
              <w:rPr>
                <w:rFonts w:ascii="Times New Roman" w:hAnsi="Times New Roman"/>
              </w:rPr>
              <w:t>Gegužės pabaigoje Estijos valdžios sektoriaus biudžeto deficitas siekė 719 mln. eurų (1,6 proc. BVP) – daugiausia dėl investicijų į geležinkelius ir „Rail Baltica“, nors mokestinės pajamos augo 3,5 proc. Vartotojų pasitikėjimas išliko silpnas, o bendros valstybės išlaidos gegužę siekė 1,64 mlrd. eurų (+9 proc. per metus).</w:t>
            </w:r>
          </w:p>
        </w:tc>
        <w:tc>
          <w:tcPr>
            <w:tcW w:w="3866" w:type="dxa"/>
            <w:tcMar>
              <w:top w:w="29" w:type="dxa"/>
              <w:left w:w="115" w:type="dxa"/>
              <w:bottom w:w="29" w:type="dxa"/>
              <w:right w:w="115" w:type="dxa"/>
            </w:tcMar>
          </w:tcPr>
          <w:p w14:paraId="4A26A758" w14:textId="4B1ADE43" w:rsidR="00A120B6" w:rsidRPr="00835E37" w:rsidRDefault="000774CB" w:rsidP="00F10BB0">
            <w:pPr>
              <w:spacing w:after="0" w:line="240" w:lineRule="auto"/>
              <w:rPr>
                <w:rStyle w:val="Hyperlink"/>
                <w:rFonts w:ascii="Times New Roman" w:hAnsi="Times New Roman"/>
              </w:rPr>
            </w:pPr>
            <w:hyperlink r:id="rId23" w:history="1">
              <w:r w:rsidRPr="00B61A82">
                <w:rPr>
                  <w:rStyle w:val="Hyperlink"/>
                  <w:rFonts w:ascii="Times New Roman" w:hAnsi="Times New Roman"/>
                </w:rPr>
                <w:t>Gegužės mėnesio biudžeto deficitas siekė 1,6 proc. BVP</w:t>
              </w:r>
            </w:hyperlink>
          </w:p>
        </w:tc>
        <w:tc>
          <w:tcPr>
            <w:tcW w:w="562" w:type="dxa"/>
            <w:tcMar>
              <w:top w:w="29" w:type="dxa"/>
              <w:left w:w="115" w:type="dxa"/>
              <w:bottom w:w="29" w:type="dxa"/>
              <w:right w:w="115" w:type="dxa"/>
            </w:tcMar>
          </w:tcPr>
          <w:p w14:paraId="47EEC1C5" w14:textId="77777777" w:rsidR="00A120B6" w:rsidRPr="00CC5D0C" w:rsidRDefault="00A120B6" w:rsidP="00F10BB0">
            <w:pPr>
              <w:spacing w:after="0" w:line="240" w:lineRule="auto"/>
              <w:rPr>
                <w:rFonts w:ascii="Times New Roman" w:hAnsi="Times New Roman"/>
              </w:rPr>
            </w:pPr>
          </w:p>
        </w:tc>
      </w:tr>
      <w:tr w:rsidR="00A120B6" w:rsidRPr="00524E4A" w14:paraId="6F3251B9" w14:textId="77777777" w:rsidTr="0009314F">
        <w:trPr>
          <w:trHeight w:val="216"/>
        </w:trPr>
        <w:tc>
          <w:tcPr>
            <w:tcW w:w="839" w:type="dxa"/>
            <w:tcMar>
              <w:top w:w="29" w:type="dxa"/>
              <w:left w:w="115" w:type="dxa"/>
              <w:bottom w:w="29" w:type="dxa"/>
              <w:right w:w="115" w:type="dxa"/>
            </w:tcMar>
          </w:tcPr>
          <w:p w14:paraId="5ADD75FA" w14:textId="107864E1" w:rsidR="00A120B6" w:rsidRDefault="00A918E9" w:rsidP="00F10BB0">
            <w:pPr>
              <w:spacing w:after="0" w:line="240" w:lineRule="auto"/>
              <w:rPr>
                <w:rFonts w:ascii="Times New Roman" w:hAnsi="Times New Roman"/>
                <w:b/>
                <w:bCs/>
              </w:rPr>
            </w:pPr>
            <w:r>
              <w:rPr>
                <w:rFonts w:ascii="Times New Roman" w:hAnsi="Times New Roman"/>
                <w:b/>
                <w:bCs/>
              </w:rPr>
              <w:t>07-10</w:t>
            </w:r>
          </w:p>
        </w:tc>
        <w:tc>
          <w:tcPr>
            <w:tcW w:w="4829" w:type="dxa"/>
            <w:tcMar>
              <w:top w:w="29" w:type="dxa"/>
              <w:left w:w="115" w:type="dxa"/>
              <w:bottom w:w="29" w:type="dxa"/>
              <w:right w:w="115" w:type="dxa"/>
            </w:tcMar>
          </w:tcPr>
          <w:p w14:paraId="7D03EB82" w14:textId="35C0E7DC" w:rsidR="00A918E9" w:rsidRPr="00A918E9" w:rsidRDefault="00A918E9" w:rsidP="00F1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A918E9">
              <w:rPr>
                <w:rFonts w:ascii="Times New Roman" w:hAnsi="Times New Roman"/>
              </w:rPr>
              <w:t>Antrą šio metų ketvirtį Estijoje registruotų bedarbių skaičius sumažėjo iki žemiausio per pastaruosius penkerius metus lygio –</w:t>
            </w:r>
            <w:r>
              <w:rPr>
                <w:rFonts w:ascii="Times New Roman" w:hAnsi="Times New Roman"/>
              </w:rPr>
              <w:t xml:space="preserve"> </w:t>
            </w:r>
            <w:r w:rsidRPr="00A918E9">
              <w:rPr>
                <w:rFonts w:ascii="Times New Roman" w:hAnsi="Times New Roman"/>
              </w:rPr>
              <w:t>nedarbo lygis siekė 5,7 proc. (12 proc. mažiau nei prieš metus).</w:t>
            </w:r>
            <w:r>
              <w:rPr>
                <w:rFonts w:ascii="Times New Roman" w:hAnsi="Times New Roman"/>
              </w:rPr>
              <w:t xml:space="preserve"> </w:t>
            </w:r>
            <w:r w:rsidRPr="00B61A82">
              <w:rPr>
                <w:rFonts w:ascii="Times New Roman" w:hAnsi="Times New Roman"/>
              </w:rPr>
              <w:t xml:space="preserve">Nepaisant to, kad nedarbo lygis sumažėjo iki 5,7 proc., sumažėjęs laisvų darbo vietų skaičius ir naujų bedarbių skaičiaus mažėjimas rodo, kad darbo rinkos aktyvumas šiek tiek sulėtėjo, </w:t>
            </w:r>
            <w:r w:rsidRPr="00B36D10">
              <w:rPr>
                <w:rFonts w:ascii="Times New Roman" w:hAnsi="Times New Roman"/>
              </w:rPr>
              <w:t xml:space="preserve">pranešė </w:t>
            </w:r>
            <w:r w:rsidR="00B36D10" w:rsidRPr="00B36D10">
              <w:rPr>
                <w:rFonts w:ascii="Times New Roman" w:hAnsi="Times New Roman"/>
              </w:rPr>
              <w:t>Estijos nedarbo draudimo kasa</w:t>
            </w:r>
            <w:r w:rsidR="00B36D10" w:rsidRPr="00B36D10">
              <w:rPr>
                <w:rFonts w:ascii="Times New Roman" w:hAnsi="Times New Roman"/>
              </w:rPr>
              <w:t xml:space="preserve"> (</w:t>
            </w:r>
            <w:r w:rsidR="00B36D10" w:rsidRPr="00B36D10">
              <w:rPr>
                <w:rFonts w:ascii="Times New Roman" w:hAnsi="Times New Roman"/>
              </w:rPr>
              <w:t>Eesti Töötukassa</w:t>
            </w:r>
            <w:r w:rsidR="00B36D10" w:rsidRPr="00B36D10">
              <w:rPr>
                <w:rFonts w:ascii="Times New Roman" w:hAnsi="Times New Roman"/>
              </w:rPr>
              <w:t>)</w:t>
            </w:r>
            <w:r w:rsidRPr="00B36D10">
              <w:rPr>
                <w:rFonts w:ascii="Times New Roman" w:hAnsi="Times New Roman"/>
              </w:rPr>
              <w:t>.</w:t>
            </w:r>
          </w:p>
        </w:tc>
        <w:tc>
          <w:tcPr>
            <w:tcW w:w="3866" w:type="dxa"/>
            <w:tcMar>
              <w:top w:w="29" w:type="dxa"/>
              <w:left w:w="115" w:type="dxa"/>
              <w:bottom w:w="29" w:type="dxa"/>
              <w:right w:w="115" w:type="dxa"/>
            </w:tcMar>
          </w:tcPr>
          <w:p w14:paraId="04669113" w14:textId="77777777" w:rsidR="00A918E9" w:rsidRPr="00B61A82" w:rsidRDefault="00A918E9" w:rsidP="00A918E9">
            <w:pPr>
              <w:spacing w:after="0" w:line="240" w:lineRule="auto"/>
              <w:rPr>
                <w:rFonts w:ascii="Times New Roman" w:hAnsi="Times New Roman"/>
              </w:rPr>
            </w:pPr>
            <w:hyperlink r:id="rId24" w:history="1">
              <w:r w:rsidRPr="00B61A82">
                <w:rPr>
                  <w:rStyle w:val="Hyperlink"/>
                  <w:rFonts w:ascii="Times New Roman" w:hAnsi="Times New Roman"/>
                </w:rPr>
                <w:t>Registruotas nedarbas nukrito iki žemia</w:t>
              </w:r>
              <w:r w:rsidRPr="00B61A82">
                <w:rPr>
                  <w:rStyle w:val="Hyperlink"/>
                  <w:rFonts w:ascii="Times New Roman" w:hAnsi="Times New Roman"/>
                </w:rPr>
                <w:t>u</w:t>
              </w:r>
              <w:r w:rsidRPr="00B61A82">
                <w:rPr>
                  <w:rStyle w:val="Hyperlink"/>
                  <w:rFonts w:ascii="Times New Roman" w:hAnsi="Times New Roman"/>
                </w:rPr>
                <w:t>sio lygio per pastaruosius penkerius metus</w:t>
              </w:r>
            </w:hyperlink>
          </w:p>
          <w:p w14:paraId="1A6EC574" w14:textId="77777777" w:rsidR="00A120B6" w:rsidRPr="00835E37" w:rsidRDefault="00A120B6" w:rsidP="00F10BB0">
            <w:pPr>
              <w:spacing w:after="0" w:line="240" w:lineRule="auto"/>
              <w:rPr>
                <w:rStyle w:val="Hyperlink"/>
                <w:rFonts w:ascii="Times New Roman" w:hAnsi="Times New Roman"/>
              </w:rPr>
            </w:pPr>
          </w:p>
        </w:tc>
        <w:tc>
          <w:tcPr>
            <w:tcW w:w="562" w:type="dxa"/>
            <w:tcMar>
              <w:top w:w="29" w:type="dxa"/>
              <w:left w:w="115" w:type="dxa"/>
              <w:bottom w:w="29" w:type="dxa"/>
              <w:right w:w="115" w:type="dxa"/>
            </w:tcMar>
          </w:tcPr>
          <w:p w14:paraId="2699A3EC" w14:textId="77777777" w:rsidR="00A120B6" w:rsidRPr="00CC5D0C" w:rsidRDefault="00A120B6" w:rsidP="00F10BB0">
            <w:pPr>
              <w:spacing w:after="0" w:line="240" w:lineRule="auto"/>
              <w:rPr>
                <w:rFonts w:ascii="Times New Roman" w:hAnsi="Times New Roman"/>
              </w:rPr>
            </w:pPr>
          </w:p>
        </w:tc>
      </w:tr>
      <w:tr w:rsidR="00026B14" w:rsidRPr="00524E4A" w14:paraId="45436F57" w14:textId="77777777" w:rsidTr="0009314F">
        <w:trPr>
          <w:trHeight w:val="216"/>
        </w:trPr>
        <w:tc>
          <w:tcPr>
            <w:tcW w:w="839" w:type="dxa"/>
            <w:tcMar>
              <w:top w:w="29" w:type="dxa"/>
              <w:left w:w="115" w:type="dxa"/>
              <w:bottom w:w="29" w:type="dxa"/>
              <w:right w:w="115" w:type="dxa"/>
            </w:tcMar>
          </w:tcPr>
          <w:p w14:paraId="63376CA7" w14:textId="742E81F0" w:rsidR="00026B14" w:rsidRDefault="00026B14" w:rsidP="00F10BB0">
            <w:pPr>
              <w:spacing w:after="0" w:line="240" w:lineRule="auto"/>
              <w:rPr>
                <w:rFonts w:ascii="Times New Roman" w:hAnsi="Times New Roman"/>
                <w:b/>
                <w:bCs/>
              </w:rPr>
            </w:pPr>
            <w:r>
              <w:rPr>
                <w:rFonts w:ascii="Times New Roman" w:hAnsi="Times New Roman"/>
                <w:b/>
                <w:bCs/>
              </w:rPr>
              <w:t>07-28</w:t>
            </w:r>
          </w:p>
        </w:tc>
        <w:tc>
          <w:tcPr>
            <w:tcW w:w="4829" w:type="dxa"/>
            <w:tcMar>
              <w:top w:w="29" w:type="dxa"/>
              <w:left w:w="115" w:type="dxa"/>
              <w:bottom w:w="29" w:type="dxa"/>
              <w:right w:w="115" w:type="dxa"/>
            </w:tcMar>
          </w:tcPr>
          <w:p w14:paraId="60503023" w14:textId="00DF233F" w:rsidR="00026B14" w:rsidRPr="00A918E9" w:rsidRDefault="00026B14" w:rsidP="00F1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26B14">
              <w:rPr>
                <w:rFonts w:ascii="Times New Roman" w:hAnsi="Times New Roman"/>
              </w:rPr>
              <w:t>Liepą Estijoje statybos ir prekybos sektori</w:t>
            </w:r>
            <w:r w:rsidR="002342B6">
              <w:rPr>
                <w:rFonts w:ascii="Times New Roman" w:hAnsi="Times New Roman"/>
              </w:rPr>
              <w:t xml:space="preserve">umi </w:t>
            </w:r>
            <w:r w:rsidRPr="00026B14">
              <w:rPr>
                <w:rFonts w:ascii="Times New Roman" w:hAnsi="Times New Roman"/>
              </w:rPr>
              <w:t xml:space="preserve">pasitikėjimas krito, o paslaugų, pramonės ir vartotojų rodikliai pagerėjo. Ekonomistas Raul Eamets pažymėjo, kad ES vidurkis taip pat pagerėjo, tačiau estai išlieka pesimistiškiausi tarp kaimynų, o labiausiai neramina statybos sektoriaus </w:t>
            </w:r>
            <w:r w:rsidRPr="00026B14">
              <w:rPr>
                <w:rFonts w:ascii="Times New Roman" w:hAnsi="Times New Roman"/>
              </w:rPr>
              <w:lastRenderedPageBreak/>
              <w:t xml:space="preserve">pesimizmas, nors vyksta dideli infrastruktūros projektai; prekyboje </w:t>
            </w:r>
            <w:r w:rsidR="00B36D10">
              <w:rPr>
                <w:rFonts w:ascii="Times New Roman" w:hAnsi="Times New Roman"/>
              </w:rPr>
              <w:t xml:space="preserve">ženkliai </w:t>
            </w:r>
            <w:r w:rsidRPr="00026B14">
              <w:rPr>
                <w:rFonts w:ascii="Times New Roman" w:hAnsi="Times New Roman"/>
              </w:rPr>
              <w:t>sumažėjo tikinčių pardavimų augimu</w:t>
            </w:r>
            <w:r>
              <w:rPr>
                <w:rFonts w:ascii="Times New Roman" w:hAnsi="Times New Roman"/>
              </w:rPr>
              <w:t>.</w:t>
            </w:r>
          </w:p>
        </w:tc>
        <w:tc>
          <w:tcPr>
            <w:tcW w:w="3866" w:type="dxa"/>
            <w:tcMar>
              <w:top w:w="29" w:type="dxa"/>
              <w:left w:w="115" w:type="dxa"/>
              <w:bottom w:w="29" w:type="dxa"/>
              <w:right w:w="115" w:type="dxa"/>
            </w:tcMar>
          </w:tcPr>
          <w:p w14:paraId="1089EC25" w14:textId="77777777" w:rsidR="00026B14" w:rsidRPr="00303493" w:rsidRDefault="00026B14" w:rsidP="00026B14">
            <w:pPr>
              <w:spacing w:after="0" w:line="240" w:lineRule="auto"/>
              <w:rPr>
                <w:rFonts w:ascii="Times New Roman" w:hAnsi="Times New Roman"/>
              </w:rPr>
            </w:pPr>
            <w:hyperlink r:id="rId25" w:history="1">
              <w:r w:rsidRPr="00303493">
                <w:rPr>
                  <w:rStyle w:val="Hyperlink"/>
                  <w:rFonts w:ascii="Times New Roman" w:hAnsi="Times New Roman"/>
                </w:rPr>
                <w:t>Liepos mėnesį vartotojų pasitikėjimas padidėjo, o statybos ir prekybos sektoriuose – sumažėjo</w:t>
              </w:r>
            </w:hyperlink>
          </w:p>
          <w:p w14:paraId="7F539703" w14:textId="77777777" w:rsidR="00026B14" w:rsidRDefault="00026B14" w:rsidP="00A918E9">
            <w:pPr>
              <w:spacing w:after="0" w:line="240" w:lineRule="auto"/>
            </w:pPr>
          </w:p>
        </w:tc>
        <w:tc>
          <w:tcPr>
            <w:tcW w:w="562" w:type="dxa"/>
            <w:tcMar>
              <w:top w:w="29" w:type="dxa"/>
              <w:left w:w="115" w:type="dxa"/>
              <w:bottom w:w="29" w:type="dxa"/>
              <w:right w:w="115" w:type="dxa"/>
            </w:tcMar>
          </w:tcPr>
          <w:p w14:paraId="44D5484C" w14:textId="77777777" w:rsidR="00026B14" w:rsidRPr="00CC5D0C" w:rsidRDefault="00026B14" w:rsidP="00F10BB0">
            <w:pPr>
              <w:spacing w:after="0" w:line="240" w:lineRule="auto"/>
              <w:rPr>
                <w:rFonts w:ascii="Times New Roman" w:hAnsi="Times New Roman"/>
              </w:rPr>
            </w:pPr>
          </w:p>
        </w:tc>
      </w:tr>
      <w:tr w:rsidR="00AE7B57" w:rsidRPr="00524E4A" w14:paraId="60F608A8" w14:textId="77777777" w:rsidTr="0009314F">
        <w:trPr>
          <w:trHeight w:val="234"/>
        </w:trPr>
        <w:tc>
          <w:tcPr>
            <w:tcW w:w="10096" w:type="dxa"/>
            <w:gridSpan w:val="4"/>
            <w:tcMar>
              <w:top w:w="29" w:type="dxa"/>
              <w:left w:w="115" w:type="dxa"/>
              <w:bottom w:w="29" w:type="dxa"/>
              <w:right w:w="115" w:type="dxa"/>
            </w:tcMar>
          </w:tcPr>
          <w:p w14:paraId="7F2C48E9" w14:textId="77777777" w:rsidR="00AE7B57" w:rsidRPr="00CC5D0C" w:rsidRDefault="00AE7B57" w:rsidP="00AE7B57">
            <w:pPr>
              <w:spacing w:after="0" w:line="240" w:lineRule="auto"/>
              <w:rPr>
                <w:rFonts w:ascii="Times New Roman" w:hAnsi="Times New Roman"/>
                <w:b/>
              </w:rPr>
            </w:pPr>
            <w:r w:rsidRPr="00CC5D0C">
              <w:br w:type="page"/>
            </w:r>
            <w:r w:rsidRPr="00831660">
              <w:rPr>
                <w:rFonts w:ascii="Times New Roman" w:hAnsi="Times New Roman"/>
                <w:b/>
              </w:rPr>
              <w:t>Kita ekonominiam bendradarbiavimui aktuali informacija</w:t>
            </w:r>
          </w:p>
        </w:tc>
      </w:tr>
      <w:tr w:rsidR="00E44EF2" w:rsidRPr="00524E4A" w14:paraId="576B08DC" w14:textId="77777777" w:rsidTr="0009314F">
        <w:trPr>
          <w:trHeight w:val="216"/>
        </w:trPr>
        <w:tc>
          <w:tcPr>
            <w:tcW w:w="839" w:type="dxa"/>
            <w:tcMar>
              <w:top w:w="29" w:type="dxa"/>
              <w:left w:w="115" w:type="dxa"/>
              <w:bottom w:w="29" w:type="dxa"/>
              <w:right w:w="115" w:type="dxa"/>
            </w:tcMar>
          </w:tcPr>
          <w:p w14:paraId="623B3CCE" w14:textId="09B30DC4" w:rsidR="00E44EF2" w:rsidRDefault="0031618B" w:rsidP="00623648">
            <w:pPr>
              <w:spacing w:after="0" w:line="240" w:lineRule="auto"/>
              <w:rPr>
                <w:rFonts w:ascii="Times New Roman" w:hAnsi="Times New Roman"/>
                <w:b/>
                <w:bCs/>
              </w:rPr>
            </w:pPr>
            <w:r>
              <w:rPr>
                <w:rFonts w:ascii="Times New Roman" w:hAnsi="Times New Roman"/>
                <w:b/>
                <w:bCs/>
              </w:rPr>
              <w:t>07-03</w:t>
            </w:r>
          </w:p>
        </w:tc>
        <w:tc>
          <w:tcPr>
            <w:tcW w:w="4829" w:type="dxa"/>
            <w:tcMar>
              <w:top w:w="29" w:type="dxa"/>
              <w:left w:w="115" w:type="dxa"/>
              <w:bottom w:w="29" w:type="dxa"/>
              <w:right w:w="115" w:type="dxa"/>
            </w:tcMar>
          </w:tcPr>
          <w:p w14:paraId="1598A75F" w14:textId="07D1FFE2" w:rsidR="00E44EF2" w:rsidRPr="00DE266D" w:rsidRDefault="00EC111F" w:rsidP="0062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EC111F">
              <w:rPr>
                <w:rFonts w:ascii="Times New Roman" w:hAnsi="Times New Roman"/>
              </w:rPr>
              <w:t>Birželio mėnesį vidutinė elektros kaina Estijoje siekė 6,51 cento už kilovatvalandę – aštuoniais procentais daugiau nei gegužę ir per 50 procentų daugiau nei praėjusių metų birželį; tai lėmė menkas vėjo energijos gamybos kiekis ir sumažėjęs hidroenergijos indėlis Baltijos šalyse.</w:t>
            </w:r>
          </w:p>
        </w:tc>
        <w:tc>
          <w:tcPr>
            <w:tcW w:w="3866" w:type="dxa"/>
            <w:tcMar>
              <w:top w:w="29" w:type="dxa"/>
              <w:left w:w="115" w:type="dxa"/>
              <w:bottom w:w="29" w:type="dxa"/>
              <w:right w:w="115" w:type="dxa"/>
            </w:tcMar>
          </w:tcPr>
          <w:p w14:paraId="1C5996A5" w14:textId="44CE0EC8" w:rsidR="00E44EF2" w:rsidRPr="0031618B" w:rsidRDefault="0031618B" w:rsidP="00623648">
            <w:pPr>
              <w:spacing w:after="0" w:line="240" w:lineRule="auto"/>
              <w:rPr>
                <w:rStyle w:val="Hyperlink"/>
                <w:rFonts w:ascii="Times New Roman" w:hAnsi="Times New Roman"/>
                <w:color w:val="auto"/>
                <w:u w:val="none"/>
              </w:rPr>
            </w:pPr>
            <w:hyperlink r:id="rId26" w:history="1">
              <w:r w:rsidRPr="00B61A82">
                <w:rPr>
                  <w:rStyle w:val="Hyperlink"/>
                  <w:rFonts w:ascii="Times New Roman" w:hAnsi="Times New Roman"/>
                </w:rPr>
                <w:t>Birželį elektros kaina buvo pusę brangesnė nei pernai</w:t>
              </w:r>
            </w:hyperlink>
          </w:p>
        </w:tc>
        <w:tc>
          <w:tcPr>
            <w:tcW w:w="562" w:type="dxa"/>
            <w:tcMar>
              <w:top w:w="29" w:type="dxa"/>
              <w:left w:w="115" w:type="dxa"/>
              <w:bottom w:w="29" w:type="dxa"/>
              <w:right w:w="115" w:type="dxa"/>
            </w:tcMar>
          </w:tcPr>
          <w:p w14:paraId="33F4F515" w14:textId="77777777" w:rsidR="00E44EF2" w:rsidRPr="00CC5D0C" w:rsidRDefault="00E44EF2" w:rsidP="00623648">
            <w:pPr>
              <w:spacing w:after="0" w:line="240" w:lineRule="auto"/>
              <w:rPr>
                <w:rFonts w:ascii="Times New Roman" w:hAnsi="Times New Roman"/>
              </w:rPr>
            </w:pPr>
          </w:p>
        </w:tc>
      </w:tr>
      <w:tr w:rsidR="00A120B6" w:rsidRPr="00524E4A" w14:paraId="176C3307" w14:textId="77777777" w:rsidTr="0009314F">
        <w:trPr>
          <w:trHeight w:val="216"/>
        </w:trPr>
        <w:tc>
          <w:tcPr>
            <w:tcW w:w="839" w:type="dxa"/>
            <w:tcMar>
              <w:top w:w="29" w:type="dxa"/>
              <w:left w:w="115" w:type="dxa"/>
              <w:bottom w:w="29" w:type="dxa"/>
              <w:right w:w="115" w:type="dxa"/>
            </w:tcMar>
          </w:tcPr>
          <w:p w14:paraId="390E337B" w14:textId="2EF6A1CA" w:rsidR="00A120B6" w:rsidRDefault="00A918E9" w:rsidP="00623648">
            <w:pPr>
              <w:spacing w:after="0" w:line="240" w:lineRule="auto"/>
              <w:rPr>
                <w:rFonts w:ascii="Times New Roman" w:hAnsi="Times New Roman"/>
                <w:b/>
                <w:bCs/>
              </w:rPr>
            </w:pPr>
            <w:r>
              <w:rPr>
                <w:rFonts w:ascii="Times New Roman" w:hAnsi="Times New Roman"/>
                <w:b/>
                <w:bCs/>
              </w:rPr>
              <w:t>07-10</w:t>
            </w:r>
          </w:p>
        </w:tc>
        <w:tc>
          <w:tcPr>
            <w:tcW w:w="4829" w:type="dxa"/>
            <w:tcMar>
              <w:top w:w="29" w:type="dxa"/>
              <w:left w:w="115" w:type="dxa"/>
              <w:bottom w:w="29" w:type="dxa"/>
              <w:right w:w="115" w:type="dxa"/>
            </w:tcMar>
          </w:tcPr>
          <w:p w14:paraId="70D9BB84" w14:textId="4CC2A342" w:rsidR="00A120B6" w:rsidRPr="00DE266D" w:rsidRDefault="00A918E9" w:rsidP="00A918E9">
            <w:pPr>
              <w:spacing w:after="0" w:line="240" w:lineRule="auto"/>
              <w:rPr>
                <w:rFonts w:ascii="Times New Roman" w:hAnsi="Times New Roman"/>
              </w:rPr>
            </w:pPr>
            <w:r w:rsidRPr="00B61A82">
              <w:rPr>
                <w:rFonts w:ascii="Times New Roman" w:hAnsi="Times New Roman"/>
              </w:rPr>
              <w:t xml:space="preserve">Statistikos departamento duomenimis, šių metų gegužę prekių eksportas, palyginti su praėjusių metų tuo pačiu mėnesiu, padidėjo </w:t>
            </w:r>
            <w:r w:rsidR="002342B6">
              <w:rPr>
                <w:rFonts w:ascii="Times New Roman" w:hAnsi="Times New Roman"/>
              </w:rPr>
              <w:t xml:space="preserve">9 </w:t>
            </w:r>
            <w:r w:rsidRPr="00B61A82">
              <w:rPr>
                <w:rFonts w:ascii="Times New Roman" w:hAnsi="Times New Roman"/>
              </w:rPr>
              <w:t>proc</w:t>
            </w:r>
            <w:r w:rsidR="002342B6">
              <w:rPr>
                <w:rFonts w:ascii="Times New Roman" w:hAnsi="Times New Roman"/>
              </w:rPr>
              <w:t>.</w:t>
            </w:r>
            <w:r w:rsidRPr="00B61A82">
              <w:rPr>
                <w:rFonts w:ascii="Times New Roman" w:hAnsi="Times New Roman"/>
              </w:rPr>
              <w:t xml:space="preserve">, o importas – </w:t>
            </w:r>
            <w:r w:rsidR="002342B6">
              <w:rPr>
                <w:rFonts w:ascii="Times New Roman" w:hAnsi="Times New Roman"/>
              </w:rPr>
              <w:t xml:space="preserve">4 </w:t>
            </w:r>
            <w:r w:rsidRPr="00B61A82">
              <w:rPr>
                <w:rFonts w:ascii="Times New Roman" w:hAnsi="Times New Roman"/>
              </w:rPr>
              <w:t>proc</w:t>
            </w:r>
            <w:r w:rsidR="002342B6">
              <w:rPr>
                <w:rFonts w:ascii="Times New Roman" w:hAnsi="Times New Roman"/>
              </w:rPr>
              <w:t>.</w:t>
            </w:r>
            <w:r w:rsidRPr="00B61A82">
              <w:rPr>
                <w:rFonts w:ascii="Times New Roman" w:hAnsi="Times New Roman"/>
              </w:rPr>
              <w:t xml:space="preserve"> Prekybos deficitas siekė 224 mln. eurų, tai yra 63 mln. eurų mažiau nei praėjusių metų gegužę.</w:t>
            </w:r>
            <w:r>
              <w:rPr>
                <w:rFonts w:ascii="Times New Roman" w:hAnsi="Times New Roman"/>
              </w:rPr>
              <w:t xml:space="preserve"> Didžiausi</w:t>
            </w:r>
            <w:r w:rsidR="002342B6">
              <w:rPr>
                <w:rFonts w:ascii="Times New Roman" w:hAnsi="Times New Roman"/>
              </w:rPr>
              <w:t>u</w:t>
            </w:r>
            <w:r>
              <w:rPr>
                <w:rFonts w:ascii="Times New Roman" w:hAnsi="Times New Roman"/>
              </w:rPr>
              <w:t xml:space="preserve"> importo partneri</w:t>
            </w:r>
            <w:r w:rsidR="002342B6">
              <w:rPr>
                <w:rFonts w:ascii="Times New Roman" w:hAnsi="Times New Roman"/>
              </w:rPr>
              <w:t>u išlieka S</w:t>
            </w:r>
            <w:r>
              <w:rPr>
                <w:rFonts w:ascii="Times New Roman" w:hAnsi="Times New Roman"/>
              </w:rPr>
              <w:t>uomija.</w:t>
            </w:r>
          </w:p>
        </w:tc>
        <w:tc>
          <w:tcPr>
            <w:tcW w:w="3866" w:type="dxa"/>
            <w:tcMar>
              <w:top w:w="29" w:type="dxa"/>
              <w:left w:w="115" w:type="dxa"/>
              <w:bottom w:w="29" w:type="dxa"/>
              <w:right w:w="115" w:type="dxa"/>
            </w:tcMar>
          </w:tcPr>
          <w:p w14:paraId="6BFB9BE1" w14:textId="58FB5EB5" w:rsidR="00A120B6" w:rsidRPr="00A918E9" w:rsidRDefault="00A918E9" w:rsidP="00623648">
            <w:pPr>
              <w:spacing w:after="0" w:line="240" w:lineRule="auto"/>
              <w:rPr>
                <w:rStyle w:val="Hyperlink"/>
                <w:rFonts w:ascii="Times New Roman" w:hAnsi="Times New Roman"/>
                <w:color w:val="auto"/>
                <w:u w:val="none"/>
              </w:rPr>
            </w:pPr>
            <w:hyperlink r:id="rId27" w:history="1">
              <w:r w:rsidRPr="00B61A82">
                <w:rPr>
                  <w:rStyle w:val="Hyperlink"/>
                  <w:rFonts w:ascii="Times New Roman" w:hAnsi="Times New Roman"/>
                </w:rPr>
                <w:t>Gegužę prekių eksportas, palyginti su praėjusiais metais, išaugo devyniais procentais</w:t>
              </w:r>
            </w:hyperlink>
          </w:p>
        </w:tc>
        <w:tc>
          <w:tcPr>
            <w:tcW w:w="562" w:type="dxa"/>
            <w:tcMar>
              <w:top w:w="29" w:type="dxa"/>
              <w:left w:w="115" w:type="dxa"/>
              <w:bottom w:w="29" w:type="dxa"/>
              <w:right w:w="115" w:type="dxa"/>
            </w:tcMar>
          </w:tcPr>
          <w:p w14:paraId="2E97FA5B" w14:textId="77777777" w:rsidR="00A120B6" w:rsidRPr="00CC5D0C" w:rsidRDefault="00A120B6" w:rsidP="00623648">
            <w:pPr>
              <w:spacing w:after="0" w:line="240" w:lineRule="auto"/>
              <w:rPr>
                <w:rFonts w:ascii="Times New Roman" w:hAnsi="Times New Roman"/>
              </w:rPr>
            </w:pPr>
          </w:p>
        </w:tc>
      </w:tr>
      <w:tr w:rsidR="00B35495" w:rsidRPr="00524E4A" w14:paraId="6A934808" w14:textId="77777777" w:rsidTr="0009314F">
        <w:trPr>
          <w:trHeight w:val="216"/>
        </w:trPr>
        <w:tc>
          <w:tcPr>
            <w:tcW w:w="839" w:type="dxa"/>
            <w:tcMar>
              <w:top w:w="29" w:type="dxa"/>
              <w:left w:w="115" w:type="dxa"/>
              <w:bottom w:w="29" w:type="dxa"/>
              <w:right w:w="115" w:type="dxa"/>
            </w:tcMar>
          </w:tcPr>
          <w:p w14:paraId="5A986852" w14:textId="7D1640FB" w:rsidR="00B35495" w:rsidRDefault="00B35495" w:rsidP="00623648">
            <w:pPr>
              <w:spacing w:after="0" w:line="240" w:lineRule="auto"/>
              <w:rPr>
                <w:rFonts w:ascii="Times New Roman" w:hAnsi="Times New Roman"/>
                <w:b/>
                <w:bCs/>
              </w:rPr>
            </w:pPr>
            <w:r>
              <w:rPr>
                <w:rFonts w:ascii="Times New Roman" w:hAnsi="Times New Roman"/>
                <w:b/>
                <w:bCs/>
              </w:rPr>
              <w:t>07-14</w:t>
            </w:r>
          </w:p>
        </w:tc>
        <w:tc>
          <w:tcPr>
            <w:tcW w:w="4829" w:type="dxa"/>
            <w:tcMar>
              <w:top w:w="29" w:type="dxa"/>
              <w:left w:w="115" w:type="dxa"/>
              <w:bottom w:w="29" w:type="dxa"/>
              <w:right w:w="115" w:type="dxa"/>
            </w:tcMar>
          </w:tcPr>
          <w:p w14:paraId="23E7070E" w14:textId="604499AA" w:rsidR="00B35495" w:rsidRPr="00B61A82" w:rsidRDefault="00B35495" w:rsidP="00A918E9">
            <w:pPr>
              <w:spacing w:after="0" w:line="240" w:lineRule="auto"/>
              <w:rPr>
                <w:rFonts w:ascii="Times New Roman" w:hAnsi="Times New Roman"/>
              </w:rPr>
            </w:pPr>
            <w:r w:rsidRPr="00681E5B">
              <w:rPr>
                <w:rFonts w:ascii="Times New Roman" w:hAnsi="Times New Roman"/>
              </w:rPr>
              <w:t>Per pastaruosius metus visoje Estijoje duris uždarė daugiau nei 25 restoranai, o verslininkų teigimu, restoranų sektorius šiuo metu susiduria su sudėtingiausia padėtimi per pastaruosius 30 metų.</w:t>
            </w:r>
          </w:p>
        </w:tc>
        <w:tc>
          <w:tcPr>
            <w:tcW w:w="3866" w:type="dxa"/>
            <w:tcMar>
              <w:top w:w="29" w:type="dxa"/>
              <w:left w:w="115" w:type="dxa"/>
              <w:bottom w:w="29" w:type="dxa"/>
              <w:right w:w="115" w:type="dxa"/>
            </w:tcMar>
          </w:tcPr>
          <w:p w14:paraId="710661D3" w14:textId="281666B5" w:rsidR="00B35495" w:rsidRPr="00B35495" w:rsidRDefault="00B35495" w:rsidP="00623648">
            <w:pPr>
              <w:spacing w:after="0" w:line="240" w:lineRule="auto"/>
              <w:rPr>
                <w:rFonts w:ascii="Times New Roman" w:hAnsi="Times New Roman"/>
              </w:rPr>
            </w:pPr>
            <w:hyperlink r:id="rId28" w:history="1">
              <w:r w:rsidRPr="00681E5B">
                <w:rPr>
                  <w:rStyle w:val="Hyperlink"/>
                  <w:rFonts w:ascii="Times New Roman" w:hAnsi="Times New Roman"/>
                </w:rPr>
                <w:t>Restoranų savininkai susiduria su sunkiausia padėtimi per pastaruosius 30 metų</w:t>
              </w:r>
            </w:hyperlink>
          </w:p>
        </w:tc>
        <w:tc>
          <w:tcPr>
            <w:tcW w:w="562" w:type="dxa"/>
            <w:tcMar>
              <w:top w:w="29" w:type="dxa"/>
              <w:left w:w="115" w:type="dxa"/>
              <w:bottom w:w="29" w:type="dxa"/>
              <w:right w:w="115" w:type="dxa"/>
            </w:tcMar>
          </w:tcPr>
          <w:p w14:paraId="1CE3CF45" w14:textId="77777777" w:rsidR="00B35495" w:rsidRPr="00CC5D0C" w:rsidRDefault="00B35495" w:rsidP="00623648">
            <w:pPr>
              <w:spacing w:after="0" w:line="240" w:lineRule="auto"/>
              <w:rPr>
                <w:rFonts w:ascii="Times New Roman" w:hAnsi="Times New Roman"/>
              </w:rPr>
            </w:pPr>
          </w:p>
        </w:tc>
      </w:tr>
      <w:tr w:rsidR="000D7EA4" w:rsidRPr="00524E4A" w14:paraId="21F1091C" w14:textId="77777777" w:rsidTr="0009314F">
        <w:trPr>
          <w:trHeight w:val="216"/>
        </w:trPr>
        <w:tc>
          <w:tcPr>
            <w:tcW w:w="839" w:type="dxa"/>
            <w:tcMar>
              <w:top w:w="29" w:type="dxa"/>
              <w:left w:w="115" w:type="dxa"/>
              <w:bottom w:w="29" w:type="dxa"/>
              <w:right w:w="115" w:type="dxa"/>
            </w:tcMar>
          </w:tcPr>
          <w:p w14:paraId="7179152C" w14:textId="561470A4" w:rsidR="000D7EA4" w:rsidRDefault="000D7EA4" w:rsidP="00623648">
            <w:pPr>
              <w:spacing w:after="0" w:line="240" w:lineRule="auto"/>
              <w:rPr>
                <w:rFonts w:ascii="Times New Roman" w:hAnsi="Times New Roman"/>
                <w:b/>
                <w:bCs/>
              </w:rPr>
            </w:pPr>
            <w:r>
              <w:rPr>
                <w:rFonts w:ascii="Times New Roman" w:hAnsi="Times New Roman"/>
                <w:b/>
                <w:bCs/>
              </w:rPr>
              <w:t>07-17</w:t>
            </w:r>
          </w:p>
        </w:tc>
        <w:tc>
          <w:tcPr>
            <w:tcW w:w="4829" w:type="dxa"/>
            <w:tcMar>
              <w:top w:w="29" w:type="dxa"/>
              <w:left w:w="115" w:type="dxa"/>
              <w:bottom w:w="29" w:type="dxa"/>
              <w:right w:w="115" w:type="dxa"/>
            </w:tcMar>
          </w:tcPr>
          <w:p w14:paraId="4D2E3B49" w14:textId="6268636B" w:rsidR="000D7EA4" w:rsidRPr="00681E5B" w:rsidRDefault="000D7EA4" w:rsidP="00A918E9">
            <w:pPr>
              <w:spacing w:after="0" w:line="240" w:lineRule="auto"/>
              <w:rPr>
                <w:rFonts w:ascii="Times New Roman" w:hAnsi="Times New Roman"/>
              </w:rPr>
            </w:pPr>
            <w:r w:rsidRPr="000D7EA4">
              <w:rPr>
                <w:rFonts w:ascii="Times New Roman" w:hAnsi="Times New Roman"/>
              </w:rPr>
              <w:t xml:space="preserve">Šių metų pirmąjį pusmetį Estijos didžiausių bankų pelnas šiek tiek sumažėjo, tačiau paskolų portfeliai augo sparčiai: „Swedbank“ pelnas krito ~5 proc. (privačių klientų paskolos +7 proc., verslo – +10 proc.), o „SEB“ pelnas taip pat mažai sumažėjo, nors portfelis augo per 8 proc. Bankų vadovai tai aiškina konkurencija ir maržų mažėjimu, ypač būsto paskolų srityje. </w:t>
            </w:r>
            <w:r w:rsidR="00D97AAF">
              <w:rPr>
                <w:rFonts w:ascii="Times New Roman" w:hAnsi="Times New Roman"/>
              </w:rPr>
              <w:t>„</w:t>
            </w:r>
            <w:r w:rsidRPr="000D7EA4">
              <w:rPr>
                <w:rFonts w:ascii="Times New Roman" w:hAnsi="Times New Roman"/>
              </w:rPr>
              <w:t>Eesti Pank</w:t>
            </w:r>
            <w:r w:rsidR="00D97AAF">
              <w:rPr>
                <w:rFonts w:ascii="Times New Roman" w:hAnsi="Times New Roman"/>
              </w:rPr>
              <w:t>“</w:t>
            </w:r>
            <w:r w:rsidRPr="000D7EA4">
              <w:rPr>
                <w:rFonts w:ascii="Times New Roman" w:hAnsi="Times New Roman"/>
              </w:rPr>
              <w:t xml:space="preserve"> atstovas Jaak Tõrs perspėjo, kad paskolų portfelis auga greičiau nei daugumoje euro zonos šalių ir dvigubai greičiau nei Estijos nominalus ekonomikos augimas – tai rizika, nes paskolos sudaro vis didesnę būsto sandorių kainos dalį, o sparčiai augant komercinio nekilnojamojo turto paskoloms, kartu daugėja ir tuščių biuro patalpų.</w:t>
            </w:r>
          </w:p>
        </w:tc>
        <w:tc>
          <w:tcPr>
            <w:tcW w:w="3866" w:type="dxa"/>
            <w:tcMar>
              <w:top w:w="29" w:type="dxa"/>
              <w:left w:w="115" w:type="dxa"/>
              <w:bottom w:w="29" w:type="dxa"/>
              <w:right w:w="115" w:type="dxa"/>
            </w:tcMar>
          </w:tcPr>
          <w:p w14:paraId="4F8C2D0B" w14:textId="77777777" w:rsidR="000D7EA4" w:rsidRPr="002F570A" w:rsidRDefault="000D7EA4" w:rsidP="000D7EA4">
            <w:pPr>
              <w:spacing w:after="0" w:line="240" w:lineRule="auto"/>
              <w:rPr>
                <w:rFonts w:ascii="Times New Roman" w:hAnsi="Times New Roman"/>
              </w:rPr>
            </w:pPr>
            <w:hyperlink r:id="rId29" w:history="1">
              <w:r w:rsidRPr="002F570A">
                <w:rPr>
                  <w:rStyle w:val="Hyperlink"/>
                  <w:rFonts w:ascii="Times New Roman" w:hAnsi="Times New Roman"/>
                </w:rPr>
                <w:t>Bankų pusmečio pelnas sumažėjo, o paskolų apimtys sparčiai augo</w:t>
              </w:r>
            </w:hyperlink>
          </w:p>
          <w:p w14:paraId="01A53491" w14:textId="77777777" w:rsidR="000D7EA4" w:rsidRDefault="000D7EA4" w:rsidP="00623648">
            <w:pPr>
              <w:spacing w:after="0" w:line="240" w:lineRule="auto"/>
            </w:pPr>
          </w:p>
        </w:tc>
        <w:tc>
          <w:tcPr>
            <w:tcW w:w="562" w:type="dxa"/>
            <w:tcMar>
              <w:top w:w="29" w:type="dxa"/>
              <w:left w:w="115" w:type="dxa"/>
              <w:bottom w:w="29" w:type="dxa"/>
              <w:right w:w="115" w:type="dxa"/>
            </w:tcMar>
          </w:tcPr>
          <w:p w14:paraId="39DE585F" w14:textId="77777777" w:rsidR="000D7EA4" w:rsidRPr="00CC5D0C" w:rsidRDefault="000D7EA4" w:rsidP="00623648">
            <w:pPr>
              <w:spacing w:after="0" w:line="240" w:lineRule="auto"/>
              <w:rPr>
                <w:rFonts w:ascii="Times New Roman" w:hAnsi="Times New Roman"/>
              </w:rPr>
            </w:pPr>
          </w:p>
        </w:tc>
      </w:tr>
      <w:tr w:rsidR="00BA12C5" w:rsidRPr="00524E4A" w14:paraId="4415D602" w14:textId="77777777" w:rsidTr="0009314F">
        <w:trPr>
          <w:trHeight w:val="216"/>
        </w:trPr>
        <w:tc>
          <w:tcPr>
            <w:tcW w:w="839" w:type="dxa"/>
            <w:tcMar>
              <w:top w:w="29" w:type="dxa"/>
              <w:left w:w="115" w:type="dxa"/>
              <w:bottom w:w="29" w:type="dxa"/>
              <w:right w:w="115" w:type="dxa"/>
            </w:tcMar>
          </w:tcPr>
          <w:p w14:paraId="18B4C9B8" w14:textId="154B4CEF" w:rsidR="00BA12C5" w:rsidRDefault="00BA12C5" w:rsidP="00623648">
            <w:pPr>
              <w:spacing w:after="0" w:line="240" w:lineRule="auto"/>
              <w:rPr>
                <w:rFonts w:ascii="Times New Roman" w:hAnsi="Times New Roman"/>
                <w:b/>
                <w:bCs/>
              </w:rPr>
            </w:pPr>
            <w:r>
              <w:rPr>
                <w:rFonts w:ascii="Times New Roman" w:hAnsi="Times New Roman"/>
                <w:b/>
                <w:bCs/>
              </w:rPr>
              <w:t>07-18</w:t>
            </w:r>
          </w:p>
        </w:tc>
        <w:tc>
          <w:tcPr>
            <w:tcW w:w="4829" w:type="dxa"/>
            <w:tcMar>
              <w:top w:w="29" w:type="dxa"/>
              <w:left w:w="115" w:type="dxa"/>
              <w:bottom w:w="29" w:type="dxa"/>
              <w:right w:w="115" w:type="dxa"/>
            </w:tcMar>
          </w:tcPr>
          <w:p w14:paraId="6AAB4612" w14:textId="336C63D0" w:rsidR="00BA12C5" w:rsidRPr="00681E5B" w:rsidRDefault="00BA12C5" w:rsidP="00A918E9">
            <w:pPr>
              <w:spacing w:after="0" w:line="240" w:lineRule="auto"/>
              <w:rPr>
                <w:rFonts w:ascii="Times New Roman" w:hAnsi="Times New Roman"/>
              </w:rPr>
            </w:pPr>
            <w:r w:rsidRPr="0046111D">
              <w:rPr>
                <w:rFonts w:ascii="Times New Roman" w:hAnsi="Times New Roman"/>
              </w:rPr>
              <w:t>Rusijos vyriausybė įvedė Estijoje registruotų sunkvežimių krovinių vežimo draudimą, kuris taikomas visoms krovinių kategorijoms.</w:t>
            </w:r>
          </w:p>
        </w:tc>
        <w:tc>
          <w:tcPr>
            <w:tcW w:w="3866" w:type="dxa"/>
            <w:tcMar>
              <w:top w:w="29" w:type="dxa"/>
              <w:left w:w="115" w:type="dxa"/>
              <w:bottom w:w="29" w:type="dxa"/>
              <w:right w:w="115" w:type="dxa"/>
            </w:tcMar>
          </w:tcPr>
          <w:p w14:paraId="47AC2383" w14:textId="21069C78" w:rsidR="00BA12C5" w:rsidRPr="00BA12C5" w:rsidRDefault="00BA12C5" w:rsidP="00623648">
            <w:pPr>
              <w:spacing w:after="0" w:line="240" w:lineRule="auto"/>
              <w:rPr>
                <w:rFonts w:ascii="Times New Roman" w:hAnsi="Times New Roman"/>
              </w:rPr>
            </w:pPr>
            <w:hyperlink r:id="rId30" w:history="1">
              <w:r w:rsidRPr="0046111D">
                <w:rPr>
                  <w:rStyle w:val="Hyperlink"/>
                  <w:rFonts w:ascii="Times New Roman" w:hAnsi="Times New Roman"/>
                </w:rPr>
                <w:t>Rusija įvedė visišką krovinių vežimo draudimą iš Estijos atvykstantiems sunkvežimiams</w:t>
              </w:r>
            </w:hyperlink>
          </w:p>
        </w:tc>
        <w:tc>
          <w:tcPr>
            <w:tcW w:w="562" w:type="dxa"/>
            <w:tcMar>
              <w:top w:w="29" w:type="dxa"/>
              <w:left w:w="115" w:type="dxa"/>
              <w:bottom w:w="29" w:type="dxa"/>
              <w:right w:w="115" w:type="dxa"/>
            </w:tcMar>
          </w:tcPr>
          <w:p w14:paraId="31DB45E9" w14:textId="77777777" w:rsidR="00BA12C5" w:rsidRPr="00CC5D0C" w:rsidRDefault="00BA12C5" w:rsidP="00623648">
            <w:pPr>
              <w:spacing w:after="0" w:line="240" w:lineRule="auto"/>
              <w:rPr>
                <w:rFonts w:ascii="Times New Roman" w:hAnsi="Times New Roman"/>
              </w:rPr>
            </w:pPr>
          </w:p>
        </w:tc>
      </w:tr>
      <w:tr w:rsidR="00A120B6" w:rsidRPr="00524E4A" w14:paraId="1E772180" w14:textId="77777777" w:rsidTr="0009314F">
        <w:trPr>
          <w:trHeight w:val="216"/>
        </w:trPr>
        <w:tc>
          <w:tcPr>
            <w:tcW w:w="839" w:type="dxa"/>
            <w:tcMar>
              <w:top w:w="29" w:type="dxa"/>
              <w:left w:w="115" w:type="dxa"/>
              <w:bottom w:w="29" w:type="dxa"/>
              <w:right w:w="115" w:type="dxa"/>
            </w:tcMar>
          </w:tcPr>
          <w:p w14:paraId="684CAED0" w14:textId="3074D52F" w:rsidR="00A120B6" w:rsidRDefault="006A0E28" w:rsidP="00623648">
            <w:pPr>
              <w:spacing w:after="0" w:line="240" w:lineRule="auto"/>
              <w:rPr>
                <w:rFonts w:ascii="Times New Roman" w:hAnsi="Times New Roman"/>
                <w:b/>
                <w:bCs/>
              </w:rPr>
            </w:pPr>
            <w:r>
              <w:rPr>
                <w:rFonts w:ascii="Times New Roman" w:hAnsi="Times New Roman"/>
                <w:b/>
                <w:bCs/>
              </w:rPr>
              <w:t>07-20</w:t>
            </w:r>
          </w:p>
        </w:tc>
        <w:tc>
          <w:tcPr>
            <w:tcW w:w="4829" w:type="dxa"/>
            <w:tcMar>
              <w:top w:w="29" w:type="dxa"/>
              <w:left w:w="115" w:type="dxa"/>
              <w:bottom w:w="29" w:type="dxa"/>
              <w:right w:w="115" w:type="dxa"/>
            </w:tcMar>
          </w:tcPr>
          <w:p w14:paraId="60DB431E" w14:textId="026BBB4B" w:rsidR="00A120B6" w:rsidRPr="00DE266D" w:rsidRDefault="006A0E28" w:rsidP="0062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6A0E28">
              <w:rPr>
                <w:rFonts w:ascii="Times New Roman" w:hAnsi="Times New Roman"/>
              </w:rPr>
              <w:t xml:space="preserve">Liepos 13 d. Estija prieš Europos Komisijos ETS reformos pasiūlymą siekė, kad nemokamos kvotos būtų skiriamos ir po 2040 m., o valstybės išlaikytų laisvę pačios spręsti, kaip naudoti ETS pajamas. Tačiau paskelbtame pasiūlyme </w:t>
            </w:r>
            <w:r w:rsidR="002342B6">
              <w:rPr>
                <w:rFonts w:ascii="Times New Roman" w:hAnsi="Times New Roman"/>
              </w:rPr>
              <w:t xml:space="preserve">EK </w:t>
            </w:r>
            <w:r w:rsidRPr="006A0E28">
              <w:rPr>
                <w:rFonts w:ascii="Times New Roman" w:hAnsi="Times New Roman"/>
              </w:rPr>
              <w:t xml:space="preserve">numatė kitaip: nemokamos kvotos energijai imliai pramonei (plienui, cementui) pratęsiamos tik iki 2038 m. ir tik su sąlyga (80 proc. gaunama turint aiškų dekarbonizacijos planą, likę 20 proc. – po investicijų), o bent 50 proc. ETS pajamų nuo šiol privalės grįžti į tą patį sektorių, iš kurio jos gautos – taigi visiška valstybių laisvė disponuoti lėšomis, kurios Estija norėjo, nebus užtikrinta. Be to, paaiškėjo, kad prieš Estiją, atsisakančią perkelti į </w:t>
            </w:r>
            <w:r w:rsidRPr="006A0E28">
              <w:rPr>
                <w:rFonts w:ascii="Times New Roman" w:hAnsi="Times New Roman"/>
              </w:rPr>
              <w:lastRenderedPageBreak/>
              <w:t>nacionalinę teisę ETS 2 (kurį premjeras Kristen Michal norėtų visai panaikinti), Komisija jau pradėjo pažeidimo procedūrą, o Estijoje ES klimato neutralumo tikslui pritaria tik 46 proc. gyventojų – mažiausiai visoje ES (vidurkis 81 proc.).</w:t>
            </w:r>
          </w:p>
        </w:tc>
        <w:tc>
          <w:tcPr>
            <w:tcW w:w="3866" w:type="dxa"/>
            <w:tcMar>
              <w:top w:w="29" w:type="dxa"/>
              <w:left w:w="115" w:type="dxa"/>
              <w:bottom w:w="29" w:type="dxa"/>
              <w:right w:w="115" w:type="dxa"/>
            </w:tcMar>
          </w:tcPr>
          <w:p w14:paraId="481AD1F6" w14:textId="77777777" w:rsidR="006A0E28" w:rsidRPr="00012FB1" w:rsidRDefault="006A0E28" w:rsidP="006A0E28">
            <w:pPr>
              <w:spacing w:after="0" w:line="240" w:lineRule="auto"/>
              <w:rPr>
                <w:rFonts w:ascii="Times New Roman" w:hAnsi="Times New Roman"/>
              </w:rPr>
            </w:pPr>
            <w:hyperlink r:id="rId31" w:history="1">
              <w:r w:rsidRPr="00012FB1">
                <w:rPr>
                  <w:rStyle w:val="Hyperlink"/>
                  <w:rFonts w:ascii="Times New Roman" w:hAnsi="Times New Roman"/>
                </w:rPr>
                <w:t>Estija nori, kad nemokamos emisijų kvotos būtų skirstomos ir po 2040 metų</w:t>
              </w:r>
            </w:hyperlink>
          </w:p>
          <w:p w14:paraId="0D46BA9C" w14:textId="77777777" w:rsidR="006A0E28" w:rsidRDefault="006A0E28" w:rsidP="00623648">
            <w:pPr>
              <w:spacing w:after="0" w:line="240" w:lineRule="auto"/>
            </w:pPr>
          </w:p>
          <w:p w14:paraId="56AAC2C5" w14:textId="7408B64E" w:rsidR="00A120B6" w:rsidRPr="00E8319D" w:rsidRDefault="006A0E28" w:rsidP="00623648">
            <w:pPr>
              <w:spacing w:after="0" w:line="240" w:lineRule="auto"/>
              <w:rPr>
                <w:rStyle w:val="Hyperlink"/>
                <w:rFonts w:ascii="Times New Roman" w:hAnsi="Times New Roman"/>
              </w:rPr>
            </w:pPr>
            <w:hyperlink r:id="rId32" w:history="1">
              <w:r w:rsidRPr="0046111D">
                <w:rPr>
                  <w:rStyle w:val="Hyperlink"/>
                  <w:rFonts w:ascii="Times New Roman" w:hAnsi="Times New Roman"/>
                </w:rPr>
                <w:t>Europos Komisijos atstovė Estijoje: ETS 2 komisija neketina keisti</w:t>
              </w:r>
            </w:hyperlink>
          </w:p>
        </w:tc>
        <w:tc>
          <w:tcPr>
            <w:tcW w:w="562" w:type="dxa"/>
            <w:tcMar>
              <w:top w:w="29" w:type="dxa"/>
              <w:left w:w="115" w:type="dxa"/>
              <w:bottom w:w="29" w:type="dxa"/>
              <w:right w:w="115" w:type="dxa"/>
            </w:tcMar>
          </w:tcPr>
          <w:p w14:paraId="6FFED67B" w14:textId="77777777" w:rsidR="00A120B6" w:rsidRPr="00CC5D0C" w:rsidRDefault="00A120B6" w:rsidP="00623648">
            <w:pPr>
              <w:spacing w:after="0" w:line="240" w:lineRule="auto"/>
              <w:rPr>
                <w:rFonts w:ascii="Times New Roman" w:hAnsi="Times New Roman"/>
              </w:rPr>
            </w:pPr>
          </w:p>
        </w:tc>
      </w:tr>
      <w:tr w:rsidR="00847D3A" w:rsidRPr="00524E4A" w14:paraId="5824DDD9" w14:textId="77777777" w:rsidTr="0009314F">
        <w:trPr>
          <w:trHeight w:val="216"/>
        </w:trPr>
        <w:tc>
          <w:tcPr>
            <w:tcW w:w="839" w:type="dxa"/>
            <w:tcMar>
              <w:top w:w="29" w:type="dxa"/>
              <w:left w:w="115" w:type="dxa"/>
              <w:bottom w:w="29" w:type="dxa"/>
              <w:right w:w="115" w:type="dxa"/>
            </w:tcMar>
          </w:tcPr>
          <w:p w14:paraId="580EDEED" w14:textId="5D795947" w:rsidR="00847D3A" w:rsidRDefault="00847D3A" w:rsidP="00623648">
            <w:pPr>
              <w:spacing w:after="0" w:line="240" w:lineRule="auto"/>
              <w:rPr>
                <w:rFonts w:ascii="Times New Roman" w:hAnsi="Times New Roman"/>
                <w:b/>
                <w:bCs/>
              </w:rPr>
            </w:pPr>
            <w:r>
              <w:rPr>
                <w:rFonts w:ascii="Times New Roman" w:hAnsi="Times New Roman"/>
                <w:b/>
                <w:bCs/>
              </w:rPr>
              <w:t>07-31</w:t>
            </w:r>
          </w:p>
        </w:tc>
        <w:tc>
          <w:tcPr>
            <w:tcW w:w="4829" w:type="dxa"/>
            <w:tcMar>
              <w:top w:w="29" w:type="dxa"/>
              <w:left w:w="115" w:type="dxa"/>
              <w:bottom w:w="29" w:type="dxa"/>
              <w:right w:w="115" w:type="dxa"/>
            </w:tcMar>
          </w:tcPr>
          <w:p w14:paraId="4D8AFD7E" w14:textId="79FCD9CD" w:rsidR="00847D3A" w:rsidRPr="006A0E28" w:rsidRDefault="00847D3A" w:rsidP="0062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47D3A">
              <w:rPr>
                <w:rFonts w:ascii="Times New Roman" w:hAnsi="Times New Roman"/>
              </w:rPr>
              <w:t>Estija toliau planingai skiria lėšas „Rail Baltic</w:t>
            </w:r>
            <w:r w:rsidR="002342B6">
              <w:rPr>
                <w:rFonts w:ascii="Times New Roman" w:hAnsi="Times New Roman"/>
              </w:rPr>
              <w:t>a</w:t>
            </w:r>
            <w:r w:rsidRPr="00847D3A">
              <w:rPr>
                <w:rFonts w:ascii="Times New Roman" w:hAnsi="Times New Roman"/>
              </w:rPr>
              <w:t>“</w:t>
            </w:r>
            <w:r>
              <w:rPr>
                <w:rFonts w:ascii="Times New Roman" w:hAnsi="Times New Roman"/>
              </w:rPr>
              <w:t xml:space="preserve">, </w:t>
            </w:r>
            <w:r w:rsidRPr="00847D3A">
              <w:rPr>
                <w:rFonts w:ascii="Times New Roman" w:hAnsi="Times New Roman"/>
              </w:rPr>
              <w:t>o 2027 m. numatytiems 686 mln. eurų statybos darbams kol kas garantuota tik 493 mln. – trūkstamą sumą klimato ministerija prašys rudens biudžeto derybose. Tuo tarpu Latvija jau mėnesius delsia pateikti oficialią poziciją dėl projekto, įskaitant galimą 2030 m. termino nukėlimą – ministras Kuldar Leis sako, kad atsakymo tikimasi rugsėjį (anksčiau kalbėta apie rugpjūtį), o „RB Rail“ tarybos pirmininkas Matiss Paegle vasarą teigė, kad Latvija tikrai nespės iki 2030 m. ir kiekviena diena be sprendimų projektą brangina apie 200 mln. eurų per metus.</w:t>
            </w:r>
          </w:p>
        </w:tc>
        <w:tc>
          <w:tcPr>
            <w:tcW w:w="3866" w:type="dxa"/>
            <w:tcMar>
              <w:top w:w="29" w:type="dxa"/>
              <w:left w:w="115" w:type="dxa"/>
              <w:bottom w:w="29" w:type="dxa"/>
              <w:right w:w="115" w:type="dxa"/>
            </w:tcMar>
          </w:tcPr>
          <w:p w14:paraId="34D8A385" w14:textId="77777777" w:rsidR="00847D3A" w:rsidRPr="00EC31DD" w:rsidRDefault="00847D3A" w:rsidP="00847D3A">
            <w:pPr>
              <w:spacing w:after="0" w:line="240" w:lineRule="auto"/>
              <w:rPr>
                <w:rFonts w:ascii="Times New Roman" w:hAnsi="Times New Roman"/>
              </w:rPr>
            </w:pPr>
            <w:hyperlink r:id="rId33" w:history="1">
              <w:r w:rsidRPr="00EC31DD">
                <w:rPr>
                  <w:rStyle w:val="Hyperlink"/>
                  <w:rFonts w:ascii="Times New Roman" w:hAnsi="Times New Roman"/>
                </w:rPr>
                <w:t>Leis: toliau laukiame oficialios Latvijos pozicijos dėl „Rail Baltica“</w:t>
              </w:r>
            </w:hyperlink>
          </w:p>
          <w:p w14:paraId="682BAAFB" w14:textId="77777777" w:rsidR="00847D3A" w:rsidRDefault="00847D3A" w:rsidP="006A0E28">
            <w:pPr>
              <w:spacing w:after="0" w:line="240" w:lineRule="auto"/>
            </w:pPr>
          </w:p>
        </w:tc>
        <w:tc>
          <w:tcPr>
            <w:tcW w:w="562" w:type="dxa"/>
            <w:tcMar>
              <w:top w:w="29" w:type="dxa"/>
              <w:left w:w="115" w:type="dxa"/>
              <w:bottom w:w="29" w:type="dxa"/>
              <w:right w:w="115" w:type="dxa"/>
            </w:tcMar>
          </w:tcPr>
          <w:p w14:paraId="6E4B41B6" w14:textId="77777777" w:rsidR="00847D3A" w:rsidRPr="00CC5D0C" w:rsidRDefault="00847D3A" w:rsidP="00623648">
            <w:pPr>
              <w:spacing w:after="0" w:line="240" w:lineRule="auto"/>
              <w:rPr>
                <w:rFonts w:ascii="Times New Roman" w:hAnsi="Times New Roman"/>
              </w:rPr>
            </w:pPr>
          </w:p>
        </w:tc>
      </w:tr>
    </w:tbl>
    <w:p w14:paraId="2AC1649B" w14:textId="77777777" w:rsidR="00A87864" w:rsidRPr="002B003B" w:rsidRDefault="00A87864" w:rsidP="00A87864">
      <w:pPr>
        <w:spacing w:after="0" w:line="240" w:lineRule="auto"/>
        <w:rPr>
          <w:rFonts w:ascii="Times New Roman" w:hAnsi="Times New Roman"/>
        </w:rPr>
      </w:pPr>
    </w:p>
    <w:p w14:paraId="330AC59D" w14:textId="77777777" w:rsidR="0057772B" w:rsidRPr="0057772B" w:rsidRDefault="0057772B" w:rsidP="0057772B">
      <w:pPr>
        <w:pStyle w:val="NoSpacing"/>
        <w:jc w:val="both"/>
        <w:rPr>
          <w:rFonts w:asciiTheme="majorBidi" w:hAnsiTheme="majorBidi" w:cstheme="majorBidi"/>
          <w:b/>
          <w:sz w:val="24"/>
          <w:szCs w:val="24"/>
        </w:rPr>
      </w:pPr>
    </w:p>
    <w:p w14:paraId="282DE2C2" w14:textId="4FFB2FEF" w:rsidR="009C0EE1" w:rsidRDefault="00225459" w:rsidP="00D6246E">
      <w:pPr>
        <w:spacing w:after="0" w:line="240" w:lineRule="auto"/>
        <w:rPr>
          <w:rFonts w:ascii="Times New Roman" w:hAnsi="Times New Roman"/>
          <w:sz w:val="20"/>
          <w:szCs w:val="20"/>
        </w:rPr>
      </w:pPr>
      <w:r w:rsidRPr="00524E4A">
        <w:rPr>
          <w:rFonts w:ascii="Times New Roman" w:hAnsi="Times New Roman"/>
          <w:sz w:val="20"/>
          <w:szCs w:val="20"/>
        </w:rPr>
        <w:t>Parengė</w:t>
      </w:r>
      <w:r w:rsidR="00826756">
        <w:rPr>
          <w:rFonts w:ascii="Times New Roman" w:hAnsi="Times New Roman"/>
          <w:sz w:val="20"/>
          <w:szCs w:val="20"/>
        </w:rPr>
        <w:t xml:space="preserve">: </w:t>
      </w:r>
      <w:r w:rsidR="00FF426F">
        <w:rPr>
          <w:rFonts w:ascii="Times New Roman" w:hAnsi="Times New Roman"/>
          <w:sz w:val="20"/>
          <w:szCs w:val="20"/>
        </w:rPr>
        <w:t>praktikantė Eglė Bertašiūtė</w:t>
      </w:r>
    </w:p>
    <w:p w14:paraId="4058375B" w14:textId="78B13BE8" w:rsidR="00792B4B" w:rsidRPr="003E4090" w:rsidRDefault="00792B4B" w:rsidP="00D6246E">
      <w:pPr>
        <w:spacing w:after="0" w:line="240" w:lineRule="auto"/>
        <w:rPr>
          <w:rFonts w:ascii="Times New Roman" w:hAnsi="Times New Roman"/>
          <w:sz w:val="20"/>
          <w:szCs w:val="20"/>
        </w:rPr>
      </w:pPr>
      <w:r>
        <w:rPr>
          <w:rFonts w:ascii="Times New Roman" w:hAnsi="Times New Roman"/>
          <w:sz w:val="20"/>
          <w:szCs w:val="20"/>
        </w:rPr>
        <w:t>Suderinta: ambasadorė Gitana Skripkaitė</w:t>
      </w:r>
    </w:p>
    <w:p w14:paraId="46E91230" w14:textId="42F99DEE" w:rsidR="00A338D5" w:rsidRPr="0041785B" w:rsidRDefault="00A338D5" w:rsidP="00F17AC1">
      <w:pPr>
        <w:spacing w:after="0" w:line="240" w:lineRule="auto"/>
        <w:rPr>
          <w:rFonts w:ascii="Times New Roman" w:hAnsi="Times New Roman"/>
          <w:sz w:val="20"/>
          <w:szCs w:val="20"/>
        </w:rPr>
      </w:pPr>
    </w:p>
    <w:sectPr w:rsidR="00A338D5" w:rsidRPr="0041785B" w:rsidSect="00F55B1B">
      <w:footerReference w:type="default" r:id="rId34"/>
      <w:headerReference w:type="first" r:id="rId3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88C95" w14:textId="77777777" w:rsidR="002E4F15" w:rsidRDefault="002E4F15">
      <w:pPr>
        <w:spacing w:after="0" w:line="240" w:lineRule="auto"/>
      </w:pPr>
      <w:r>
        <w:separator/>
      </w:r>
    </w:p>
  </w:endnote>
  <w:endnote w:type="continuationSeparator" w:id="0">
    <w:p w14:paraId="7B8407CD" w14:textId="77777777" w:rsidR="002E4F15" w:rsidRDefault="002E4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D7D9" w14:textId="0B8467EC" w:rsidR="00C708DF" w:rsidRDefault="00C708DF">
    <w:pPr>
      <w:pStyle w:val="Footer"/>
      <w:jc w:val="right"/>
    </w:pPr>
    <w:r>
      <w:fldChar w:fldCharType="begin"/>
    </w:r>
    <w:r>
      <w:instrText xml:space="preserve"> PAGE   \* MERGEFORMAT </w:instrText>
    </w:r>
    <w:r>
      <w:fldChar w:fldCharType="separate"/>
    </w:r>
    <w:r w:rsidR="00912529">
      <w:rPr>
        <w:noProof/>
      </w:rPr>
      <w:t>2</w:t>
    </w:r>
    <w:r>
      <w:rPr>
        <w:noProof/>
      </w:rPr>
      <w:fldChar w:fldCharType="end"/>
    </w:r>
  </w:p>
  <w:p w14:paraId="0DAA90D4" w14:textId="77777777" w:rsidR="00C708DF" w:rsidRDefault="00C70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CD34" w14:textId="77777777" w:rsidR="002E4F15" w:rsidRDefault="002E4F15">
      <w:pPr>
        <w:spacing w:after="0" w:line="240" w:lineRule="auto"/>
      </w:pPr>
      <w:r>
        <w:separator/>
      </w:r>
    </w:p>
  </w:footnote>
  <w:footnote w:type="continuationSeparator" w:id="0">
    <w:p w14:paraId="42A50547" w14:textId="77777777" w:rsidR="002E4F15" w:rsidRDefault="002E4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E123" w14:textId="77777777" w:rsidR="00C708DF" w:rsidRDefault="00C708DF" w:rsidP="00C330C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82255"/>
    <w:multiLevelType w:val="hybridMultilevel"/>
    <w:tmpl w:val="A7B2D6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7CF0E73"/>
    <w:multiLevelType w:val="hybridMultilevel"/>
    <w:tmpl w:val="43906ACA"/>
    <w:lvl w:ilvl="0" w:tplc="CA84D19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8922AF"/>
    <w:multiLevelType w:val="hybridMultilevel"/>
    <w:tmpl w:val="D91EDAB2"/>
    <w:lvl w:ilvl="0" w:tplc="EDEE637A">
      <w:start w:val="3"/>
      <w:numFmt w:val="bullet"/>
      <w:lvlText w:val="-"/>
      <w:lvlJc w:val="left"/>
      <w:pPr>
        <w:ind w:left="720" w:hanging="360"/>
      </w:pPr>
      <w:rPr>
        <w:rFonts w:ascii="Calibri" w:eastAsia="Calibri"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B12820"/>
    <w:multiLevelType w:val="hybridMultilevel"/>
    <w:tmpl w:val="1E7CCB04"/>
    <w:lvl w:ilvl="0" w:tplc="0DD878A0">
      <w:start w:val="3"/>
      <w:numFmt w:val="bullet"/>
      <w:lvlText w:val="-"/>
      <w:lvlJc w:val="left"/>
      <w:pPr>
        <w:ind w:left="720" w:hanging="360"/>
      </w:pPr>
      <w:rPr>
        <w:rFonts w:ascii="Calibri" w:eastAsia="Calibri"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852C0B"/>
    <w:multiLevelType w:val="hybridMultilevel"/>
    <w:tmpl w:val="B0DA48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11391B"/>
    <w:multiLevelType w:val="hybridMultilevel"/>
    <w:tmpl w:val="03DE94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6F53B3"/>
    <w:multiLevelType w:val="hybridMultilevel"/>
    <w:tmpl w:val="198A4C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893C12"/>
    <w:multiLevelType w:val="hybridMultilevel"/>
    <w:tmpl w:val="9E84D6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6C67AAA"/>
    <w:multiLevelType w:val="hybridMultilevel"/>
    <w:tmpl w:val="4ABED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8137452">
    <w:abstractNumId w:val="5"/>
  </w:num>
  <w:num w:numId="2" w16cid:durableId="315769895">
    <w:abstractNumId w:val="1"/>
  </w:num>
  <w:num w:numId="3" w16cid:durableId="1448696133">
    <w:abstractNumId w:val="4"/>
  </w:num>
  <w:num w:numId="4" w16cid:durableId="200945422">
    <w:abstractNumId w:val="0"/>
  </w:num>
  <w:num w:numId="5" w16cid:durableId="454179273">
    <w:abstractNumId w:val="6"/>
  </w:num>
  <w:num w:numId="6" w16cid:durableId="208300872">
    <w:abstractNumId w:val="7"/>
  </w:num>
  <w:num w:numId="7" w16cid:durableId="279655006">
    <w:abstractNumId w:val="8"/>
  </w:num>
  <w:num w:numId="8" w16cid:durableId="2081127659">
    <w:abstractNumId w:val="3"/>
  </w:num>
  <w:num w:numId="9" w16cid:durableId="1349135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i-FI"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6" w:nlCheck="1" w:checkStyle="0"/>
  <w:activeWritingStyle w:appName="MSWord" w:lang="ru-RU" w:vendorID="64" w:dllVersion="0" w:nlCheck="1" w:checkStyle="0"/>
  <w:activeWritingStyle w:appName="MSWord" w:lang="pl-PL" w:vendorID="64" w:dllVersion="0" w:nlCheck="1" w:checkStyle="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64"/>
    <w:rsid w:val="000009BF"/>
    <w:rsid w:val="00002389"/>
    <w:rsid w:val="00002D53"/>
    <w:rsid w:val="000056FB"/>
    <w:rsid w:val="00005EB9"/>
    <w:rsid w:val="00012FB1"/>
    <w:rsid w:val="000173D1"/>
    <w:rsid w:val="000231F6"/>
    <w:rsid w:val="00026B14"/>
    <w:rsid w:val="000309A8"/>
    <w:rsid w:val="00031344"/>
    <w:rsid w:val="000317A8"/>
    <w:rsid w:val="00032B1A"/>
    <w:rsid w:val="00032CA6"/>
    <w:rsid w:val="00032E8A"/>
    <w:rsid w:val="00034E52"/>
    <w:rsid w:val="00036128"/>
    <w:rsid w:val="000368D4"/>
    <w:rsid w:val="000403B9"/>
    <w:rsid w:val="00040489"/>
    <w:rsid w:val="000409B7"/>
    <w:rsid w:val="000413B8"/>
    <w:rsid w:val="00042619"/>
    <w:rsid w:val="00042EA8"/>
    <w:rsid w:val="000443C1"/>
    <w:rsid w:val="00045414"/>
    <w:rsid w:val="000467C1"/>
    <w:rsid w:val="00046B2C"/>
    <w:rsid w:val="00046FA4"/>
    <w:rsid w:val="000471D9"/>
    <w:rsid w:val="00050F29"/>
    <w:rsid w:val="00053879"/>
    <w:rsid w:val="00055637"/>
    <w:rsid w:val="00057971"/>
    <w:rsid w:val="0006447D"/>
    <w:rsid w:val="00065856"/>
    <w:rsid w:val="0007053E"/>
    <w:rsid w:val="0007099C"/>
    <w:rsid w:val="00071E06"/>
    <w:rsid w:val="00072213"/>
    <w:rsid w:val="0007236D"/>
    <w:rsid w:val="000774CB"/>
    <w:rsid w:val="00081266"/>
    <w:rsid w:val="000843FF"/>
    <w:rsid w:val="0009003A"/>
    <w:rsid w:val="000903D5"/>
    <w:rsid w:val="00091BD8"/>
    <w:rsid w:val="0009314F"/>
    <w:rsid w:val="00093AF1"/>
    <w:rsid w:val="000978EE"/>
    <w:rsid w:val="000A2735"/>
    <w:rsid w:val="000A41A1"/>
    <w:rsid w:val="000A5F87"/>
    <w:rsid w:val="000A69F3"/>
    <w:rsid w:val="000B22D8"/>
    <w:rsid w:val="000B2AD5"/>
    <w:rsid w:val="000C0EE7"/>
    <w:rsid w:val="000C0FFE"/>
    <w:rsid w:val="000C4229"/>
    <w:rsid w:val="000C4AFB"/>
    <w:rsid w:val="000C5678"/>
    <w:rsid w:val="000C5B6E"/>
    <w:rsid w:val="000C611E"/>
    <w:rsid w:val="000C6280"/>
    <w:rsid w:val="000D100A"/>
    <w:rsid w:val="000D35E1"/>
    <w:rsid w:val="000D60AB"/>
    <w:rsid w:val="000D7250"/>
    <w:rsid w:val="000D7291"/>
    <w:rsid w:val="000D7EA4"/>
    <w:rsid w:val="000E59ED"/>
    <w:rsid w:val="000E7544"/>
    <w:rsid w:val="000E7F8F"/>
    <w:rsid w:val="000F4180"/>
    <w:rsid w:val="000F7702"/>
    <w:rsid w:val="00100273"/>
    <w:rsid w:val="001015E8"/>
    <w:rsid w:val="001029BA"/>
    <w:rsid w:val="00102B3C"/>
    <w:rsid w:val="001038F6"/>
    <w:rsid w:val="00104C95"/>
    <w:rsid w:val="001054CA"/>
    <w:rsid w:val="0010553C"/>
    <w:rsid w:val="0010609F"/>
    <w:rsid w:val="0010644F"/>
    <w:rsid w:val="00110462"/>
    <w:rsid w:val="00110D34"/>
    <w:rsid w:val="00110E41"/>
    <w:rsid w:val="00111782"/>
    <w:rsid w:val="00111957"/>
    <w:rsid w:val="00113646"/>
    <w:rsid w:val="00113C7F"/>
    <w:rsid w:val="00114BE0"/>
    <w:rsid w:val="00115B09"/>
    <w:rsid w:val="00116AF1"/>
    <w:rsid w:val="001170E8"/>
    <w:rsid w:val="00121264"/>
    <w:rsid w:val="0012192F"/>
    <w:rsid w:val="001223C0"/>
    <w:rsid w:val="001228BB"/>
    <w:rsid w:val="001262B7"/>
    <w:rsid w:val="001266BA"/>
    <w:rsid w:val="00131E4A"/>
    <w:rsid w:val="0013250C"/>
    <w:rsid w:val="001329FE"/>
    <w:rsid w:val="00135648"/>
    <w:rsid w:val="00136370"/>
    <w:rsid w:val="0014684C"/>
    <w:rsid w:val="0014691D"/>
    <w:rsid w:val="00147326"/>
    <w:rsid w:val="001479AA"/>
    <w:rsid w:val="00147B5A"/>
    <w:rsid w:val="00151A8D"/>
    <w:rsid w:val="00154BAE"/>
    <w:rsid w:val="00155090"/>
    <w:rsid w:val="001567C7"/>
    <w:rsid w:val="001572DF"/>
    <w:rsid w:val="00160040"/>
    <w:rsid w:val="00160BD1"/>
    <w:rsid w:val="00162462"/>
    <w:rsid w:val="0016675E"/>
    <w:rsid w:val="00170F51"/>
    <w:rsid w:val="00173D4F"/>
    <w:rsid w:val="00180193"/>
    <w:rsid w:val="001807FF"/>
    <w:rsid w:val="00180A29"/>
    <w:rsid w:val="00180DFE"/>
    <w:rsid w:val="00181F59"/>
    <w:rsid w:val="001852BE"/>
    <w:rsid w:val="001860E8"/>
    <w:rsid w:val="00186D1B"/>
    <w:rsid w:val="001876D0"/>
    <w:rsid w:val="00191C2E"/>
    <w:rsid w:val="00195E14"/>
    <w:rsid w:val="001A1216"/>
    <w:rsid w:val="001A646E"/>
    <w:rsid w:val="001A769D"/>
    <w:rsid w:val="001B0A3E"/>
    <w:rsid w:val="001B462F"/>
    <w:rsid w:val="001B57AD"/>
    <w:rsid w:val="001B6CAD"/>
    <w:rsid w:val="001B79C5"/>
    <w:rsid w:val="001C30D9"/>
    <w:rsid w:val="001C4433"/>
    <w:rsid w:val="001C48F7"/>
    <w:rsid w:val="001C4D9A"/>
    <w:rsid w:val="001C7125"/>
    <w:rsid w:val="001D0728"/>
    <w:rsid w:val="001D4573"/>
    <w:rsid w:val="001D4CA4"/>
    <w:rsid w:val="001D5A02"/>
    <w:rsid w:val="001D60EF"/>
    <w:rsid w:val="001E0280"/>
    <w:rsid w:val="001E1188"/>
    <w:rsid w:val="001E2703"/>
    <w:rsid w:val="001E5122"/>
    <w:rsid w:val="001E5C3B"/>
    <w:rsid w:val="001E620C"/>
    <w:rsid w:val="001E6A91"/>
    <w:rsid w:val="001F0282"/>
    <w:rsid w:val="001F1583"/>
    <w:rsid w:val="001F1BC0"/>
    <w:rsid w:val="001F3C45"/>
    <w:rsid w:val="001F3E60"/>
    <w:rsid w:val="001F41D9"/>
    <w:rsid w:val="001F4F9A"/>
    <w:rsid w:val="001F514F"/>
    <w:rsid w:val="00200400"/>
    <w:rsid w:val="00201220"/>
    <w:rsid w:val="00201DC6"/>
    <w:rsid w:val="002022C6"/>
    <w:rsid w:val="002049C0"/>
    <w:rsid w:val="002103A0"/>
    <w:rsid w:val="002124D3"/>
    <w:rsid w:val="00212529"/>
    <w:rsid w:val="00213FDB"/>
    <w:rsid w:val="0021482A"/>
    <w:rsid w:val="00223322"/>
    <w:rsid w:val="00225459"/>
    <w:rsid w:val="0022583B"/>
    <w:rsid w:val="00226C1C"/>
    <w:rsid w:val="002310CA"/>
    <w:rsid w:val="0023137C"/>
    <w:rsid w:val="002313BC"/>
    <w:rsid w:val="0023268E"/>
    <w:rsid w:val="00232940"/>
    <w:rsid w:val="002342B6"/>
    <w:rsid w:val="002361E9"/>
    <w:rsid w:val="00237E45"/>
    <w:rsid w:val="00242DE5"/>
    <w:rsid w:val="00243372"/>
    <w:rsid w:val="002451B4"/>
    <w:rsid w:val="002469C5"/>
    <w:rsid w:val="00246D63"/>
    <w:rsid w:val="00247F5B"/>
    <w:rsid w:val="00251533"/>
    <w:rsid w:val="00253511"/>
    <w:rsid w:val="0025541B"/>
    <w:rsid w:val="00264EE4"/>
    <w:rsid w:val="00266373"/>
    <w:rsid w:val="00267CA3"/>
    <w:rsid w:val="0027041C"/>
    <w:rsid w:val="00273A14"/>
    <w:rsid w:val="00274F3A"/>
    <w:rsid w:val="00275023"/>
    <w:rsid w:val="002815BD"/>
    <w:rsid w:val="00281E91"/>
    <w:rsid w:val="00283009"/>
    <w:rsid w:val="0028335B"/>
    <w:rsid w:val="002872B9"/>
    <w:rsid w:val="0029061F"/>
    <w:rsid w:val="0029413B"/>
    <w:rsid w:val="00295571"/>
    <w:rsid w:val="002A2AB8"/>
    <w:rsid w:val="002A5318"/>
    <w:rsid w:val="002A5551"/>
    <w:rsid w:val="002A5D22"/>
    <w:rsid w:val="002B003B"/>
    <w:rsid w:val="002B07D9"/>
    <w:rsid w:val="002B102A"/>
    <w:rsid w:val="002B10E0"/>
    <w:rsid w:val="002B2B84"/>
    <w:rsid w:val="002B6ABD"/>
    <w:rsid w:val="002B7CD3"/>
    <w:rsid w:val="002C52ED"/>
    <w:rsid w:val="002D18FA"/>
    <w:rsid w:val="002D3A41"/>
    <w:rsid w:val="002D5040"/>
    <w:rsid w:val="002D5BB6"/>
    <w:rsid w:val="002D6311"/>
    <w:rsid w:val="002E1307"/>
    <w:rsid w:val="002E4F15"/>
    <w:rsid w:val="002E6AB9"/>
    <w:rsid w:val="002F0CF4"/>
    <w:rsid w:val="002F531E"/>
    <w:rsid w:val="002F570A"/>
    <w:rsid w:val="002F6259"/>
    <w:rsid w:val="002F62CA"/>
    <w:rsid w:val="002F687F"/>
    <w:rsid w:val="002F7342"/>
    <w:rsid w:val="002F7584"/>
    <w:rsid w:val="002F7FC1"/>
    <w:rsid w:val="00303493"/>
    <w:rsid w:val="00306229"/>
    <w:rsid w:val="00307E6C"/>
    <w:rsid w:val="00311599"/>
    <w:rsid w:val="0031276F"/>
    <w:rsid w:val="00313D98"/>
    <w:rsid w:val="00314698"/>
    <w:rsid w:val="0031618B"/>
    <w:rsid w:val="00322E82"/>
    <w:rsid w:val="003234F8"/>
    <w:rsid w:val="00323F3F"/>
    <w:rsid w:val="003249D1"/>
    <w:rsid w:val="00324BEB"/>
    <w:rsid w:val="0032589B"/>
    <w:rsid w:val="00327FF3"/>
    <w:rsid w:val="003310BD"/>
    <w:rsid w:val="00331338"/>
    <w:rsid w:val="00332EF3"/>
    <w:rsid w:val="0033409A"/>
    <w:rsid w:val="00334BBA"/>
    <w:rsid w:val="00340535"/>
    <w:rsid w:val="00340683"/>
    <w:rsid w:val="00341197"/>
    <w:rsid w:val="003419FC"/>
    <w:rsid w:val="00342760"/>
    <w:rsid w:val="00343844"/>
    <w:rsid w:val="00344E50"/>
    <w:rsid w:val="00347F2F"/>
    <w:rsid w:val="00361917"/>
    <w:rsid w:val="003639CA"/>
    <w:rsid w:val="00365ED1"/>
    <w:rsid w:val="003662CE"/>
    <w:rsid w:val="003718DD"/>
    <w:rsid w:val="003721A1"/>
    <w:rsid w:val="00372974"/>
    <w:rsid w:val="0037298D"/>
    <w:rsid w:val="00375876"/>
    <w:rsid w:val="00376FDB"/>
    <w:rsid w:val="00377089"/>
    <w:rsid w:val="00377AA8"/>
    <w:rsid w:val="00380158"/>
    <w:rsid w:val="0038029B"/>
    <w:rsid w:val="00381D6F"/>
    <w:rsid w:val="0039064E"/>
    <w:rsid w:val="00393F01"/>
    <w:rsid w:val="003942B0"/>
    <w:rsid w:val="003A0E24"/>
    <w:rsid w:val="003A19C3"/>
    <w:rsid w:val="003A3714"/>
    <w:rsid w:val="003A49BE"/>
    <w:rsid w:val="003A5F0C"/>
    <w:rsid w:val="003A74AD"/>
    <w:rsid w:val="003A7835"/>
    <w:rsid w:val="003A7C13"/>
    <w:rsid w:val="003A7F18"/>
    <w:rsid w:val="003B4645"/>
    <w:rsid w:val="003C0018"/>
    <w:rsid w:val="003C0796"/>
    <w:rsid w:val="003C0EB3"/>
    <w:rsid w:val="003C29C4"/>
    <w:rsid w:val="003C30AC"/>
    <w:rsid w:val="003D09BB"/>
    <w:rsid w:val="003D2A98"/>
    <w:rsid w:val="003D38F4"/>
    <w:rsid w:val="003D6F1C"/>
    <w:rsid w:val="003D740E"/>
    <w:rsid w:val="003E272E"/>
    <w:rsid w:val="003E4090"/>
    <w:rsid w:val="003F1129"/>
    <w:rsid w:val="003F1173"/>
    <w:rsid w:val="003F1A33"/>
    <w:rsid w:val="003F1E5F"/>
    <w:rsid w:val="003F4CBC"/>
    <w:rsid w:val="003F4D63"/>
    <w:rsid w:val="004008C6"/>
    <w:rsid w:val="00400A92"/>
    <w:rsid w:val="00403BA4"/>
    <w:rsid w:val="00404F58"/>
    <w:rsid w:val="00405A27"/>
    <w:rsid w:val="00406E28"/>
    <w:rsid w:val="00411903"/>
    <w:rsid w:val="00411AB4"/>
    <w:rsid w:val="00412885"/>
    <w:rsid w:val="004140E8"/>
    <w:rsid w:val="00417503"/>
    <w:rsid w:val="004207D3"/>
    <w:rsid w:val="00421A23"/>
    <w:rsid w:val="00421B78"/>
    <w:rsid w:val="00421BCD"/>
    <w:rsid w:val="00423C95"/>
    <w:rsid w:val="00424E25"/>
    <w:rsid w:val="00430F6A"/>
    <w:rsid w:val="004313F8"/>
    <w:rsid w:val="004324DE"/>
    <w:rsid w:val="00433834"/>
    <w:rsid w:val="00433AD8"/>
    <w:rsid w:val="00436C30"/>
    <w:rsid w:val="004372ED"/>
    <w:rsid w:val="004408D4"/>
    <w:rsid w:val="00441428"/>
    <w:rsid w:val="00446F63"/>
    <w:rsid w:val="00447CD1"/>
    <w:rsid w:val="004511B9"/>
    <w:rsid w:val="00452AA1"/>
    <w:rsid w:val="004537AA"/>
    <w:rsid w:val="00456B25"/>
    <w:rsid w:val="0046111D"/>
    <w:rsid w:val="00461C1A"/>
    <w:rsid w:val="004626E8"/>
    <w:rsid w:val="00462B80"/>
    <w:rsid w:val="004638EE"/>
    <w:rsid w:val="004648D6"/>
    <w:rsid w:val="00465A05"/>
    <w:rsid w:val="004660B6"/>
    <w:rsid w:val="00470EE6"/>
    <w:rsid w:val="004712F5"/>
    <w:rsid w:val="00471A8A"/>
    <w:rsid w:val="0047536D"/>
    <w:rsid w:val="00475A50"/>
    <w:rsid w:val="004768B2"/>
    <w:rsid w:val="00477126"/>
    <w:rsid w:val="00480377"/>
    <w:rsid w:val="0048375A"/>
    <w:rsid w:val="004838AA"/>
    <w:rsid w:val="00483CA9"/>
    <w:rsid w:val="00486C50"/>
    <w:rsid w:val="00491399"/>
    <w:rsid w:val="00496191"/>
    <w:rsid w:val="004A0928"/>
    <w:rsid w:val="004A207E"/>
    <w:rsid w:val="004A294B"/>
    <w:rsid w:val="004A2D07"/>
    <w:rsid w:val="004A3596"/>
    <w:rsid w:val="004A3E89"/>
    <w:rsid w:val="004A62D1"/>
    <w:rsid w:val="004A79E2"/>
    <w:rsid w:val="004A7DB6"/>
    <w:rsid w:val="004B0BAA"/>
    <w:rsid w:val="004B0EC6"/>
    <w:rsid w:val="004B1520"/>
    <w:rsid w:val="004B155A"/>
    <w:rsid w:val="004B275E"/>
    <w:rsid w:val="004B2B29"/>
    <w:rsid w:val="004B50C2"/>
    <w:rsid w:val="004B7235"/>
    <w:rsid w:val="004C075D"/>
    <w:rsid w:val="004C0F35"/>
    <w:rsid w:val="004C27E8"/>
    <w:rsid w:val="004C29A6"/>
    <w:rsid w:val="004C372F"/>
    <w:rsid w:val="004C6BE9"/>
    <w:rsid w:val="004D24E4"/>
    <w:rsid w:val="004D4ACF"/>
    <w:rsid w:val="004D6C56"/>
    <w:rsid w:val="004E06E4"/>
    <w:rsid w:val="004E387F"/>
    <w:rsid w:val="004E47A2"/>
    <w:rsid w:val="004E49E7"/>
    <w:rsid w:val="004E66C0"/>
    <w:rsid w:val="004E6852"/>
    <w:rsid w:val="004F00C7"/>
    <w:rsid w:val="004F4D18"/>
    <w:rsid w:val="004F6404"/>
    <w:rsid w:val="00501151"/>
    <w:rsid w:val="0050336A"/>
    <w:rsid w:val="00507990"/>
    <w:rsid w:val="00511C74"/>
    <w:rsid w:val="00512B93"/>
    <w:rsid w:val="005158E6"/>
    <w:rsid w:val="00515A9C"/>
    <w:rsid w:val="00515F7F"/>
    <w:rsid w:val="005168AD"/>
    <w:rsid w:val="00516980"/>
    <w:rsid w:val="00517C12"/>
    <w:rsid w:val="005205F7"/>
    <w:rsid w:val="0052096A"/>
    <w:rsid w:val="00521768"/>
    <w:rsid w:val="00521F05"/>
    <w:rsid w:val="00522A00"/>
    <w:rsid w:val="00522ECC"/>
    <w:rsid w:val="00524E4A"/>
    <w:rsid w:val="00525715"/>
    <w:rsid w:val="00526701"/>
    <w:rsid w:val="005274CF"/>
    <w:rsid w:val="00532C62"/>
    <w:rsid w:val="0053325E"/>
    <w:rsid w:val="00534AE5"/>
    <w:rsid w:val="00535D9B"/>
    <w:rsid w:val="00545BB0"/>
    <w:rsid w:val="0054794F"/>
    <w:rsid w:val="00547B72"/>
    <w:rsid w:val="0055014E"/>
    <w:rsid w:val="005525DA"/>
    <w:rsid w:val="0055416A"/>
    <w:rsid w:val="005579B9"/>
    <w:rsid w:val="00557BE6"/>
    <w:rsid w:val="005625CA"/>
    <w:rsid w:val="005635E2"/>
    <w:rsid w:val="00564044"/>
    <w:rsid w:val="00565DC7"/>
    <w:rsid w:val="00567225"/>
    <w:rsid w:val="005723F0"/>
    <w:rsid w:val="005733BC"/>
    <w:rsid w:val="00573799"/>
    <w:rsid w:val="00575074"/>
    <w:rsid w:val="005752D4"/>
    <w:rsid w:val="005755A7"/>
    <w:rsid w:val="00577295"/>
    <w:rsid w:val="0057772B"/>
    <w:rsid w:val="005802BB"/>
    <w:rsid w:val="005814AC"/>
    <w:rsid w:val="00583EAC"/>
    <w:rsid w:val="00584223"/>
    <w:rsid w:val="00584A62"/>
    <w:rsid w:val="005851D2"/>
    <w:rsid w:val="00586780"/>
    <w:rsid w:val="00587A60"/>
    <w:rsid w:val="00587BE9"/>
    <w:rsid w:val="00591978"/>
    <w:rsid w:val="00591D60"/>
    <w:rsid w:val="0059364E"/>
    <w:rsid w:val="00594792"/>
    <w:rsid w:val="00594E84"/>
    <w:rsid w:val="005973C8"/>
    <w:rsid w:val="00597405"/>
    <w:rsid w:val="005A279A"/>
    <w:rsid w:val="005A2FD0"/>
    <w:rsid w:val="005A3B19"/>
    <w:rsid w:val="005A411B"/>
    <w:rsid w:val="005A44AB"/>
    <w:rsid w:val="005A79DA"/>
    <w:rsid w:val="005A7C6F"/>
    <w:rsid w:val="005B01B3"/>
    <w:rsid w:val="005B0919"/>
    <w:rsid w:val="005B15DB"/>
    <w:rsid w:val="005B2676"/>
    <w:rsid w:val="005B31A4"/>
    <w:rsid w:val="005B35A2"/>
    <w:rsid w:val="005B45AB"/>
    <w:rsid w:val="005B5428"/>
    <w:rsid w:val="005B6EC2"/>
    <w:rsid w:val="005B7C2D"/>
    <w:rsid w:val="005C1CA0"/>
    <w:rsid w:val="005C539C"/>
    <w:rsid w:val="005D2CAF"/>
    <w:rsid w:val="005D69F8"/>
    <w:rsid w:val="005E3B0E"/>
    <w:rsid w:val="005E5DA6"/>
    <w:rsid w:val="005E626C"/>
    <w:rsid w:val="005E6AFB"/>
    <w:rsid w:val="005E7AF1"/>
    <w:rsid w:val="005F1E08"/>
    <w:rsid w:val="005F44D2"/>
    <w:rsid w:val="005F5009"/>
    <w:rsid w:val="005F5C82"/>
    <w:rsid w:val="006031BE"/>
    <w:rsid w:val="00603D88"/>
    <w:rsid w:val="006046E7"/>
    <w:rsid w:val="00604A7E"/>
    <w:rsid w:val="00605C77"/>
    <w:rsid w:val="006073AB"/>
    <w:rsid w:val="0060782A"/>
    <w:rsid w:val="00611103"/>
    <w:rsid w:val="00612B9E"/>
    <w:rsid w:val="006165B1"/>
    <w:rsid w:val="006222FE"/>
    <w:rsid w:val="00626C77"/>
    <w:rsid w:val="00626D2B"/>
    <w:rsid w:val="00630F4C"/>
    <w:rsid w:val="006313D4"/>
    <w:rsid w:val="006316BF"/>
    <w:rsid w:val="0063187B"/>
    <w:rsid w:val="00631B32"/>
    <w:rsid w:val="006340F9"/>
    <w:rsid w:val="00635422"/>
    <w:rsid w:val="00637316"/>
    <w:rsid w:val="006418F5"/>
    <w:rsid w:val="006422D8"/>
    <w:rsid w:val="0064262C"/>
    <w:rsid w:val="00643A0C"/>
    <w:rsid w:val="00646536"/>
    <w:rsid w:val="00651AE6"/>
    <w:rsid w:val="00651BCD"/>
    <w:rsid w:val="00652351"/>
    <w:rsid w:val="00652426"/>
    <w:rsid w:val="00652FDF"/>
    <w:rsid w:val="00653122"/>
    <w:rsid w:val="00653580"/>
    <w:rsid w:val="0066020E"/>
    <w:rsid w:val="006606EA"/>
    <w:rsid w:val="00661941"/>
    <w:rsid w:val="00662EB5"/>
    <w:rsid w:val="0067230E"/>
    <w:rsid w:val="00672C91"/>
    <w:rsid w:val="00674226"/>
    <w:rsid w:val="00675FC7"/>
    <w:rsid w:val="00680330"/>
    <w:rsid w:val="00681111"/>
    <w:rsid w:val="00681E5B"/>
    <w:rsid w:val="00686D76"/>
    <w:rsid w:val="0069053C"/>
    <w:rsid w:val="00692209"/>
    <w:rsid w:val="006932F9"/>
    <w:rsid w:val="006962A6"/>
    <w:rsid w:val="006A0E28"/>
    <w:rsid w:val="006A3D5F"/>
    <w:rsid w:val="006A44B4"/>
    <w:rsid w:val="006A4F3E"/>
    <w:rsid w:val="006A72E6"/>
    <w:rsid w:val="006B1409"/>
    <w:rsid w:val="006B1D3B"/>
    <w:rsid w:val="006B26D3"/>
    <w:rsid w:val="006B2849"/>
    <w:rsid w:val="006B30FA"/>
    <w:rsid w:val="006B4A5D"/>
    <w:rsid w:val="006B637B"/>
    <w:rsid w:val="006B654C"/>
    <w:rsid w:val="006B6561"/>
    <w:rsid w:val="006C040D"/>
    <w:rsid w:val="006C0BDC"/>
    <w:rsid w:val="006C1272"/>
    <w:rsid w:val="006C2C8A"/>
    <w:rsid w:val="006D493F"/>
    <w:rsid w:val="006D4AB2"/>
    <w:rsid w:val="006D53DE"/>
    <w:rsid w:val="006D6024"/>
    <w:rsid w:val="006E15F4"/>
    <w:rsid w:val="006E1EF5"/>
    <w:rsid w:val="006E2364"/>
    <w:rsid w:val="006E299E"/>
    <w:rsid w:val="006E5942"/>
    <w:rsid w:val="006F0109"/>
    <w:rsid w:val="006F183C"/>
    <w:rsid w:val="006F2354"/>
    <w:rsid w:val="006F2F6B"/>
    <w:rsid w:val="006F553B"/>
    <w:rsid w:val="007021B6"/>
    <w:rsid w:val="00703701"/>
    <w:rsid w:val="00703FF3"/>
    <w:rsid w:val="007048E3"/>
    <w:rsid w:val="007050ED"/>
    <w:rsid w:val="007052F7"/>
    <w:rsid w:val="0070697B"/>
    <w:rsid w:val="00707149"/>
    <w:rsid w:val="00710EF7"/>
    <w:rsid w:val="007122A0"/>
    <w:rsid w:val="007142F8"/>
    <w:rsid w:val="007146C2"/>
    <w:rsid w:val="00714F28"/>
    <w:rsid w:val="007166A7"/>
    <w:rsid w:val="00721A43"/>
    <w:rsid w:val="00730A23"/>
    <w:rsid w:val="007318CA"/>
    <w:rsid w:val="0073207D"/>
    <w:rsid w:val="0073259F"/>
    <w:rsid w:val="00732674"/>
    <w:rsid w:val="00732D84"/>
    <w:rsid w:val="00736710"/>
    <w:rsid w:val="007377A7"/>
    <w:rsid w:val="0074170E"/>
    <w:rsid w:val="00743E81"/>
    <w:rsid w:val="00745F01"/>
    <w:rsid w:val="007476C8"/>
    <w:rsid w:val="007502C0"/>
    <w:rsid w:val="00750777"/>
    <w:rsid w:val="00750C7F"/>
    <w:rsid w:val="007528CC"/>
    <w:rsid w:val="00752BCD"/>
    <w:rsid w:val="00753711"/>
    <w:rsid w:val="00757499"/>
    <w:rsid w:val="0076035E"/>
    <w:rsid w:val="00761C7A"/>
    <w:rsid w:val="00761E23"/>
    <w:rsid w:val="00761FB9"/>
    <w:rsid w:val="0076479B"/>
    <w:rsid w:val="0076515F"/>
    <w:rsid w:val="007744D1"/>
    <w:rsid w:val="00777692"/>
    <w:rsid w:val="00777C48"/>
    <w:rsid w:val="00781907"/>
    <w:rsid w:val="00782913"/>
    <w:rsid w:val="00784BE5"/>
    <w:rsid w:val="007855EF"/>
    <w:rsid w:val="00792B4B"/>
    <w:rsid w:val="007974AB"/>
    <w:rsid w:val="0079786F"/>
    <w:rsid w:val="007A0611"/>
    <w:rsid w:val="007A0FDE"/>
    <w:rsid w:val="007A143F"/>
    <w:rsid w:val="007A29FA"/>
    <w:rsid w:val="007A5385"/>
    <w:rsid w:val="007A78CC"/>
    <w:rsid w:val="007A7C2B"/>
    <w:rsid w:val="007B25EE"/>
    <w:rsid w:val="007B46D2"/>
    <w:rsid w:val="007B5033"/>
    <w:rsid w:val="007B6BF1"/>
    <w:rsid w:val="007B78F7"/>
    <w:rsid w:val="007C0D5D"/>
    <w:rsid w:val="007C2396"/>
    <w:rsid w:val="007C32F2"/>
    <w:rsid w:val="007C3A3D"/>
    <w:rsid w:val="007C4AC8"/>
    <w:rsid w:val="007C5A95"/>
    <w:rsid w:val="007D2666"/>
    <w:rsid w:val="007D6871"/>
    <w:rsid w:val="007E3BCB"/>
    <w:rsid w:val="007E4601"/>
    <w:rsid w:val="007E568F"/>
    <w:rsid w:val="007E5AAD"/>
    <w:rsid w:val="007F0F4D"/>
    <w:rsid w:val="007F14A9"/>
    <w:rsid w:val="007F61E6"/>
    <w:rsid w:val="007F63CA"/>
    <w:rsid w:val="007F6A6E"/>
    <w:rsid w:val="007F7DFF"/>
    <w:rsid w:val="00801B0C"/>
    <w:rsid w:val="008021E3"/>
    <w:rsid w:val="008039E1"/>
    <w:rsid w:val="00804D4C"/>
    <w:rsid w:val="0080576F"/>
    <w:rsid w:val="008064CA"/>
    <w:rsid w:val="008126C2"/>
    <w:rsid w:val="0081520E"/>
    <w:rsid w:val="008152E1"/>
    <w:rsid w:val="00816465"/>
    <w:rsid w:val="0081651E"/>
    <w:rsid w:val="00822D58"/>
    <w:rsid w:val="00825B86"/>
    <w:rsid w:val="0082630E"/>
    <w:rsid w:val="00826756"/>
    <w:rsid w:val="00826956"/>
    <w:rsid w:val="00831660"/>
    <w:rsid w:val="00831CC3"/>
    <w:rsid w:val="00832818"/>
    <w:rsid w:val="008342BE"/>
    <w:rsid w:val="00834957"/>
    <w:rsid w:val="00834C5E"/>
    <w:rsid w:val="00834F85"/>
    <w:rsid w:val="0083578A"/>
    <w:rsid w:val="00835E37"/>
    <w:rsid w:val="0084068D"/>
    <w:rsid w:val="008418B9"/>
    <w:rsid w:val="00842871"/>
    <w:rsid w:val="0084380F"/>
    <w:rsid w:val="00845DA1"/>
    <w:rsid w:val="00847D3A"/>
    <w:rsid w:val="00850A61"/>
    <w:rsid w:val="008521C9"/>
    <w:rsid w:val="00854536"/>
    <w:rsid w:val="008552AD"/>
    <w:rsid w:val="008553B9"/>
    <w:rsid w:val="00856398"/>
    <w:rsid w:val="00856647"/>
    <w:rsid w:val="0086436D"/>
    <w:rsid w:val="00864FBA"/>
    <w:rsid w:val="00865692"/>
    <w:rsid w:val="00866736"/>
    <w:rsid w:val="008711AB"/>
    <w:rsid w:val="0087173F"/>
    <w:rsid w:val="00872886"/>
    <w:rsid w:val="00877255"/>
    <w:rsid w:val="008854CA"/>
    <w:rsid w:val="00890909"/>
    <w:rsid w:val="00890C7B"/>
    <w:rsid w:val="008940FE"/>
    <w:rsid w:val="00894511"/>
    <w:rsid w:val="0089493E"/>
    <w:rsid w:val="008954E2"/>
    <w:rsid w:val="00895AE6"/>
    <w:rsid w:val="008A3640"/>
    <w:rsid w:val="008A556E"/>
    <w:rsid w:val="008B0A09"/>
    <w:rsid w:val="008B165C"/>
    <w:rsid w:val="008B2171"/>
    <w:rsid w:val="008B3072"/>
    <w:rsid w:val="008B39B0"/>
    <w:rsid w:val="008B7533"/>
    <w:rsid w:val="008C177A"/>
    <w:rsid w:val="008C18A4"/>
    <w:rsid w:val="008C1E71"/>
    <w:rsid w:val="008D3FC7"/>
    <w:rsid w:val="008D5F2D"/>
    <w:rsid w:val="008D7728"/>
    <w:rsid w:val="008D7ABF"/>
    <w:rsid w:val="008E012D"/>
    <w:rsid w:val="008E08CC"/>
    <w:rsid w:val="008E106C"/>
    <w:rsid w:val="008E1DBE"/>
    <w:rsid w:val="008E3013"/>
    <w:rsid w:val="008E3368"/>
    <w:rsid w:val="008F2321"/>
    <w:rsid w:val="008F2F85"/>
    <w:rsid w:val="008F30D0"/>
    <w:rsid w:val="008F6FA5"/>
    <w:rsid w:val="009003BA"/>
    <w:rsid w:val="00901756"/>
    <w:rsid w:val="00902426"/>
    <w:rsid w:val="00902BBD"/>
    <w:rsid w:val="00902DE9"/>
    <w:rsid w:val="00912529"/>
    <w:rsid w:val="00912A23"/>
    <w:rsid w:val="00914423"/>
    <w:rsid w:val="009148B6"/>
    <w:rsid w:val="00916B06"/>
    <w:rsid w:val="00922F5C"/>
    <w:rsid w:val="00926030"/>
    <w:rsid w:val="00927330"/>
    <w:rsid w:val="0093116A"/>
    <w:rsid w:val="009319ED"/>
    <w:rsid w:val="0093574E"/>
    <w:rsid w:val="00937808"/>
    <w:rsid w:val="00945255"/>
    <w:rsid w:val="009547C7"/>
    <w:rsid w:val="00956D61"/>
    <w:rsid w:val="009577A7"/>
    <w:rsid w:val="0095790F"/>
    <w:rsid w:val="00965CDD"/>
    <w:rsid w:val="009679B6"/>
    <w:rsid w:val="00967C73"/>
    <w:rsid w:val="00970DA7"/>
    <w:rsid w:val="0097280E"/>
    <w:rsid w:val="00973D0B"/>
    <w:rsid w:val="0097539A"/>
    <w:rsid w:val="009755C3"/>
    <w:rsid w:val="0097756A"/>
    <w:rsid w:val="0098014C"/>
    <w:rsid w:val="0098182C"/>
    <w:rsid w:val="009831FD"/>
    <w:rsid w:val="0098355F"/>
    <w:rsid w:val="00983CEC"/>
    <w:rsid w:val="0098645E"/>
    <w:rsid w:val="0099182E"/>
    <w:rsid w:val="009919DE"/>
    <w:rsid w:val="00991AD2"/>
    <w:rsid w:val="00994CC1"/>
    <w:rsid w:val="00994FD2"/>
    <w:rsid w:val="009957CB"/>
    <w:rsid w:val="009959F8"/>
    <w:rsid w:val="009A3812"/>
    <w:rsid w:val="009A39CD"/>
    <w:rsid w:val="009A3BCB"/>
    <w:rsid w:val="009A486C"/>
    <w:rsid w:val="009A4918"/>
    <w:rsid w:val="009A4B84"/>
    <w:rsid w:val="009A63FF"/>
    <w:rsid w:val="009B1443"/>
    <w:rsid w:val="009B5398"/>
    <w:rsid w:val="009B53DC"/>
    <w:rsid w:val="009C0EE1"/>
    <w:rsid w:val="009C1B30"/>
    <w:rsid w:val="009C28F9"/>
    <w:rsid w:val="009C2E15"/>
    <w:rsid w:val="009C49C5"/>
    <w:rsid w:val="009C6139"/>
    <w:rsid w:val="009C6382"/>
    <w:rsid w:val="009D2FFC"/>
    <w:rsid w:val="009D3D3D"/>
    <w:rsid w:val="009D4AB2"/>
    <w:rsid w:val="009D4BD4"/>
    <w:rsid w:val="009D50BF"/>
    <w:rsid w:val="009D5412"/>
    <w:rsid w:val="009E01F1"/>
    <w:rsid w:val="009E2AB7"/>
    <w:rsid w:val="009E3A5A"/>
    <w:rsid w:val="009E4458"/>
    <w:rsid w:val="009E5FF0"/>
    <w:rsid w:val="009F0365"/>
    <w:rsid w:val="009F2901"/>
    <w:rsid w:val="009F5620"/>
    <w:rsid w:val="009F5CE7"/>
    <w:rsid w:val="009F6310"/>
    <w:rsid w:val="009F6731"/>
    <w:rsid w:val="00A01479"/>
    <w:rsid w:val="00A0367E"/>
    <w:rsid w:val="00A03863"/>
    <w:rsid w:val="00A055F8"/>
    <w:rsid w:val="00A074EB"/>
    <w:rsid w:val="00A120B6"/>
    <w:rsid w:val="00A135AE"/>
    <w:rsid w:val="00A17867"/>
    <w:rsid w:val="00A2311D"/>
    <w:rsid w:val="00A23A3F"/>
    <w:rsid w:val="00A24C5C"/>
    <w:rsid w:val="00A2559D"/>
    <w:rsid w:val="00A258E6"/>
    <w:rsid w:val="00A26A6E"/>
    <w:rsid w:val="00A273EB"/>
    <w:rsid w:val="00A3134A"/>
    <w:rsid w:val="00A31942"/>
    <w:rsid w:val="00A3206B"/>
    <w:rsid w:val="00A338D5"/>
    <w:rsid w:val="00A35474"/>
    <w:rsid w:val="00A35C6F"/>
    <w:rsid w:val="00A421CB"/>
    <w:rsid w:val="00A4424D"/>
    <w:rsid w:val="00A450F2"/>
    <w:rsid w:val="00A45E92"/>
    <w:rsid w:val="00A547F7"/>
    <w:rsid w:val="00A54CE1"/>
    <w:rsid w:val="00A55E4E"/>
    <w:rsid w:val="00A57500"/>
    <w:rsid w:val="00A64360"/>
    <w:rsid w:val="00A64DF7"/>
    <w:rsid w:val="00A64E12"/>
    <w:rsid w:val="00A67084"/>
    <w:rsid w:val="00A70071"/>
    <w:rsid w:val="00A73471"/>
    <w:rsid w:val="00A77EF3"/>
    <w:rsid w:val="00A802D2"/>
    <w:rsid w:val="00A813EA"/>
    <w:rsid w:val="00A83EAC"/>
    <w:rsid w:val="00A86886"/>
    <w:rsid w:val="00A87864"/>
    <w:rsid w:val="00A90BFA"/>
    <w:rsid w:val="00A918E9"/>
    <w:rsid w:val="00A942AE"/>
    <w:rsid w:val="00A94374"/>
    <w:rsid w:val="00A94912"/>
    <w:rsid w:val="00AA17B8"/>
    <w:rsid w:val="00AA181F"/>
    <w:rsid w:val="00AA186F"/>
    <w:rsid w:val="00AA2DBB"/>
    <w:rsid w:val="00AA69E9"/>
    <w:rsid w:val="00AA749B"/>
    <w:rsid w:val="00AB2A19"/>
    <w:rsid w:val="00AB3543"/>
    <w:rsid w:val="00AB5870"/>
    <w:rsid w:val="00AB7CFE"/>
    <w:rsid w:val="00AC0E4A"/>
    <w:rsid w:val="00AC1B66"/>
    <w:rsid w:val="00AC430F"/>
    <w:rsid w:val="00AC6F3E"/>
    <w:rsid w:val="00AD4C4E"/>
    <w:rsid w:val="00AD686F"/>
    <w:rsid w:val="00AD7796"/>
    <w:rsid w:val="00AE022F"/>
    <w:rsid w:val="00AE3501"/>
    <w:rsid w:val="00AE36AD"/>
    <w:rsid w:val="00AE5575"/>
    <w:rsid w:val="00AE6466"/>
    <w:rsid w:val="00AE6AE0"/>
    <w:rsid w:val="00AE7120"/>
    <w:rsid w:val="00AE7B57"/>
    <w:rsid w:val="00AF0625"/>
    <w:rsid w:val="00AF19FB"/>
    <w:rsid w:val="00AF1A46"/>
    <w:rsid w:val="00AF1D4C"/>
    <w:rsid w:val="00AF2ABB"/>
    <w:rsid w:val="00AF3800"/>
    <w:rsid w:val="00AF41F4"/>
    <w:rsid w:val="00AF7B09"/>
    <w:rsid w:val="00B01D2A"/>
    <w:rsid w:val="00B0345B"/>
    <w:rsid w:val="00B12688"/>
    <w:rsid w:val="00B2072E"/>
    <w:rsid w:val="00B211B9"/>
    <w:rsid w:val="00B2136D"/>
    <w:rsid w:val="00B24EB8"/>
    <w:rsid w:val="00B267FD"/>
    <w:rsid w:val="00B272B7"/>
    <w:rsid w:val="00B27477"/>
    <w:rsid w:val="00B31537"/>
    <w:rsid w:val="00B318B9"/>
    <w:rsid w:val="00B31957"/>
    <w:rsid w:val="00B32D8C"/>
    <w:rsid w:val="00B35495"/>
    <w:rsid w:val="00B3639E"/>
    <w:rsid w:val="00B363ED"/>
    <w:rsid w:val="00B36D10"/>
    <w:rsid w:val="00B40678"/>
    <w:rsid w:val="00B4075C"/>
    <w:rsid w:val="00B40A97"/>
    <w:rsid w:val="00B40F73"/>
    <w:rsid w:val="00B431E9"/>
    <w:rsid w:val="00B433FA"/>
    <w:rsid w:val="00B44FF2"/>
    <w:rsid w:val="00B5167A"/>
    <w:rsid w:val="00B56023"/>
    <w:rsid w:val="00B61A82"/>
    <w:rsid w:val="00B62CD0"/>
    <w:rsid w:val="00B63D78"/>
    <w:rsid w:val="00B64545"/>
    <w:rsid w:val="00B657A3"/>
    <w:rsid w:val="00B726C6"/>
    <w:rsid w:val="00B732A9"/>
    <w:rsid w:val="00B77B45"/>
    <w:rsid w:val="00B802A7"/>
    <w:rsid w:val="00B81843"/>
    <w:rsid w:val="00B82482"/>
    <w:rsid w:val="00B856EF"/>
    <w:rsid w:val="00B865BC"/>
    <w:rsid w:val="00B866B9"/>
    <w:rsid w:val="00B91346"/>
    <w:rsid w:val="00B956C2"/>
    <w:rsid w:val="00BA107F"/>
    <w:rsid w:val="00BA12C5"/>
    <w:rsid w:val="00BA70FF"/>
    <w:rsid w:val="00BA7680"/>
    <w:rsid w:val="00BB52C8"/>
    <w:rsid w:val="00BB6EDC"/>
    <w:rsid w:val="00BB78C2"/>
    <w:rsid w:val="00BC0E46"/>
    <w:rsid w:val="00BC21F0"/>
    <w:rsid w:val="00BC22F7"/>
    <w:rsid w:val="00BC328D"/>
    <w:rsid w:val="00BC4E8B"/>
    <w:rsid w:val="00BC5B68"/>
    <w:rsid w:val="00BC5F11"/>
    <w:rsid w:val="00BC6021"/>
    <w:rsid w:val="00BC6A55"/>
    <w:rsid w:val="00BD21B8"/>
    <w:rsid w:val="00BD29B3"/>
    <w:rsid w:val="00BD46D7"/>
    <w:rsid w:val="00BD665B"/>
    <w:rsid w:val="00BD7BDA"/>
    <w:rsid w:val="00BE1A23"/>
    <w:rsid w:val="00BE4A3E"/>
    <w:rsid w:val="00BE5C16"/>
    <w:rsid w:val="00BF0903"/>
    <w:rsid w:val="00BF46AB"/>
    <w:rsid w:val="00BF4ACA"/>
    <w:rsid w:val="00BF7603"/>
    <w:rsid w:val="00C00B0B"/>
    <w:rsid w:val="00C059BB"/>
    <w:rsid w:val="00C11535"/>
    <w:rsid w:val="00C120AF"/>
    <w:rsid w:val="00C2186F"/>
    <w:rsid w:val="00C23D9F"/>
    <w:rsid w:val="00C246F3"/>
    <w:rsid w:val="00C24EE5"/>
    <w:rsid w:val="00C26829"/>
    <w:rsid w:val="00C3072C"/>
    <w:rsid w:val="00C321B9"/>
    <w:rsid w:val="00C330CC"/>
    <w:rsid w:val="00C332B6"/>
    <w:rsid w:val="00C33FFC"/>
    <w:rsid w:val="00C418D8"/>
    <w:rsid w:val="00C41C51"/>
    <w:rsid w:val="00C449BD"/>
    <w:rsid w:val="00C451EC"/>
    <w:rsid w:val="00C45B11"/>
    <w:rsid w:val="00C47BDC"/>
    <w:rsid w:val="00C511E1"/>
    <w:rsid w:val="00C5363A"/>
    <w:rsid w:val="00C5631F"/>
    <w:rsid w:val="00C62D23"/>
    <w:rsid w:val="00C62DB4"/>
    <w:rsid w:val="00C63EF6"/>
    <w:rsid w:val="00C64F7C"/>
    <w:rsid w:val="00C6573E"/>
    <w:rsid w:val="00C65C3F"/>
    <w:rsid w:val="00C674DB"/>
    <w:rsid w:val="00C6766E"/>
    <w:rsid w:val="00C67C7A"/>
    <w:rsid w:val="00C708DF"/>
    <w:rsid w:val="00C7221D"/>
    <w:rsid w:val="00C735FF"/>
    <w:rsid w:val="00C73ED5"/>
    <w:rsid w:val="00C73FA6"/>
    <w:rsid w:val="00C748EE"/>
    <w:rsid w:val="00C75368"/>
    <w:rsid w:val="00C75730"/>
    <w:rsid w:val="00C8036F"/>
    <w:rsid w:val="00C8049E"/>
    <w:rsid w:val="00C83A31"/>
    <w:rsid w:val="00C91894"/>
    <w:rsid w:val="00C96647"/>
    <w:rsid w:val="00C973F8"/>
    <w:rsid w:val="00CA0DCD"/>
    <w:rsid w:val="00CA1236"/>
    <w:rsid w:val="00CA2024"/>
    <w:rsid w:val="00CB2222"/>
    <w:rsid w:val="00CB50B7"/>
    <w:rsid w:val="00CB5687"/>
    <w:rsid w:val="00CC1AE2"/>
    <w:rsid w:val="00CC33CE"/>
    <w:rsid w:val="00CC5D0C"/>
    <w:rsid w:val="00CC6D2E"/>
    <w:rsid w:val="00CD0116"/>
    <w:rsid w:val="00CD5314"/>
    <w:rsid w:val="00CD5B3E"/>
    <w:rsid w:val="00CD6101"/>
    <w:rsid w:val="00CD71F2"/>
    <w:rsid w:val="00CE0256"/>
    <w:rsid w:val="00CE120E"/>
    <w:rsid w:val="00CE51BB"/>
    <w:rsid w:val="00CE5BB9"/>
    <w:rsid w:val="00CF3DF3"/>
    <w:rsid w:val="00CF6D75"/>
    <w:rsid w:val="00CF741C"/>
    <w:rsid w:val="00CF78C2"/>
    <w:rsid w:val="00D0028C"/>
    <w:rsid w:val="00D02405"/>
    <w:rsid w:val="00D03027"/>
    <w:rsid w:val="00D13C60"/>
    <w:rsid w:val="00D13F2B"/>
    <w:rsid w:val="00D15824"/>
    <w:rsid w:val="00D21134"/>
    <w:rsid w:val="00D23EDA"/>
    <w:rsid w:val="00D25021"/>
    <w:rsid w:val="00D270A6"/>
    <w:rsid w:val="00D30242"/>
    <w:rsid w:val="00D3287F"/>
    <w:rsid w:val="00D32C2B"/>
    <w:rsid w:val="00D3451F"/>
    <w:rsid w:val="00D35DBE"/>
    <w:rsid w:val="00D3717E"/>
    <w:rsid w:val="00D418DC"/>
    <w:rsid w:val="00D419AF"/>
    <w:rsid w:val="00D44E67"/>
    <w:rsid w:val="00D45747"/>
    <w:rsid w:val="00D47DEA"/>
    <w:rsid w:val="00D510C7"/>
    <w:rsid w:val="00D52DBF"/>
    <w:rsid w:val="00D54206"/>
    <w:rsid w:val="00D6246E"/>
    <w:rsid w:val="00D636BE"/>
    <w:rsid w:val="00D653EF"/>
    <w:rsid w:val="00D65D1E"/>
    <w:rsid w:val="00D67701"/>
    <w:rsid w:val="00D724DA"/>
    <w:rsid w:val="00D73990"/>
    <w:rsid w:val="00D75358"/>
    <w:rsid w:val="00D754CD"/>
    <w:rsid w:val="00D806EB"/>
    <w:rsid w:val="00D834F9"/>
    <w:rsid w:val="00D87853"/>
    <w:rsid w:val="00D9146A"/>
    <w:rsid w:val="00D91744"/>
    <w:rsid w:val="00D92676"/>
    <w:rsid w:val="00D9299D"/>
    <w:rsid w:val="00D93563"/>
    <w:rsid w:val="00D94025"/>
    <w:rsid w:val="00D95C6A"/>
    <w:rsid w:val="00D96C23"/>
    <w:rsid w:val="00D97AAF"/>
    <w:rsid w:val="00DA0FC9"/>
    <w:rsid w:val="00DB0478"/>
    <w:rsid w:val="00DB071C"/>
    <w:rsid w:val="00DB0A5F"/>
    <w:rsid w:val="00DB0D51"/>
    <w:rsid w:val="00DB1939"/>
    <w:rsid w:val="00DB2447"/>
    <w:rsid w:val="00DB53A6"/>
    <w:rsid w:val="00DC1530"/>
    <w:rsid w:val="00DC1F46"/>
    <w:rsid w:val="00DC32D8"/>
    <w:rsid w:val="00DC3BFB"/>
    <w:rsid w:val="00DC3F78"/>
    <w:rsid w:val="00DC5964"/>
    <w:rsid w:val="00DD2A98"/>
    <w:rsid w:val="00DD36E0"/>
    <w:rsid w:val="00DD37E6"/>
    <w:rsid w:val="00DD3CBF"/>
    <w:rsid w:val="00DE266D"/>
    <w:rsid w:val="00DE35BA"/>
    <w:rsid w:val="00DE5799"/>
    <w:rsid w:val="00DF0442"/>
    <w:rsid w:val="00DF0DD1"/>
    <w:rsid w:val="00DF12FE"/>
    <w:rsid w:val="00DF5172"/>
    <w:rsid w:val="00DF5DB6"/>
    <w:rsid w:val="00DF6C1C"/>
    <w:rsid w:val="00DF7EEB"/>
    <w:rsid w:val="00E00E03"/>
    <w:rsid w:val="00E0154E"/>
    <w:rsid w:val="00E01774"/>
    <w:rsid w:val="00E05A8F"/>
    <w:rsid w:val="00E060A3"/>
    <w:rsid w:val="00E10173"/>
    <w:rsid w:val="00E10937"/>
    <w:rsid w:val="00E11AC8"/>
    <w:rsid w:val="00E13FBD"/>
    <w:rsid w:val="00E14CB7"/>
    <w:rsid w:val="00E16A13"/>
    <w:rsid w:val="00E1775E"/>
    <w:rsid w:val="00E20F2C"/>
    <w:rsid w:val="00E216C3"/>
    <w:rsid w:val="00E21FB7"/>
    <w:rsid w:val="00E22139"/>
    <w:rsid w:val="00E24A68"/>
    <w:rsid w:val="00E264FE"/>
    <w:rsid w:val="00E2682D"/>
    <w:rsid w:val="00E3476C"/>
    <w:rsid w:val="00E373B4"/>
    <w:rsid w:val="00E42D82"/>
    <w:rsid w:val="00E44EF2"/>
    <w:rsid w:val="00E451CB"/>
    <w:rsid w:val="00E45835"/>
    <w:rsid w:val="00E52D6E"/>
    <w:rsid w:val="00E53589"/>
    <w:rsid w:val="00E54318"/>
    <w:rsid w:val="00E55A0F"/>
    <w:rsid w:val="00E56D69"/>
    <w:rsid w:val="00E610DB"/>
    <w:rsid w:val="00E61A4C"/>
    <w:rsid w:val="00E61EB0"/>
    <w:rsid w:val="00E6397D"/>
    <w:rsid w:val="00E66D3D"/>
    <w:rsid w:val="00E6794F"/>
    <w:rsid w:val="00E70458"/>
    <w:rsid w:val="00E71A23"/>
    <w:rsid w:val="00E726EF"/>
    <w:rsid w:val="00E72891"/>
    <w:rsid w:val="00E7324F"/>
    <w:rsid w:val="00E73EA1"/>
    <w:rsid w:val="00E7633E"/>
    <w:rsid w:val="00E77801"/>
    <w:rsid w:val="00E77933"/>
    <w:rsid w:val="00E8185D"/>
    <w:rsid w:val="00E8264A"/>
    <w:rsid w:val="00E829FC"/>
    <w:rsid w:val="00E82D52"/>
    <w:rsid w:val="00E82E93"/>
    <w:rsid w:val="00E8319D"/>
    <w:rsid w:val="00E84EB3"/>
    <w:rsid w:val="00E8553A"/>
    <w:rsid w:val="00E948EA"/>
    <w:rsid w:val="00E954CF"/>
    <w:rsid w:val="00E960AC"/>
    <w:rsid w:val="00E97D92"/>
    <w:rsid w:val="00EA47E8"/>
    <w:rsid w:val="00EA6730"/>
    <w:rsid w:val="00EB0BEC"/>
    <w:rsid w:val="00EB0DA3"/>
    <w:rsid w:val="00EB3D74"/>
    <w:rsid w:val="00EC111F"/>
    <w:rsid w:val="00EC31DD"/>
    <w:rsid w:val="00EC4751"/>
    <w:rsid w:val="00EC7609"/>
    <w:rsid w:val="00EC7D81"/>
    <w:rsid w:val="00ED15A9"/>
    <w:rsid w:val="00ED32D4"/>
    <w:rsid w:val="00ED3465"/>
    <w:rsid w:val="00ED3ED6"/>
    <w:rsid w:val="00ED709D"/>
    <w:rsid w:val="00ED77D3"/>
    <w:rsid w:val="00EE0573"/>
    <w:rsid w:val="00EE05BE"/>
    <w:rsid w:val="00EE0650"/>
    <w:rsid w:val="00EE37E1"/>
    <w:rsid w:val="00EE617A"/>
    <w:rsid w:val="00EF3AD2"/>
    <w:rsid w:val="00F03838"/>
    <w:rsid w:val="00F04ADA"/>
    <w:rsid w:val="00F05CC2"/>
    <w:rsid w:val="00F1001D"/>
    <w:rsid w:val="00F15DCA"/>
    <w:rsid w:val="00F17459"/>
    <w:rsid w:val="00F17AC1"/>
    <w:rsid w:val="00F24162"/>
    <w:rsid w:val="00F2441F"/>
    <w:rsid w:val="00F26124"/>
    <w:rsid w:val="00F307F9"/>
    <w:rsid w:val="00F31D69"/>
    <w:rsid w:val="00F32457"/>
    <w:rsid w:val="00F32B22"/>
    <w:rsid w:val="00F340A4"/>
    <w:rsid w:val="00F34BDC"/>
    <w:rsid w:val="00F416CB"/>
    <w:rsid w:val="00F443A9"/>
    <w:rsid w:val="00F45D46"/>
    <w:rsid w:val="00F45DEE"/>
    <w:rsid w:val="00F46142"/>
    <w:rsid w:val="00F4616C"/>
    <w:rsid w:val="00F53084"/>
    <w:rsid w:val="00F54D74"/>
    <w:rsid w:val="00F54F7F"/>
    <w:rsid w:val="00F557DF"/>
    <w:rsid w:val="00F55B1B"/>
    <w:rsid w:val="00F563B0"/>
    <w:rsid w:val="00F56AAE"/>
    <w:rsid w:val="00F642E7"/>
    <w:rsid w:val="00F658C2"/>
    <w:rsid w:val="00F67172"/>
    <w:rsid w:val="00F721B0"/>
    <w:rsid w:val="00F736B4"/>
    <w:rsid w:val="00F8506D"/>
    <w:rsid w:val="00F86478"/>
    <w:rsid w:val="00F8787F"/>
    <w:rsid w:val="00F90F12"/>
    <w:rsid w:val="00F91D80"/>
    <w:rsid w:val="00F91E04"/>
    <w:rsid w:val="00F92A4D"/>
    <w:rsid w:val="00F93579"/>
    <w:rsid w:val="00F955D1"/>
    <w:rsid w:val="00F962CB"/>
    <w:rsid w:val="00FA0FE8"/>
    <w:rsid w:val="00FA360B"/>
    <w:rsid w:val="00FA4F31"/>
    <w:rsid w:val="00FA5EB2"/>
    <w:rsid w:val="00FA72BB"/>
    <w:rsid w:val="00FB3206"/>
    <w:rsid w:val="00FB48F3"/>
    <w:rsid w:val="00FB6472"/>
    <w:rsid w:val="00FC0FF9"/>
    <w:rsid w:val="00FC131F"/>
    <w:rsid w:val="00FC38AF"/>
    <w:rsid w:val="00FC786D"/>
    <w:rsid w:val="00FC79C6"/>
    <w:rsid w:val="00FD0E81"/>
    <w:rsid w:val="00FD2716"/>
    <w:rsid w:val="00FD325E"/>
    <w:rsid w:val="00FD57A3"/>
    <w:rsid w:val="00FD5CAF"/>
    <w:rsid w:val="00FD5EF8"/>
    <w:rsid w:val="00FD7374"/>
    <w:rsid w:val="00FD7CD9"/>
    <w:rsid w:val="00FD7DD4"/>
    <w:rsid w:val="00FE38FF"/>
    <w:rsid w:val="00FE5123"/>
    <w:rsid w:val="00FE558F"/>
    <w:rsid w:val="00FE567E"/>
    <w:rsid w:val="00FE65E5"/>
    <w:rsid w:val="00FF22D8"/>
    <w:rsid w:val="00FF2A6C"/>
    <w:rsid w:val="00FF426F"/>
    <w:rsid w:val="00FF4F01"/>
  </w:rsids>
  <m:mathPr>
    <m:mathFont m:val="Cambria Math"/>
    <m:brkBin m:val="before"/>
    <m:brkBinSub m:val="--"/>
    <m:smallFrac m:val="0"/>
    <m:dispDef/>
    <m:lMargin m:val="0"/>
    <m:rMargin m:val="0"/>
    <m:defJc m:val="centerGroup"/>
    <m:wrapIndent m:val="1440"/>
    <m:intLim m:val="subSup"/>
    <m:naryLim m:val="undOvr"/>
  </m:mathPr>
  <w:themeFontLang w:val="lt-LT"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D88DD"/>
  <w15:docId w15:val="{DE9DBD8C-4CA1-463A-8DA8-DC3D2982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64"/>
    <w:pPr>
      <w:spacing w:after="200" w:line="276" w:lineRule="auto"/>
    </w:pPr>
    <w:rPr>
      <w:rFonts w:eastAsia="Calibri"/>
      <w:sz w:val="22"/>
      <w:szCs w:val="22"/>
      <w:lang w:eastAsia="en-US"/>
    </w:rPr>
  </w:style>
  <w:style w:type="paragraph" w:styleId="Heading1">
    <w:name w:val="heading 1"/>
    <w:basedOn w:val="Normal"/>
    <w:next w:val="Normal"/>
    <w:link w:val="Heading1Char"/>
    <w:qFormat/>
    <w:rsid w:val="00A87864"/>
    <w:pPr>
      <w:jc w:val="center"/>
      <w:outlineLvl w:val="0"/>
    </w:pPr>
    <w:rPr>
      <w:rFonts w:ascii="Garamond" w:eastAsia="Times New Roman" w:hAnsi="Garamond" w:cs="Arial"/>
      <w:caps/>
      <w:color w:val="4F6228"/>
      <w:sz w:val="16"/>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7864"/>
    <w:rPr>
      <w:rFonts w:ascii="Garamond" w:eastAsia="Times New Roman" w:hAnsi="Garamond" w:cs="Arial"/>
      <w:caps/>
      <w:color w:val="4F6228"/>
      <w:sz w:val="16"/>
      <w:szCs w:val="32"/>
      <w:lang w:val="en-US" w:eastAsia="en-US"/>
    </w:rPr>
  </w:style>
  <w:style w:type="paragraph" w:styleId="Header">
    <w:name w:val="header"/>
    <w:basedOn w:val="Normal"/>
    <w:link w:val="HeaderChar"/>
    <w:uiPriority w:val="99"/>
    <w:rsid w:val="00A87864"/>
    <w:pPr>
      <w:tabs>
        <w:tab w:val="center" w:pos="4153"/>
        <w:tab w:val="right" w:pos="8306"/>
      </w:tabs>
    </w:pPr>
    <w:rPr>
      <w:rFonts w:eastAsia="Times New Roman"/>
      <w:szCs w:val="20"/>
      <w:lang w:val="x-none"/>
    </w:rPr>
  </w:style>
  <w:style w:type="character" w:customStyle="1" w:styleId="HeaderChar">
    <w:name w:val="Header Char"/>
    <w:link w:val="Header"/>
    <w:uiPriority w:val="99"/>
    <w:rsid w:val="00A87864"/>
    <w:rPr>
      <w:rFonts w:ascii="Calibri" w:eastAsia="Times New Roman" w:hAnsi="Calibri" w:cs="Times New Roman"/>
      <w:szCs w:val="20"/>
      <w:lang w:val="x-none" w:eastAsia="en-US"/>
    </w:rPr>
  </w:style>
  <w:style w:type="paragraph" w:styleId="Footer">
    <w:name w:val="footer"/>
    <w:basedOn w:val="Normal"/>
    <w:link w:val="FooterChar"/>
    <w:uiPriority w:val="99"/>
    <w:rsid w:val="00A87864"/>
    <w:pPr>
      <w:tabs>
        <w:tab w:val="center" w:pos="4153"/>
        <w:tab w:val="right" w:pos="8306"/>
      </w:tabs>
    </w:pPr>
    <w:rPr>
      <w:rFonts w:eastAsia="Times New Roman"/>
      <w:szCs w:val="20"/>
    </w:rPr>
  </w:style>
  <w:style w:type="character" w:customStyle="1" w:styleId="FooterChar">
    <w:name w:val="Footer Char"/>
    <w:link w:val="Footer"/>
    <w:uiPriority w:val="99"/>
    <w:rsid w:val="00A87864"/>
    <w:rPr>
      <w:rFonts w:ascii="Calibri" w:eastAsia="Times New Roman" w:hAnsi="Calibri" w:cs="Times New Roman"/>
      <w:szCs w:val="20"/>
      <w:lang w:eastAsia="en-US"/>
    </w:rPr>
  </w:style>
  <w:style w:type="character" w:styleId="PageNumber">
    <w:name w:val="page number"/>
    <w:basedOn w:val="DefaultParagraphFont"/>
    <w:rsid w:val="00A87864"/>
  </w:style>
  <w:style w:type="character" w:customStyle="1" w:styleId="ms-rtefontsize-41">
    <w:name w:val="ms-rtefontsize-41"/>
    <w:rsid w:val="00A87864"/>
    <w:rPr>
      <w:sz w:val="36"/>
      <w:szCs w:val="36"/>
    </w:rPr>
  </w:style>
  <w:style w:type="paragraph" w:styleId="BalloonText">
    <w:name w:val="Balloon Text"/>
    <w:basedOn w:val="Normal"/>
    <w:link w:val="BalloonTextChar"/>
    <w:uiPriority w:val="99"/>
    <w:semiHidden/>
    <w:unhideWhenUsed/>
    <w:rsid w:val="00A878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87864"/>
    <w:rPr>
      <w:rFonts w:ascii="Segoe UI" w:eastAsia="Calibri" w:hAnsi="Segoe UI" w:cs="Segoe UI"/>
      <w:sz w:val="18"/>
      <w:szCs w:val="18"/>
      <w:lang w:eastAsia="en-US"/>
    </w:rPr>
  </w:style>
  <w:style w:type="character" w:styleId="CommentReference">
    <w:name w:val="annotation reference"/>
    <w:uiPriority w:val="99"/>
    <w:semiHidden/>
    <w:unhideWhenUsed/>
    <w:rsid w:val="00A87864"/>
    <w:rPr>
      <w:sz w:val="16"/>
      <w:szCs w:val="16"/>
    </w:rPr>
  </w:style>
  <w:style w:type="paragraph" w:styleId="CommentText">
    <w:name w:val="annotation text"/>
    <w:basedOn w:val="Normal"/>
    <w:link w:val="CommentTextChar"/>
    <w:uiPriority w:val="99"/>
    <w:semiHidden/>
    <w:unhideWhenUsed/>
    <w:rsid w:val="00A87864"/>
    <w:pPr>
      <w:spacing w:line="240" w:lineRule="auto"/>
    </w:pPr>
    <w:rPr>
      <w:sz w:val="20"/>
      <w:szCs w:val="20"/>
    </w:rPr>
  </w:style>
  <w:style w:type="character" w:customStyle="1" w:styleId="CommentTextChar">
    <w:name w:val="Comment Text Char"/>
    <w:link w:val="CommentText"/>
    <w:uiPriority w:val="99"/>
    <w:semiHidden/>
    <w:rsid w:val="00A87864"/>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87864"/>
    <w:rPr>
      <w:b/>
      <w:bCs/>
    </w:rPr>
  </w:style>
  <w:style w:type="character" w:customStyle="1" w:styleId="CommentSubjectChar">
    <w:name w:val="Comment Subject Char"/>
    <w:link w:val="CommentSubject"/>
    <w:uiPriority w:val="99"/>
    <w:semiHidden/>
    <w:rsid w:val="00A87864"/>
    <w:rPr>
      <w:rFonts w:ascii="Calibri" w:eastAsia="Calibri" w:hAnsi="Calibri" w:cs="Times New Roman"/>
      <w:b/>
      <w:bCs/>
      <w:sz w:val="20"/>
      <w:szCs w:val="20"/>
      <w:lang w:eastAsia="en-US"/>
    </w:rPr>
  </w:style>
  <w:style w:type="paragraph" w:styleId="HTMLPreformatted">
    <w:name w:val="HTML Preformatted"/>
    <w:basedOn w:val="Normal"/>
    <w:link w:val="HTMLPreformattedChar"/>
    <w:uiPriority w:val="99"/>
    <w:unhideWhenUsed/>
    <w:rsid w:val="00A87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uiPriority w:val="99"/>
    <w:rsid w:val="00A87864"/>
    <w:rPr>
      <w:rFonts w:ascii="Courier New" w:eastAsia="Times New Roman" w:hAnsi="Courier New" w:cs="Courier New"/>
      <w:sz w:val="20"/>
      <w:szCs w:val="20"/>
      <w:lang w:eastAsia="lt-LT"/>
    </w:rPr>
  </w:style>
  <w:style w:type="table" w:styleId="TableGrid">
    <w:name w:val="Table Grid"/>
    <w:basedOn w:val="TableNormal"/>
    <w:uiPriority w:val="39"/>
    <w:rsid w:val="00A8786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864"/>
    <w:pPr>
      <w:ind w:left="720"/>
      <w:contextualSpacing/>
    </w:pPr>
  </w:style>
  <w:style w:type="paragraph" w:styleId="FootnoteText">
    <w:name w:val="footnote text"/>
    <w:basedOn w:val="Normal"/>
    <w:link w:val="FootnoteTextChar"/>
    <w:uiPriority w:val="99"/>
    <w:semiHidden/>
    <w:unhideWhenUsed/>
    <w:rsid w:val="00E8553A"/>
    <w:pPr>
      <w:spacing w:after="0" w:line="240" w:lineRule="auto"/>
    </w:pPr>
    <w:rPr>
      <w:sz w:val="20"/>
      <w:szCs w:val="20"/>
    </w:rPr>
  </w:style>
  <w:style w:type="character" w:customStyle="1" w:styleId="FootnoteTextChar">
    <w:name w:val="Footnote Text Char"/>
    <w:link w:val="FootnoteText"/>
    <w:uiPriority w:val="99"/>
    <w:semiHidden/>
    <w:rsid w:val="00E8553A"/>
    <w:rPr>
      <w:rFonts w:ascii="Calibri" w:eastAsia="Calibri" w:hAnsi="Calibri" w:cs="Times New Roman"/>
      <w:sz w:val="20"/>
      <w:szCs w:val="20"/>
      <w:lang w:eastAsia="en-US"/>
    </w:rPr>
  </w:style>
  <w:style w:type="character" w:styleId="FootnoteReference">
    <w:name w:val="footnote reference"/>
    <w:uiPriority w:val="99"/>
    <w:semiHidden/>
    <w:unhideWhenUsed/>
    <w:rsid w:val="00E8553A"/>
    <w:rPr>
      <w:vertAlign w:val="superscript"/>
    </w:rPr>
  </w:style>
  <w:style w:type="character" w:styleId="Hyperlink">
    <w:name w:val="Hyperlink"/>
    <w:uiPriority w:val="99"/>
    <w:unhideWhenUsed/>
    <w:rsid w:val="008C18A4"/>
    <w:rPr>
      <w:color w:val="0563C1"/>
      <w:u w:val="single"/>
    </w:rPr>
  </w:style>
  <w:style w:type="character" w:customStyle="1" w:styleId="acopre">
    <w:name w:val="acopre"/>
    <w:rsid w:val="00FE38FF"/>
  </w:style>
  <w:style w:type="character" w:customStyle="1" w:styleId="tlid-translation">
    <w:name w:val="tlid-translation"/>
    <w:rsid w:val="00BE4A3E"/>
  </w:style>
  <w:style w:type="character" w:customStyle="1" w:styleId="viiyi">
    <w:name w:val="viiyi"/>
    <w:rsid w:val="00421B78"/>
  </w:style>
  <w:style w:type="character" w:customStyle="1" w:styleId="jlqj4b">
    <w:name w:val="jlqj4b"/>
    <w:rsid w:val="00421B78"/>
  </w:style>
  <w:style w:type="character" w:styleId="FollowedHyperlink">
    <w:name w:val="FollowedHyperlink"/>
    <w:uiPriority w:val="99"/>
    <w:semiHidden/>
    <w:unhideWhenUsed/>
    <w:rsid w:val="00E71A23"/>
    <w:rPr>
      <w:color w:val="954F72"/>
      <w:u w:val="single"/>
    </w:rPr>
  </w:style>
  <w:style w:type="paragraph" w:styleId="EndnoteText">
    <w:name w:val="endnote text"/>
    <w:basedOn w:val="Normal"/>
    <w:link w:val="EndnoteTextChar"/>
    <w:uiPriority w:val="99"/>
    <w:semiHidden/>
    <w:unhideWhenUsed/>
    <w:rsid w:val="00967C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C73"/>
    <w:rPr>
      <w:rFonts w:eastAsia="Calibri"/>
      <w:lang w:eastAsia="en-US"/>
    </w:rPr>
  </w:style>
  <w:style w:type="character" w:styleId="EndnoteReference">
    <w:name w:val="endnote reference"/>
    <w:basedOn w:val="DefaultParagraphFont"/>
    <w:uiPriority w:val="99"/>
    <w:semiHidden/>
    <w:unhideWhenUsed/>
    <w:rsid w:val="00967C73"/>
    <w:rPr>
      <w:vertAlign w:val="superscript"/>
    </w:rPr>
  </w:style>
  <w:style w:type="character" w:styleId="UnresolvedMention">
    <w:name w:val="Unresolved Mention"/>
    <w:basedOn w:val="DefaultParagraphFont"/>
    <w:uiPriority w:val="99"/>
    <w:semiHidden/>
    <w:unhideWhenUsed/>
    <w:rsid w:val="00FB6472"/>
    <w:rPr>
      <w:color w:val="605E5C"/>
      <w:shd w:val="clear" w:color="auto" w:fill="E1DFDD"/>
    </w:rPr>
  </w:style>
  <w:style w:type="paragraph" w:styleId="NoSpacing">
    <w:name w:val="No Spacing"/>
    <w:uiPriority w:val="1"/>
    <w:qFormat/>
    <w:rsid w:val="0023268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1559">
      <w:bodyDiv w:val="1"/>
      <w:marLeft w:val="0"/>
      <w:marRight w:val="0"/>
      <w:marTop w:val="0"/>
      <w:marBottom w:val="0"/>
      <w:divBdr>
        <w:top w:val="none" w:sz="0" w:space="0" w:color="auto"/>
        <w:left w:val="none" w:sz="0" w:space="0" w:color="auto"/>
        <w:bottom w:val="none" w:sz="0" w:space="0" w:color="auto"/>
        <w:right w:val="none" w:sz="0" w:space="0" w:color="auto"/>
      </w:divBdr>
    </w:div>
    <w:div w:id="117451151">
      <w:bodyDiv w:val="1"/>
      <w:marLeft w:val="0"/>
      <w:marRight w:val="0"/>
      <w:marTop w:val="0"/>
      <w:marBottom w:val="0"/>
      <w:divBdr>
        <w:top w:val="none" w:sz="0" w:space="0" w:color="auto"/>
        <w:left w:val="none" w:sz="0" w:space="0" w:color="auto"/>
        <w:bottom w:val="none" w:sz="0" w:space="0" w:color="auto"/>
        <w:right w:val="none" w:sz="0" w:space="0" w:color="auto"/>
      </w:divBdr>
    </w:div>
    <w:div w:id="129052388">
      <w:bodyDiv w:val="1"/>
      <w:marLeft w:val="0"/>
      <w:marRight w:val="0"/>
      <w:marTop w:val="0"/>
      <w:marBottom w:val="0"/>
      <w:divBdr>
        <w:top w:val="none" w:sz="0" w:space="0" w:color="auto"/>
        <w:left w:val="none" w:sz="0" w:space="0" w:color="auto"/>
        <w:bottom w:val="none" w:sz="0" w:space="0" w:color="auto"/>
        <w:right w:val="none" w:sz="0" w:space="0" w:color="auto"/>
      </w:divBdr>
      <w:divsChild>
        <w:div w:id="909267774">
          <w:marLeft w:val="0"/>
          <w:marRight w:val="0"/>
          <w:marTop w:val="0"/>
          <w:marBottom w:val="0"/>
          <w:divBdr>
            <w:top w:val="none" w:sz="0" w:space="0" w:color="auto"/>
            <w:left w:val="none" w:sz="0" w:space="0" w:color="auto"/>
            <w:bottom w:val="none" w:sz="0" w:space="0" w:color="auto"/>
            <w:right w:val="none" w:sz="0" w:space="0" w:color="auto"/>
          </w:divBdr>
          <w:divsChild>
            <w:div w:id="1751583399">
              <w:marLeft w:val="0"/>
              <w:marRight w:val="0"/>
              <w:marTop w:val="0"/>
              <w:marBottom w:val="0"/>
              <w:divBdr>
                <w:top w:val="none" w:sz="0" w:space="0" w:color="auto"/>
                <w:left w:val="none" w:sz="0" w:space="0" w:color="auto"/>
                <w:bottom w:val="none" w:sz="0" w:space="0" w:color="auto"/>
                <w:right w:val="none" w:sz="0" w:space="0" w:color="auto"/>
              </w:divBdr>
              <w:divsChild>
                <w:div w:id="1559627305">
                  <w:marLeft w:val="0"/>
                  <w:marRight w:val="0"/>
                  <w:marTop w:val="0"/>
                  <w:marBottom w:val="0"/>
                  <w:divBdr>
                    <w:top w:val="none" w:sz="0" w:space="0" w:color="auto"/>
                    <w:left w:val="none" w:sz="0" w:space="0" w:color="auto"/>
                    <w:bottom w:val="none" w:sz="0" w:space="0" w:color="auto"/>
                    <w:right w:val="none" w:sz="0" w:space="0" w:color="auto"/>
                  </w:divBdr>
                  <w:divsChild>
                    <w:div w:id="17810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035796">
      <w:bodyDiv w:val="1"/>
      <w:marLeft w:val="0"/>
      <w:marRight w:val="0"/>
      <w:marTop w:val="0"/>
      <w:marBottom w:val="0"/>
      <w:divBdr>
        <w:top w:val="none" w:sz="0" w:space="0" w:color="auto"/>
        <w:left w:val="none" w:sz="0" w:space="0" w:color="auto"/>
        <w:bottom w:val="none" w:sz="0" w:space="0" w:color="auto"/>
        <w:right w:val="none" w:sz="0" w:space="0" w:color="auto"/>
      </w:divBdr>
      <w:divsChild>
        <w:div w:id="1513229256">
          <w:marLeft w:val="0"/>
          <w:marRight w:val="0"/>
          <w:marTop w:val="0"/>
          <w:marBottom w:val="0"/>
          <w:divBdr>
            <w:top w:val="none" w:sz="0" w:space="0" w:color="auto"/>
            <w:left w:val="none" w:sz="0" w:space="0" w:color="auto"/>
            <w:bottom w:val="none" w:sz="0" w:space="0" w:color="auto"/>
            <w:right w:val="none" w:sz="0" w:space="0" w:color="auto"/>
          </w:divBdr>
          <w:divsChild>
            <w:div w:id="1000932298">
              <w:marLeft w:val="0"/>
              <w:marRight w:val="0"/>
              <w:marTop w:val="0"/>
              <w:marBottom w:val="0"/>
              <w:divBdr>
                <w:top w:val="none" w:sz="0" w:space="0" w:color="auto"/>
                <w:left w:val="none" w:sz="0" w:space="0" w:color="auto"/>
                <w:bottom w:val="none" w:sz="0" w:space="0" w:color="auto"/>
                <w:right w:val="none" w:sz="0" w:space="0" w:color="auto"/>
              </w:divBdr>
              <w:divsChild>
                <w:div w:id="2109082987">
                  <w:marLeft w:val="0"/>
                  <w:marRight w:val="0"/>
                  <w:marTop w:val="0"/>
                  <w:marBottom w:val="0"/>
                  <w:divBdr>
                    <w:top w:val="none" w:sz="0" w:space="0" w:color="auto"/>
                    <w:left w:val="none" w:sz="0" w:space="0" w:color="auto"/>
                    <w:bottom w:val="none" w:sz="0" w:space="0" w:color="auto"/>
                    <w:right w:val="none" w:sz="0" w:space="0" w:color="auto"/>
                  </w:divBdr>
                  <w:divsChild>
                    <w:div w:id="10731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461455">
      <w:bodyDiv w:val="1"/>
      <w:marLeft w:val="0"/>
      <w:marRight w:val="0"/>
      <w:marTop w:val="0"/>
      <w:marBottom w:val="0"/>
      <w:divBdr>
        <w:top w:val="none" w:sz="0" w:space="0" w:color="auto"/>
        <w:left w:val="none" w:sz="0" w:space="0" w:color="auto"/>
        <w:bottom w:val="none" w:sz="0" w:space="0" w:color="auto"/>
        <w:right w:val="none" w:sz="0" w:space="0" w:color="auto"/>
      </w:divBdr>
      <w:divsChild>
        <w:div w:id="695228676">
          <w:marLeft w:val="0"/>
          <w:marRight w:val="0"/>
          <w:marTop w:val="0"/>
          <w:marBottom w:val="0"/>
          <w:divBdr>
            <w:top w:val="none" w:sz="0" w:space="0" w:color="auto"/>
            <w:left w:val="none" w:sz="0" w:space="0" w:color="auto"/>
            <w:bottom w:val="none" w:sz="0" w:space="0" w:color="auto"/>
            <w:right w:val="none" w:sz="0" w:space="0" w:color="auto"/>
          </w:divBdr>
          <w:divsChild>
            <w:div w:id="1248729698">
              <w:marLeft w:val="0"/>
              <w:marRight w:val="0"/>
              <w:marTop w:val="0"/>
              <w:marBottom w:val="0"/>
              <w:divBdr>
                <w:top w:val="none" w:sz="0" w:space="0" w:color="auto"/>
                <w:left w:val="none" w:sz="0" w:space="0" w:color="auto"/>
                <w:bottom w:val="none" w:sz="0" w:space="0" w:color="auto"/>
                <w:right w:val="none" w:sz="0" w:space="0" w:color="auto"/>
              </w:divBdr>
              <w:divsChild>
                <w:div w:id="1987123380">
                  <w:marLeft w:val="0"/>
                  <w:marRight w:val="0"/>
                  <w:marTop w:val="0"/>
                  <w:marBottom w:val="0"/>
                  <w:divBdr>
                    <w:top w:val="none" w:sz="0" w:space="0" w:color="auto"/>
                    <w:left w:val="none" w:sz="0" w:space="0" w:color="auto"/>
                    <w:bottom w:val="none" w:sz="0" w:space="0" w:color="auto"/>
                    <w:right w:val="none" w:sz="0" w:space="0" w:color="auto"/>
                  </w:divBdr>
                  <w:divsChild>
                    <w:div w:id="5286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45793">
          <w:marLeft w:val="0"/>
          <w:marRight w:val="0"/>
          <w:marTop w:val="0"/>
          <w:marBottom w:val="0"/>
          <w:divBdr>
            <w:top w:val="none" w:sz="0" w:space="0" w:color="auto"/>
            <w:left w:val="none" w:sz="0" w:space="0" w:color="auto"/>
            <w:bottom w:val="none" w:sz="0" w:space="0" w:color="auto"/>
            <w:right w:val="none" w:sz="0" w:space="0" w:color="auto"/>
          </w:divBdr>
        </w:div>
      </w:divsChild>
    </w:div>
    <w:div w:id="478884655">
      <w:bodyDiv w:val="1"/>
      <w:marLeft w:val="0"/>
      <w:marRight w:val="0"/>
      <w:marTop w:val="0"/>
      <w:marBottom w:val="0"/>
      <w:divBdr>
        <w:top w:val="none" w:sz="0" w:space="0" w:color="auto"/>
        <w:left w:val="none" w:sz="0" w:space="0" w:color="auto"/>
        <w:bottom w:val="none" w:sz="0" w:space="0" w:color="auto"/>
        <w:right w:val="none" w:sz="0" w:space="0" w:color="auto"/>
      </w:divBdr>
    </w:div>
    <w:div w:id="487985743">
      <w:bodyDiv w:val="1"/>
      <w:marLeft w:val="0"/>
      <w:marRight w:val="0"/>
      <w:marTop w:val="0"/>
      <w:marBottom w:val="0"/>
      <w:divBdr>
        <w:top w:val="none" w:sz="0" w:space="0" w:color="auto"/>
        <w:left w:val="none" w:sz="0" w:space="0" w:color="auto"/>
        <w:bottom w:val="none" w:sz="0" w:space="0" w:color="auto"/>
        <w:right w:val="none" w:sz="0" w:space="0" w:color="auto"/>
      </w:divBdr>
      <w:divsChild>
        <w:div w:id="588003972">
          <w:marLeft w:val="0"/>
          <w:marRight w:val="0"/>
          <w:marTop w:val="0"/>
          <w:marBottom w:val="0"/>
          <w:divBdr>
            <w:top w:val="none" w:sz="0" w:space="0" w:color="auto"/>
            <w:left w:val="none" w:sz="0" w:space="0" w:color="auto"/>
            <w:bottom w:val="none" w:sz="0" w:space="0" w:color="auto"/>
            <w:right w:val="none" w:sz="0" w:space="0" w:color="auto"/>
          </w:divBdr>
        </w:div>
      </w:divsChild>
    </w:div>
    <w:div w:id="536742064">
      <w:bodyDiv w:val="1"/>
      <w:marLeft w:val="0"/>
      <w:marRight w:val="0"/>
      <w:marTop w:val="0"/>
      <w:marBottom w:val="0"/>
      <w:divBdr>
        <w:top w:val="none" w:sz="0" w:space="0" w:color="auto"/>
        <w:left w:val="none" w:sz="0" w:space="0" w:color="auto"/>
        <w:bottom w:val="none" w:sz="0" w:space="0" w:color="auto"/>
        <w:right w:val="none" w:sz="0" w:space="0" w:color="auto"/>
      </w:divBdr>
    </w:div>
    <w:div w:id="550574236">
      <w:bodyDiv w:val="1"/>
      <w:marLeft w:val="0"/>
      <w:marRight w:val="0"/>
      <w:marTop w:val="0"/>
      <w:marBottom w:val="0"/>
      <w:divBdr>
        <w:top w:val="none" w:sz="0" w:space="0" w:color="auto"/>
        <w:left w:val="none" w:sz="0" w:space="0" w:color="auto"/>
        <w:bottom w:val="none" w:sz="0" w:space="0" w:color="auto"/>
        <w:right w:val="none" w:sz="0" w:space="0" w:color="auto"/>
      </w:divBdr>
      <w:divsChild>
        <w:div w:id="1497915433">
          <w:marLeft w:val="0"/>
          <w:marRight w:val="0"/>
          <w:marTop w:val="0"/>
          <w:marBottom w:val="0"/>
          <w:divBdr>
            <w:top w:val="none" w:sz="0" w:space="0" w:color="auto"/>
            <w:left w:val="none" w:sz="0" w:space="0" w:color="auto"/>
            <w:bottom w:val="none" w:sz="0" w:space="0" w:color="auto"/>
            <w:right w:val="none" w:sz="0" w:space="0" w:color="auto"/>
          </w:divBdr>
          <w:divsChild>
            <w:div w:id="586576069">
              <w:marLeft w:val="0"/>
              <w:marRight w:val="0"/>
              <w:marTop w:val="0"/>
              <w:marBottom w:val="0"/>
              <w:divBdr>
                <w:top w:val="none" w:sz="0" w:space="0" w:color="auto"/>
                <w:left w:val="none" w:sz="0" w:space="0" w:color="auto"/>
                <w:bottom w:val="none" w:sz="0" w:space="0" w:color="auto"/>
                <w:right w:val="none" w:sz="0" w:space="0" w:color="auto"/>
              </w:divBdr>
              <w:divsChild>
                <w:div w:id="1109197698">
                  <w:marLeft w:val="0"/>
                  <w:marRight w:val="0"/>
                  <w:marTop w:val="0"/>
                  <w:marBottom w:val="0"/>
                  <w:divBdr>
                    <w:top w:val="none" w:sz="0" w:space="0" w:color="auto"/>
                    <w:left w:val="none" w:sz="0" w:space="0" w:color="auto"/>
                    <w:bottom w:val="none" w:sz="0" w:space="0" w:color="auto"/>
                    <w:right w:val="none" w:sz="0" w:space="0" w:color="auto"/>
                  </w:divBdr>
                  <w:divsChild>
                    <w:div w:id="100659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50316">
      <w:bodyDiv w:val="1"/>
      <w:marLeft w:val="0"/>
      <w:marRight w:val="0"/>
      <w:marTop w:val="0"/>
      <w:marBottom w:val="0"/>
      <w:divBdr>
        <w:top w:val="none" w:sz="0" w:space="0" w:color="auto"/>
        <w:left w:val="none" w:sz="0" w:space="0" w:color="auto"/>
        <w:bottom w:val="none" w:sz="0" w:space="0" w:color="auto"/>
        <w:right w:val="none" w:sz="0" w:space="0" w:color="auto"/>
      </w:divBdr>
      <w:divsChild>
        <w:div w:id="851919264">
          <w:marLeft w:val="0"/>
          <w:marRight w:val="0"/>
          <w:marTop w:val="0"/>
          <w:marBottom w:val="0"/>
          <w:divBdr>
            <w:top w:val="none" w:sz="0" w:space="0" w:color="auto"/>
            <w:left w:val="none" w:sz="0" w:space="0" w:color="auto"/>
            <w:bottom w:val="none" w:sz="0" w:space="0" w:color="auto"/>
            <w:right w:val="none" w:sz="0" w:space="0" w:color="auto"/>
          </w:divBdr>
          <w:divsChild>
            <w:div w:id="1829132873">
              <w:marLeft w:val="0"/>
              <w:marRight w:val="0"/>
              <w:marTop w:val="0"/>
              <w:marBottom w:val="0"/>
              <w:divBdr>
                <w:top w:val="none" w:sz="0" w:space="0" w:color="auto"/>
                <w:left w:val="none" w:sz="0" w:space="0" w:color="auto"/>
                <w:bottom w:val="none" w:sz="0" w:space="0" w:color="auto"/>
                <w:right w:val="none" w:sz="0" w:space="0" w:color="auto"/>
              </w:divBdr>
              <w:divsChild>
                <w:div w:id="1289311618">
                  <w:marLeft w:val="0"/>
                  <w:marRight w:val="0"/>
                  <w:marTop w:val="0"/>
                  <w:marBottom w:val="0"/>
                  <w:divBdr>
                    <w:top w:val="none" w:sz="0" w:space="0" w:color="auto"/>
                    <w:left w:val="none" w:sz="0" w:space="0" w:color="auto"/>
                    <w:bottom w:val="none" w:sz="0" w:space="0" w:color="auto"/>
                    <w:right w:val="none" w:sz="0" w:space="0" w:color="auto"/>
                  </w:divBdr>
                  <w:divsChild>
                    <w:div w:id="145964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991828">
      <w:bodyDiv w:val="1"/>
      <w:marLeft w:val="0"/>
      <w:marRight w:val="0"/>
      <w:marTop w:val="0"/>
      <w:marBottom w:val="0"/>
      <w:divBdr>
        <w:top w:val="none" w:sz="0" w:space="0" w:color="auto"/>
        <w:left w:val="none" w:sz="0" w:space="0" w:color="auto"/>
        <w:bottom w:val="none" w:sz="0" w:space="0" w:color="auto"/>
        <w:right w:val="none" w:sz="0" w:space="0" w:color="auto"/>
      </w:divBdr>
      <w:divsChild>
        <w:div w:id="2098358841">
          <w:marLeft w:val="0"/>
          <w:marRight w:val="0"/>
          <w:marTop w:val="0"/>
          <w:marBottom w:val="0"/>
          <w:divBdr>
            <w:top w:val="none" w:sz="0" w:space="0" w:color="auto"/>
            <w:left w:val="none" w:sz="0" w:space="0" w:color="auto"/>
            <w:bottom w:val="none" w:sz="0" w:space="0" w:color="auto"/>
            <w:right w:val="none" w:sz="0" w:space="0" w:color="auto"/>
          </w:divBdr>
          <w:divsChild>
            <w:div w:id="1302883582">
              <w:marLeft w:val="0"/>
              <w:marRight w:val="0"/>
              <w:marTop w:val="0"/>
              <w:marBottom w:val="0"/>
              <w:divBdr>
                <w:top w:val="none" w:sz="0" w:space="0" w:color="auto"/>
                <w:left w:val="none" w:sz="0" w:space="0" w:color="auto"/>
                <w:bottom w:val="none" w:sz="0" w:space="0" w:color="auto"/>
                <w:right w:val="none" w:sz="0" w:space="0" w:color="auto"/>
              </w:divBdr>
              <w:divsChild>
                <w:div w:id="483353048">
                  <w:marLeft w:val="0"/>
                  <w:marRight w:val="0"/>
                  <w:marTop w:val="0"/>
                  <w:marBottom w:val="0"/>
                  <w:divBdr>
                    <w:top w:val="none" w:sz="0" w:space="0" w:color="auto"/>
                    <w:left w:val="none" w:sz="0" w:space="0" w:color="auto"/>
                    <w:bottom w:val="none" w:sz="0" w:space="0" w:color="auto"/>
                    <w:right w:val="none" w:sz="0" w:space="0" w:color="auto"/>
                  </w:divBdr>
                  <w:divsChild>
                    <w:div w:id="2000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200019">
      <w:bodyDiv w:val="1"/>
      <w:marLeft w:val="0"/>
      <w:marRight w:val="0"/>
      <w:marTop w:val="0"/>
      <w:marBottom w:val="0"/>
      <w:divBdr>
        <w:top w:val="none" w:sz="0" w:space="0" w:color="auto"/>
        <w:left w:val="none" w:sz="0" w:space="0" w:color="auto"/>
        <w:bottom w:val="none" w:sz="0" w:space="0" w:color="auto"/>
        <w:right w:val="none" w:sz="0" w:space="0" w:color="auto"/>
      </w:divBdr>
      <w:divsChild>
        <w:div w:id="109280573">
          <w:marLeft w:val="0"/>
          <w:marRight w:val="0"/>
          <w:marTop w:val="0"/>
          <w:marBottom w:val="0"/>
          <w:divBdr>
            <w:top w:val="none" w:sz="0" w:space="0" w:color="auto"/>
            <w:left w:val="none" w:sz="0" w:space="0" w:color="auto"/>
            <w:bottom w:val="none" w:sz="0" w:space="0" w:color="auto"/>
            <w:right w:val="none" w:sz="0" w:space="0" w:color="auto"/>
          </w:divBdr>
          <w:divsChild>
            <w:div w:id="1534420696">
              <w:marLeft w:val="0"/>
              <w:marRight w:val="0"/>
              <w:marTop w:val="0"/>
              <w:marBottom w:val="0"/>
              <w:divBdr>
                <w:top w:val="none" w:sz="0" w:space="0" w:color="auto"/>
                <w:left w:val="none" w:sz="0" w:space="0" w:color="auto"/>
                <w:bottom w:val="none" w:sz="0" w:space="0" w:color="auto"/>
                <w:right w:val="none" w:sz="0" w:space="0" w:color="auto"/>
              </w:divBdr>
              <w:divsChild>
                <w:div w:id="195386337">
                  <w:marLeft w:val="0"/>
                  <w:marRight w:val="0"/>
                  <w:marTop w:val="0"/>
                  <w:marBottom w:val="0"/>
                  <w:divBdr>
                    <w:top w:val="none" w:sz="0" w:space="0" w:color="auto"/>
                    <w:left w:val="none" w:sz="0" w:space="0" w:color="auto"/>
                    <w:bottom w:val="none" w:sz="0" w:space="0" w:color="auto"/>
                    <w:right w:val="none" w:sz="0" w:space="0" w:color="auto"/>
                  </w:divBdr>
                  <w:divsChild>
                    <w:div w:id="11209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238915">
      <w:bodyDiv w:val="1"/>
      <w:marLeft w:val="0"/>
      <w:marRight w:val="0"/>
      <w:marTop w:val="0"/>
      <w:marBottom w:val="0"/>
      <w:divBdr>
        <w:top w:val="none" w:sz="0" w:space="0" w:color="auto"/>
        <w:left w:val="none" w:sz="0" w:space="0" w:color="auto"/>
        <w:bottom w:val="none" w:sz="0" w:space="0" w:color="auto"/>
        <w:right w:val="none" w:sz="0" w:space="0" w:color="auto"/>
      </w:divBdr>
      <w:divsChild>
        <w:div w:id="1939869712">
          <w:marLeft w:val="0"/>
          <w:marRight w:val="0"/>
          <w:marTop w:val="0"/>
          <w:marBottom w:val="0"/>
          <w:divBdr>
            <w:top w:val="none" w:sz="0" w:space="0" w:color="auto"/>
            <w:left w:val="none" w:sz="0" w:space="0" w:color="auto"/>
            <w:bottom w:val="none" w:sz="0" w:space="0" w:color="auto"/>
            <w:right w:val="none" w:sz="0" w:space="0" w:color="auto"/>
          </w:divBdr>
          <w:divsChild>
            <w:div w:id="1006711247">
              <w:marLeft w:val="0"/>
              <w:marRight w:val="0"/>
              <w:marTop w:val="0"/>
              <w:marBottom w:val="0"/>
              <w:divBdr>
                <w:top w:val="none" w:sz="0" w:space="0" w:color="auto"/>
                <w:left w:val="none" w:sz="0" w:space="0" w:color="auto"/>
                <w:bottom w:val="none" w:sz="0" w:space="0" w:color="auto"/>
                <w:right w:val="none" w:sz="0" w:space="0" w:color="auto"/>
              </w:divBdr>
              <w:divsChild>
                <w:div w:id="276716986">
                  <w:marLeft w:val="0"/>
                  <w:marRight w:val="0"/>
                  <w:marTop w:val="0"/>
                  <w:marBottom w:val="0"/>
                  <w:divBdr>
                    <w:top w:val="none" w:sz="0" w:space="0" w:color="auto"/>
                    <w:left w:val="none" w:sz="0" w:space="0" w:color="auto"/>
                    <w:bottom w:val="none" w:sz="0" w:space="0" w:color="auto"/>
                    <w:right w:val="none" w:sz="0" w:space="0" w:color="auto"/>
                  </w:divBdr>
                  <w:divsChild>
                    <w:div w:id="3682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5902">
      <w:bodyDiv w:val="1"/>
      <w:marLeft w:val="0"/>
      <w:marRight w:val="0"/>
      <w:marTop w:val="0"/>
      <w:marBottom w:val="0"/>
      <w:divBdr>
        <w:top w:val="none" w:sz="0" w:space="0" w:color="auto"/>
        <w:left w:val="none" w:sz="0" w:space="0" w:color="auto"/>
        <w:bottom w:val="none" w:sz="0" w:space="0" w:color="auto"/>
        <w:right w:val="none" w:sz="0" w:space="0" w:color="auto"/>
      </w:divBdr>
    </w:div>
    <w:div w:id="1209341393">
      <w:bodyDiv w:val="1"/>
      <w:marLeft w:val="0"/>
      <w:marRight w:val="0"/>
      <w:marTop w:val="0"/>
      <w:marBottom w:val="0"/>
      <w:divBdr>
        <w:top w:val="none" w:sz="0" w:space="0" w:color="auto"/>
        <w:left w:val="none" w:sz="0" w:space="0" w:color="auto"/>
        <w:bottom w:val="none" w:sz="0" w:space="0" w:color="auto"/>
        <w:right w:val="none" w:sz="0" w:space="0" w:color="auto"/>
      </w:divBdr>
      <w:divsChild>
        <w:div w:id="1501962591">
          <w:marLeft w:val="0"/>
          <w:marRight w:val="0"/>
          <w:marTop w:val="0"/>
          <w:marBottom w:val="0"/>
          <w:divBdr>
            <w:top w:val="none" w:sz="0" w:space="0" w:color="auto"/>
            <w:left w:val="none" w:sz="0" w:space="0" w:color="auto"/>
            <w:bottom w:val="none" w:sz="0" w:space="0" w:color="auto"/>
            <w:right w:val="none" w:sz="0" w:space="0" w:color="auto"/>
          </w:divBdr>
          <w:divsChild>
            <w:div w:id="139857429">
              <w:marLeft w:val="0"/>
              <w:marRight w:val="0"/>
              <w:marTop w:val="0"/>
              <w:marBottom w:val="0"/>
              <w:divBdr>
                <w:top w:val="none" w:sz="0" w:space="0" w:color="auto"/>
                <w:left w:val="none" w:sz="0" w:space="0" w:color="auto"/>
                <w:bottom w:val="none" w:sz="0" w:space="0" w:color="auto"/>
                <w:right w:val="none" w:sz="0" w:space="0" w:color="auto"/>
              </w:divBdr>
              <w:divsChild>
                <w:div w:id="1223828666">
                  <w:marLeft w:val="0"/>
                  <w:marRight w:val="0"/>
                  <w:marTop w:val="0"/>
                  <w:marBottom w:val="0"/>
                  <w:divBdr>
                    <w:top w:val="none" w:sz="0" w:space="0" w:color="auto"/>
                    <w:left w:val="none" w:sz="0" w:space="0" w:color="auto"/>
                    <w:bottom w:val="none" w:sz="0" w:space="0" w:color="auto"/>
                    <w:right w:val="none" w:sz="0" w:space="0" w:color="auto"/>
                  </w:divBdr>
                  <w:divsChild>
                    <w:div w:id="2573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17425">
      <w:bodyDiv w:val="1"/>
      <w:marLeft w:val="0"/>
      <w:marRight w:val="0"/>
      <w:marTop w:val="0"/>
      <w:marBottom w:val="0"/>
      <w:divBdr>
        <w:top w:val="none" w:sz="0" w:space="0" w:color="auto"/>
        <w:left w:val="none" w:sz="0" w:space="0" w:color="auto"/>
        <w:bottom w:val="none" w:sz="0" w:space="0" w:color="auto"/>
        <w:right w:val="none" w:sz="0" w:space="0" w:color="auto"/>
      </w:divBdr>
    </w:div>
    <w:div w:id="1366910300">
      <w:bodyDiv w:val="1"/>
      <w:marLeft w:val="0"/>
      <w:marRight w:val="0"/>
      <w:marTop w:val="0"/>
      <w:marBottom w:val="0"/>
      <w:divBdr>
        <w:top w:val="none" w:sz="0" w:space="0" w:color="auto"/>
        <w:left w:val="none" w:sz="0" w:space="0" w:color="auto"/>
        <w:bottom w:val="none" w:sz="0" w:space="0" w:color="auto"/>
        <w:right w:val="none" w:sz="0" w:space="0" w:color="auto"/>
      </w:divBdr>
    </w:div>
    <w:div w:id="1468543708">
      <w:bodyDiv w:val="1"/>
      <w:marLeft w:val="0"/>
      <w:marRight w:val="0"/>
      <w:marTop w:val="0"/>
      <w:marBottom w:val="0"/>
      <w:divBdr>
        <w:top w:val="none" w:sz="0" w:space="0" w:color="auto"/>
        <w:left w:val="none" w:sz="0" w:space="0" w:color="auto"/>
        <w:bottom w:val="none" w:sz="0" w:space="0" w:color="auto"/>
        <w:right w:val="none" w:sz="0" w:space="0" w:color="auto"/>
      </w:divBdr>
    </w:div>
    <w:div w:id="1541431479">
      <w:bodyDiv w:val="1"/>
      <w:marLeft w:val="0"/>
      <w:marRight w:val="0"/>
      <w:marTop w:val="0"/>
      <w:marBottom w:val="0"/>
      <w:divBdr>
        <w:top w:val="none" w:sz="0" w:space="0" w:color="auto"/>
        <w:left w:val="none" w:sz="0" w:space="0" w:color="auto"/>
        <w:bottom w:val="none" w:sz="0" w:space="0" w:color="auto"/>
        <w:right w:val="none" w:sz="0" w:space="0" w:color="auto"/>
      </w:divBdr>
      <w:divsChild>
        <w:div w:id="1676109507">
          <w:marLeft w:val="0"/>
          <w:marRight w:val="0"/>
          <w:marTop w:val="0"/>
          <w:marBottom w:val="0"/>
          <w:divBdr>
            <w:top w:val="none" w:sz="0" w:space="0" w:color="auto"/>
            <w:left w:val="none" w:sz="0" w:space="0" w:color="auto"/>
            <w:bottom w:val="none" w:sz="0" w:space="0" w:color="auto"/>
            <w:right w:val="none" w:sz="0" w:space="0" w:color="auto"/>
          </w:divBdr>
          <w:divsChild>
            <w:div w:id="1162433287">
              <w:marLeft w:val="0"/>
              <w:marRight w:val="0"/>
              <w:marTop w:val="0"/>
              <w:marBottom w:val="0"/>
              <w:divBdr>
                <w:top w:val="none" w:sz="0" w:space="0" w:color="auto"/>
                <w:left w:val="none" w:sz="0" w:space="0" w:color="auto"/>
                <w:bottom w:val="none" w:sz="0" w:space="0" w:color="auto"/>
                <w:right w:val="none" w:sz="0" w:space="0" w:color="auto"/>
              </w:divBdr>
              <w:divsChild>
                <w:div w:id="1343823355">
                  <w:marLeft w:val="0"/>
                  <w:marRight w:val="0"/>
                  <w:marTop w:val="0"/>
                  <w:marBottom w:val="0"/>
                  <w:divBdr>
                    <w:top w:val="none" w:sz="0" w:space="0" w:color="auto"/>
                    <w:left w:val="none" w:sz="0" w:space="0" w:color="auto"/>
                    <w:bottom w:val="none" w:sz="0" w:space="0" w:color="auto"/>
                    <w:right w:val="none" w:sz="0" w:space="0" w:color="auto"/>
                  </w:divBdr>
                  <w:divsChild>
                    <w:div w:id="19801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48151">
      <w:bodyDiv w:val="1"/>
      <w:marLeft w:val="0"/>
      <w:marRight w:val="0"/>
      <w:marTop w:val="0"/>
      <w:marBottom w:val="0"/>
      <w:divBdr>
        <w:top w:val="none" w:sz="0" w:space="0" w:color="auto"/>
        <w:left w:val="none" w:sz="0" w:space="0" w:color="auto"/>
        <w:bottom w:val="none" w:sz="0" w:space="0" w:color="auto"/>
        <w:right w:val="none" w:sz="0" w:space="0" w:color="auto"/>
      </w:divBdr>
      <w:divsChild>
        <w:div w:id="1522012160">
          <w:marLeft w:val="0"/>
          <w:marRight w:val="0"/>
          <w:marTop w:val="0"/>
          <w:marBottom w:val="0"/>
          <w:divBdr>
            <w:top w:val="none" w:sz="0" w:space="0" w:color="auto"/>
            <w:left w:val="none" w:sz="0" w:space="0" w:color="auto"/>
            <w:bottom w:val="none" w:sz="0" w:space="0" w:color="auto"/>
            <w:right w:val="none" w:sz="0" w:space="0" w:color="auto"/>
          </w:divBdr>
          <w:divsChild>
            <w:div w:id="1260142235">
              <w:marLeft w:val="0"/>
              <w:marRight w:val="0"/>
              <w:marTop w:val="0"/>
              <w:marBottom w:val="0"/>
              <w:divBdr>
                <w:top w:val="none" w:sz="0" w:space="0" w:color="auto"/>
                <w:left w:val="none" w:sz="0" w:space="0" w:color="auto"/>
                <w:bottom w:val="none" w:sz="0" w:space="0" w:color="auto"/>
                <w:right w:val="none" w:sz="0" w:space="0" w:color="auto"/>
              </w:divBdr>
              <w:divsChild>
                <w:div w:id="2136830382">
                  <w:marLeft w:val="0"/>
                  <w:marRight w:val="0"/>
                  <w:marTop w:val="0"/>
                  <w:marBottom w:val="0"/>
                  <w:divBdr>
                    <w:top w:val="none" w:sz="0" w:space="0" w:color="auto"/>
                    <w:left w:val="none" w:sz="0" w:space="0" w:color="auto"/>
                    <w:bottom w:val="none" w:sz="0" w:space="0" w:color="auto"/>
                    <w:right w:val="none" w:sz="0" w:space="0" w:color="auto"/>
                  </w:divBdr>
                  <w:divsChild>
                    <w:div w:id="43235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6698">
      <w:bodyDiv w:val="1"/>
      <w:marLeft w:val="0"/>
      <w:marRight w:val="0"/>
      <w:marTop w:val="0"/>
      <w:marBottom w:val="0"/>
      <w:divBdr>
        <w:top w:val="none" w:sz="0" w:space="0" w:color="auto"/>
        <w:left w:val="none" w:sz="0" w:space="0" w:color="auto"/>
        <w:bottom w:val="none" w:sz="0" w:space="0" w:color="auto"/>
        <w:right w:val="none" w:sz="0" w:space="0" w:color="auto"/>
      </w:divBdr>
      <w:divsChild>
        <w:div w:id="1485389450">
          <w:marLeft w:val="0"/>
          <w:marRight w:val="0"/>
          <w:marTop w:val="0"/>
          <w:marBottom w:val="0"/>
          <w:divBdr>
            <w:top w:val="none" w:sz="0" w:space="0" w:color="auto"/>
            <w:left w:val="none" w:sz="0" w:space="0" w:color="auto"/>
            <w:bottom w:val="none" w:sz="0" w:space="0" w:color="auto"/>
            <w:right w:val="none" w:sz="0" w:space="0" w:color="auto"/>
          </w:divBdr>
          <w:divsChild>
            <w:div w:id="1705787462">
              <w:marLeft w:val="0"/>
              <w:marRight w:val="0"/>
              <w:marTop w:val="0"/>
              <w:marBottom w:val="0"/>
              <w:divBdr>
                <w:top w:val="none" w:sz="0" w:space="0" w:color="auto"/>
                <w:left w:val="none" w:sz="0" w:space="0" w:color="auto"/>
                <w:bottom w:val="none" w:sz="0" w:space="0" w:color="auto"/>
                <w:right w:val="none" w:sz="0" w:space="0" w:color="auto"/>
              </w:divBdr>
              <w:divsChild>
                <w:div w:id="39287025">
                  <w:marLeft w:val="0"/>
                  <w:marRight w:val="0"/>
                  <w:marTop w:val="0"/>
                  <w:marBottom w:val="0"/>
                  <w:divBdr>
                    <w:top w:val="none" w:sz="0" w:space="0" w:color="auto"/>
                    <w:left w:val="none" w:sz="0" w:space="0" w:color="auto"/>
                    <w:bottom w:val="none" w:sz="0" w:space="0" w:color="auto"/>
                    <w:right w:val="none" w:sz="0" w:space="0" w:color="auto"/>
                  </w:divBdr>
                  <w:divsChild>
                    <w:div w:id="17483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13660">
      <w:bodyDiv w:val="1"/>
      <w:marLeft w:val="0"/>
      <w:marRight w:val="0"/>
      <w:marTop w:val="0"/>
      <w:marBottom w:val="0"/>
      <w:divBdr>
        <w:top w:val="none" w:sz="0" w:space="0" w:color="auto"/>
        <w:left w:val="none" w:sz="0" w:space="0" w:color="auto"/>
        <w:bottom w:val="none" w:sz="0" w:space="0" w:color="auto"/>
        <w:right w:val="none" w:sz="0" w:space="0" w:color="auto"/>
      </w:divBdr>
    </w:div>
    <w:div w:id="1777676661">
      <w:bodyDiv w:val="1"/>
      <w:marLeft w:val="0"/>
      <w:marRight w:val="0"/>
      <w:marTop w:val="0"/>
      <w:marBottom w:val="0"/>
      <w:divBdr>
        <w:top w:val="none" w:sz="0" w:space="0" w:color="auto"/>
        <w:left w:val="none" w:sz="0" w:space="0" w:color="auto"/>
        <w:bottom w:val="none" w:sz="0" w:space="0" w:color="auto"/>
        <w:right w:val="none" w:sz="0" w:space="0" w:color="auto"/>
      </w:divBdr>
      <w:divsChild>
        <w:div w:id="528029534">
          <w:marLeft w:val="0"/>
          <w:marRight w:val="0"/>
          <w:marTop w:val="0"/>
          <w:marBottom w:val="0"/>
          <w:divBdr>
            <w:top w:val="none" w:sz="0" w:space="0" w:color="auto"/>
            <w:left w:val="none" w:sz="0" w:space="0" w:color="auto"/>
            <w:bottom w:val="none" w:sz="0" w:space="0" w:color="auto"/>
            <w:right w:val="none" w:sz="0" w:space="0" w:color="auto"/>
          </w:divBdr>
          <w:divsChild>
            <w:div w:id="493035630">
              <w:marLeft w:val="0"/>
              <w:marRight w:val="0"/>
              <w:marTop w:val="0"/>
              <w:marBottom w:val="0"/>
              <w:divBdr>
                <w:top w:val="none" w:sz="0" w:space="0" w:color="auto"/>
                <w:left w:val="none" w:sz="0" w:space="0" w:color="auto"/>
                <w:bottom w:val="none" w:sz="0" w:space="0" w:color="auto"/>
                <w:right w:val="none" w:sz="0" w:space="0" w:color="auto"/>
              </w:divBdr>
              <w:divsChild>
                <w:div w:id="7663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4371">
          <w:marLeft w:val="0"/>
          <w:marRight w:val="0"/>
          <w:marTop w:val="0"/>
          <w:marBottom w:val="0"/>
          <w:divBdr>
            <w:top w:val="none" w:sz="0" w:space="0" w:color="auto"/>
            <w:left w:val="none" w:sz="0" w:space="0" w:color="auto"/>
            <w:bottom w:val="none" w:sz="0" w:space="0" w:color="auto"/>
            <w:right w:val="none" w:sz="0" w:space="0" w:color="auto"/>
          </w:divBdr>
          <w:divsChild>
            <w:div w:id="435640938">
              <w:marLeft w:val="0"/>
              <w:marRight w:val="0"/>
              <w:marTop w:val="0"/>
              <w:marBottom w:val="0"/>
              <w:divBdr>
                <w:top w:val="none" w:sz="0" w:space="0" w:color="auto"/>
                <w:left w:val="none" w:sz="0" w:space="0" w:color="auto"/>
                <w:bottom w:val="none" w:sz="0" w:space="0" w:color="auto"/>
                <w:right w:val="none" w:sz="0" w:space="0" w:color="auto"/>
              </w:divBdr>
            </w:div>
          </w:divsChild>
        </w:div>
        <w:div w:id="1186751821">
          <w:marLeft w:val="0"/>
          <w:marRight w:val="0"/>
          <w:marTop w:val="0"/>
          <w:marBottom w:val="0"/>
          <w:divBdr>
            <w:top w:val="none" w:sz="0" w:space="0" w:color="auto"/>
            <w:left w:val="none" w:sz="0" w:space="0" w:color="auto"/>
            <w:bottom w:val="none" w:sz="0" w:space="0" w:color="auto"/>
            <w:right w:val="none" w:sz="0" w:space="0" w:color="auto"/>
          </w:divBdr>
          <w:divsChild>
            <w:div w:id="220214618">
              <w:marLeft w:val="0"/>
              <w:marRight w:val="0"/>
              <w:marTop w:val="0"/>
              <w:marBottom w:val="0"/>
              <w:divBdr>
                <w:top w:val="none" w:sz="0" w:space="0" w:color="auto"/>
                <w:left w:val="none" w:sz="0" w:space="0" w:color="auto"/>
                <w:bottom w:val="none" w:sz="0" w:space="0" w:color="auto"/>
                <w:right w:val="none" w:sz="0" w:space="0" w:color="auto"/>
              </w:divBdr>
              <w:divsChild>
                <w:div w:id="445126034">
                  <w:marLeft w:val="0"/>
                  <w:marRight w:val="0"/>
                  <w:marTop w:val="0"/>
                  <w:marBottom w:val="0"/>
                  <w:divBdr>
                    <w:top w:val="none" w:sz="0" w:space="0" w:color="auto"/>
                    <w:left w:val="none" w:sz="0" w:space="0" w:color="auto"/>
                    <w:bottom w:val="none" w:sz="0" w:space="0" w:color="auto"/>
                    <w:right w:val="none" w:sz="0" w:space="0" w:color="auto"/>
                  </w:divBdr>
                  <w:divsChild>
                    <w:div w:id="1465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713842">
      <w:bodyDiv w:val="1"/>
      <w:marLeft w:val="0"/>
      <w:marRight w:val="0"/>
      <w:marTop w:val="0"/>
      <w:marBottom w:val="0"/>
      <w:divBdr>
        <w:top w:val="none" w:sz="0" w:space="0" w:color="auto"/>
        <w:left w:val="none" w:sz="0" w:space="0" w:color="auto"/>
        <w:bottom w:val="none" w:sz="0" w:space="0" w:color="auto"/>
        <w:right w:val="none" w:sz="0" w:space="0" w:color="auto"/>
      </w:divBdr>
    </w:div>
    <w:div w:id="1876893887">
      <w:bodyDiv w:val="1"/>
      <w:marLeft w:val="0"/>
      <w:marRight w:val="0"/>
      <w:marTop w:val="0"/>
      <w:marBottom w:val="0"/>
      <w:divBdr>
        <w:top w:val="none" w:sz="0" w:space="0" w:color="auto"/>
        <w:left w:val="none" w:sz="0" w:space="0" w:color="auto"/>
        <w:bottom w:val="none" w:sz="0" w:space="0" w:color="auto"/>
        <w:right w:val="none" w:sz="0" w:space="0" w:color="auto"/>
      </w:divBdr>
      <w:divsChild>
        <w:div w:id="226382583">
          <w:marLeft w:val="0"/>
          <w:marRight w:val="0"/>
          <w:marTop w:val="0"/>
          <w:marBottom w:val="0"/>
          <w:divBdr>
            <w:top w:val="none" w:sz="0" w:space="0" w:color="auto"/>
            <w:left w:val="none" w:sz="0" w:space="0" w:color="auto"/>
            <w:bottom w:val="none" w:sz="0" w:space="0" w:color="auto"/>
            <w:right w:val="none" w:sz="0" w:space="0" w:color="auto"/>
          </w:divBdr>
          <w:divsChild>
            <w:div w:id="1344287764">
              <w:marLeft w:val="0"/>
              <w:marRight w:val="0"/>
              <w:marTop w:val="0"/>
              <w:marBottom w:val="0"/>
              <w:divBdr>
                <w:top w:val="none" w:sz="0" w:space="0" w:color="auto"/>
                <w:left w:val="none" w:sz="0" w:space="0" w:color="auto"/>
                <w:bottom w:val="none" w:sz="0" w:space="0" w:color="auto"/>
                <w:right w:val="none" w:sz="0" w:space="0" w:color="auto"/>
              </w:divBdr>
              <w:divsChild>
                <w:div w:id="293566955">
                  <w:marLeft w:val="0"/>
                  <w:marRight w:val="0"/>
                  <w:marTop w:val="0"/>
                  <w:marBottom w:val="0"/>
                  <w:divBdr>
                    <w:top w:val="none" w:sz="0" w:space="0" w:color="auto"/>
                    <w:left w:val="none" w:sz="0" w:space="0" w:color="auto"/>
                    <w:bottom w:val="none" w:sz="0" w:space="0" w:color="auto"/>
                    <w:right w:val="none" w:sz="0" w:space="0" w:color="auto"/>
                  </w:divBdr>
                  <w:divsChild>
                    <w:div w:id="2280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458439">
      <w:bodyDiv w:val="1"/>
      <w:marLeft w:val="0"/>
      <w:marRight w:val="0"/>
      <w:marTop w:val="0"/>
      <w:marBottom w:val="0"/>
      <w:divBdr>
        <w:top w:val="none" w:sz="0" w:space="0" w:color="auto"/>
        <w:left w:val="none" w:sz="0" w:space="0" w:color="auto"/>
        <w:bottom w:val="none" w:sz="0" w:space="0" w:color="auto"/>
        <w:right w:val="none" w:sz="0" w:space="0" w:color="auto"/>
      </w:divBdr>
      <w:divsChild>
        <w:div w:id="1357190465">
          <w:marLeft w:val="0"/>
          <w:marRight w:val="0"/>
          <w:marTop w:val="0"/>
          <w:marBottom w:val="0"/>
          <w:divBdr>
            <w:top w:val="none" w:sz="0" w:space="0" w:color="auto"/>
            <w:left w:val="none" w:sz="0" w:space="0" w:color="auto"/>
            <w:bottom w:val="none" w:sz="0" w:space="0" w:color="auto"/>
            <w:right w:val="none" w:sz="0" w:space="0" w:color="auto"/>
          </w:divBdr>
          <w:divsChild>
            <w:div w:id="1863352044">
              <w:marLeft w:val="0"/>
              <w:marRight w:val="0"/>
              <w:marTop w:val="0"/>
              <w:marBottom w:val="0"/>
              <w:divBdr>
                <w:top w:val="none" w:sz="0" w:space="0" w:color="auto"/>
                <w:left w:val="none" w:sz="0" w:space="0" w:color="auto"/>
                <w:bottom w:val="none" w:sz="0" w:space="0" w:color="auto"/>
                <w:right w:val="none" w:sz="0" w:space="0" w:color="auto"/>
              </w:divBdr>
              <w:divsChild>
                <w:div w:id="1504933973">
                  <w:marLeft w:val="0"/>
                  <w:marRight w:val="0"/>
                  <w:marTop w:val="0"/>
                  <w:marBottom w:val="0"/>
                  <w:divBdr>
                    <w:top w:val="none" w:sz="0" w:space="0" w:color="auto"/>
                    <w:left w:val="none" w:sz="0" w:space="0" w:color="auto"/>
                    <w:bottom w:val="none" w:sz="0" w:space="0" w:color="auto"/>
                    <w:right w:val="none" w:sz="0" w:space="0" w:color="auto"/>
                  </w:divBdr>
                  <w:divsChild>
                    <w:div w:id="6969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2924">
      <w:bodyDiv w:val="1"/>
      <w:marLeft w:val="0"/>
      <w:marRight w:val="0"/>
      <w:marTop w:val="0"/>
      <w:marBottom w:val="0"/>
      <w:divBdr>
        <w:top w:val="none" w:sz="0" w:space="0" w:color="auto"/>
        <w:left w:val="none" w:sz="0" w:space="0" w:color="auto"/>
        <w:bottom w:val="none" w:sz="0" w:space="0" w:color="auto"/>
        <w:right w:val="none" w:sz="0" w:space="0" w:color="auto"/>
      </w:divBdr>
    </w:div>
    <w:div w:id="2021736233">
      <w:bodyDiv w:val="1"/>
      <w:marLeft w:val="0"/>
      <w:marRight w:val="0"/>
      <w:marTop w:val="0"/>
      <w:marBottom w:val="0"/>
      <w:divBdr>
        <w:top w:val="none" w:sz="0" w:space="0" w:color="auto"/>
        <w:left w:val="none" w:sz="0" w:space="0" w:color="auto"/>
        <w:bottom w:val="none" w:sz="0" w:space="0" w:color="auto"/>
        <w:right w:val="none" w:sz="0" w:space="0" w:color="auto"/>
      </w:divBdr>
    </w:div>
    <w:div w:id="2044165345">
      <w:bodyDiv w:val="1"/>
      <w:marLeft w:val="0"/>
      <w:marRight w:val="0"/>
      <w:marTop w:val="0"/>
      <w:marBottom w:val="0"/>
      <w:divBdr>
        <w:top w:val="none" w:sz="0" w:space="0" w:color="auto"/>
        <w:left w:val="none" w:sz="0" w:space="0" w:color="auto"/>
        <w:bottom w:val="none" w:sz="0" w:space="0" w:color="auto"/>
        <w:right w:val="none" w:sz="0" w:space="0" w:color="auto"/>
      </w:divBdr>
      <w:divsChild>
        <w:div w:id="1330717925">
          <w:marLeft w:val="0"/>
          <w:marRight w:val="0"/>
          <w:marTop w:val="0"/>
          <w:marBottom w:val="0"/>
          <w:divBdr>
            <w:top w:val="none" w:sz="0" w:space="0" w:color="auto"/>
            <w:left w:val="none" w:sz="0" w:space="0" w:color="auto"/>
            <w:bottom w:val="none" w:sz="0" w:space="0" w:color="auto"/>
            <w:right w:val="none" w:sz="0" w:space="0" w:color="auto"/>
          </w:divBdr>
          <w:divsChild>
            <w:div w:id="898979941">
              <w:marLeft w:val="0"/>
              <w:marRight w:val="0"/>
              <w:marTop w:val="0"/>
              <w:marBottom w:val="0"/>
              <w:divBdr>
                <w:top w:val="none" w:sz="0" w:space="0" w:color="auto"/>
                <w:left w:val="none" w:sz="0" w:space="0" w:color="auto"/>
                <w:bottom w:val="none" w:sz="0" w:space="0" w:color="auto"/>
                <w:right w:val="none" w:sz="0" w:space="0" w:color="auto"/>
              </w:divBdr>
              <w:divsChild>
                <w:div w:id="949623684">
                  <w:marLeft w:val="0"/>
                  <w:marRight w:val="0"/>
                  <w:marTop w:val="0"/>
                  <w:marBottom w:val="0"/>
                  <w:divBdr>
                    <w:top w:val="none" w:sz="0" w:space="0" w:color="auto"/>
                    <w:left w:val="none" w:sz="0" w:space="0" w:color="auto"/>
                    <w:bottom w:val="none" w:sz="0" w:space="0" w:color="auto"/>
                    <w:right w:val="none" w:sz="0" w:space="0" w:color="auto"/>
                  </w:divBdr>
                  <w:divsChild>
                    <w:div w:id="17106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rr.ee/1610085694/tallinna-lennujaam-air-balticu-lahkumise-korral-paanikaks-pohjust-ei-nae" TargetMode="External"/><Relationship Id="rId18" Type="http://schemas.openxmlformats.org/officeDocument/2006/relationships/hyperlink" Target="https://www.err.ee/1610073772/eveconiga-seotud-ettevote-tahab-viljandimaale-rajada-200-mw-gaasijaama" TargetMode="External"/><Relationship Id="rId26" Type="http://schemas.openxmlformats.org/officeDocument/2006/relationships/hyperlink" Target="https://www.err.ee/1610069263/elektri-hind-oli-juunis-mullusega-vorreldes-poole-kallim" TargetMode="External"/><Relationship Id="rId21" Type="http://schemas.openxmlformats.org/officeDocument/2006/relationships/hyperlink" Target="https://www.err.ee/1610087707/eksperdid-nafta-ja-maagaasikriisi-eestile-ei-ennusta"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rr.ee/1610084122/tallinki-poolaasta-kahjum-oli-24-5-miljonit" TargetMode="External"/><Relationship Id="rId17" Type="http://schemas.openxmlformats.org/officeDocument/2006/relationships/hyperlink" Target="https://www.err.ee/1610072086/arukulas-alustas-tood-100-megavatine-akupark" TargetMode="External"/><Relationship Id="rId25" Type="http://schemas.openxmlformats.org/officeDocument/2006/relationships/hyperlink" Target="https://www.err.ee/1610088046/tarbijate-kindlustunne-juulis-tousis-ehitus-ja-kaubandussektoris-vahenes" TargetMode="External"/><Relationship Id="rId33" Type="http://schemas.openxmlformats.org/officeDocument/2006/relationships/hyperlink" Target="https://www.err.ee/1610098798/leis-ootame-jatkuvalt-latilt-ametlikku-seisukohta-rail-balticu-kohta" TargetMode="External"/><Relationship Id="rId2" Type="http://schemas.openxmlformats.org/officeDocument/2006/relationships/numbering" Target="numbering.xml"/><Relationship Id="rId16" Type="http://schemas.openxmlformats.org/officeDocument/2006/relationships/hyperlink" Target="https://www.err.ee/1610070895/selgus-eesti-lati-neljanda-elektriuhenduse-eelistatud-trass" TargetMode="External"/><Relationship Id="rId20" Type="http://schemas.openxmlformats.org/officeDocument/2006/relationships/hyperlink" Target="https://news.err.ee/1610084578/baltics-to-strengthen-joint-energy-reserves-share-emergency-equipment" TargetMode="External"/><Relationship Id="rId29" Type="http://schemas.openxmlformats.org/officeDocument/2006/relationships/hyperlink" Target="https://www.err.ee/1610080120/pankade-poolaasta-kasumid-langesid-laenumahud-kasvasid-joudsa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r.ee/1610078185/tallinna-lennujaam-tegi-taas-rekordi-eesti-inimene-reisib-aga-tanavu-vahem" TargetMode="External"/><Relationship Id="rId24" Type="http://schemas.openxmlformats.org/officeDocument/2006/relationships/hyperlink" Target="https://www.err.ee/1610074207/registreeritud-tootus-langes-viimase-viie-aasta-madalaimale-tasemele" TargetMode="External"/><Relationship Id="rId32" Type="http://schemas.openxmlformats.org/officeDocument/2006/relationships/hyperlink" Target="https://www.err.ee/1610081743/euroopa-komisjoni-eesti-esindaja-ets-2-komisjon-muuta-ei-kavats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eeniusdigipro.delfi.ee/artikkel/120597607/eisi-innovatsioonilaen-lukati-kaima-gscan-saab-uusi-seadmeid-ja-rollo-robotics-hakkab-roboteid-tootma" TargetMode="External"/><Relationship Id="rId23" Type="http://schemas.openxmlformats.org/officeDocument/2006/relationships/hyperlink" Target="https://www.err.ee/1610073715/mai-eelarvepuudujaak-ulatus-1-6-protsendini-skp-st" TargetMode="External"/><Relationship Id="rId28" Type="http://schemas.openxmlformats.org/officeDocument/2006/relationships/hyperlink" Target="https://www.err.ee/1610077387/restoranipidajatel-on-30-aasta-koige-raskem-seis" TargetMode="External"/><Relationship Id="rId36" Type="http://schemas.openxmlformats.org/officeDocument/2006/relationships/fontTable" Target="fontTable.xml"/><Relationship Id="rId10" Type="http://schemas.openxmlformats.org/officeDocument/2006/relationships/hyperlink" Target="https://www.err.ee/1610078803/turismi-tipphooaeg-saabub-eesti-hotellidele-muust-euroopast-varem" TargetMode="External"/><Relationship Id="rId19" Type="http://schemas.openxmlformats.org/officeDocument/2006/relationships/hyperlink" Target="https://www.err.ee/1610081902/ungari-otp-pank-ostab-luminori-ara" TargetMode="External"/><Relationship Id="rId31" Type="http://schemas.openxmlformats.org/officeDocument/2006/relationships/hyperlink" Target="https://www.err.ee/1610076373/eesti-soovib-et-tasuta-heiteuhikuid-jagataks-ka-peale-2040-aastat" TargetMode="External"/><Relationship Id="rId4" Type="http://schemas.openxmlformats.org/officeDocument/2006/relationships/settings" Target="settings.xml"/><Relationship Id="rId9" Type="http://schemas.openxmlformats.org/officeDocument/2006/relationships/hyperlink" Target="https://www.err.ee/1610099560/toidukaupade-muuk-pooras-parast-pikka-kahanemist-taas-tousule" TargetMode="External"/><Relationship Id="rId14" Type="http://schemas.openxmlformats.org/officeDocument/2006/relationships/hyperlink" Target="https://www.err.ee/1610098714/riik-ootab-lennujaamalt-uute-lendajate-eestisse-toomist-ja-rohkem-uhendusi" TargetMode="External"/><Relationship Id="rId22" Type="http://schemas.openxmlformats.org/officeDocument/2006/relationships/hyperlink" Target="https://www.err.ee/1610071738/tarbijahinnaindeks-tousis-juunis-2-3-protsenti" TargetMode="External"/><Relationship Id="rId27" Type="http://schemas.openxmlformats.org/officeDocument/2006/relationships/hyperlink" Target="https://www.err.ee/1610074228/kaupade-eksport-kasvas-mais-aastaga-uheksa-protsenti" TargetMode="External"/><Relationship Id="rId30" Type="http://schemas.openxmlformats.org/officeDocument/2006/relationships/hyperlink" Target="https://www.err.ee/1610080552/venemaa-kehtestas-eestist-parit-veokitele-taieliku-kaubaveokeelu" TargetMode="External"/><Relationship Id="rId35" Type="http://schemas.openxmlformats.org/officeDocument/2006/relationships/header" Target="header1.xml"/><Relationship Id="rId8" Type="http://schemas.openxmlformats.org/officeDocument/2006/relationships/hyperlink" Target="https://www.err.ee/1610083090/ehitusmaterjalide-kallinemine-loi-ehitushinna-ule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15287-186C-4FDF-872E-F2FD7F66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2118</Words>
  <Characters>13498</Characters>
  <Application>Microsoft Office Word</Application>
  <DocSecurity>0</DocSecurity>
  <Lines>449</Lines>
  <Paragraphs>127</Paragraphs>
  <ScaleCrop>false</ScaleCrop>
  <HeadingPairs>
    <vt:vector size="2" baseType="variant">
      <vt:variant>
        <vt:lpstr>Title</vt:lpstr>
      </vt:variant>
      <vt:variant>
        <vt:i4>1</vt:i4>
      </vt:variant>
    </vt:vector>
  </HeadingPairs>
  <TitlesOfParts>
    <vt:vector size="1" baseType="lpstr">
      <vt:lpstr/>
    </vt:vector>
  </TitlesOfParts>
  <Company>URM</Company>
  <LinksUpToDate>false</LinksUpToDate>
  <CharactersWithSpaces>15489</CharactersWithSpaces>
  <SharedDoc>false</SharedDoc>
  <HLinks>
    <vt:vector size="24" baseType="variant">
      <vt:variant>
        <vt:i4>8192111</vt:i4>
      </vt:variant>
      <vt:variant>
        <vt:i4>9</vt:i4>
      </vt:variant>
      <vt:variant>
        <vt:i4>0</vt:i4>
      </vt:variant>
      <vt:variant>
        <vt:i4>5</vt:i4>
      </vt:variant>
      <vt:variant>
        <vt:lpwstr>https://news.err.ee/1608359649/european-commission-endorses-969-3-million-recovery-fund-for-estonia</vt:lpwstr>
      </vt:variant>
      <vt:variant>
        <vt:lpwstr/>
      </vt:variant>
      <vt:variant>
        <vt:i4>1441816</vt:i4>
      </vt:variant>
      <vt:variant>
        <vt:i4>6</vt:i4>
      </vt:variant>
      <vt:variant>
        <vt:i4>0</vt:i4>
      </vt:variant>
      <vt:variant>
        <vt:i4>5</vt:i4>
      </vt:variant>
      <vt:variant>
        <vt:lpwstr>https://news.err.ee/1608353564/enefit-green-signs-130-million-wind-farm-finance-deal</vt:lpwstr>
      </vt:variant>
      <vt:variant>
        <vt:lpwstr/>
      </vt:variant>
      <vt:variant>
        <vt:i4>720983</vt:i4>
      </vt:variant>
      <vt:variant>
        <vt:i4>3</vt:i4>
      </vt:variant>
      <vt:variant>
        <vt:i4>0</vt:i4>
      </vt:variant>
      <vt:variant>
        <vt:i4>5</vt:i4>
      </vt:variant>
      <vt:variant>
        <vt:lpwstr>https://news.err.ee/1608344375/enefit-green-s-renewable-electricity-production-up-75-percent-on-year</vt:lpwstr>
      </vt:variant>
      <vt:variant>
        <vt:lpwstr/>
      </vt:variant>
      <vt:variant>
        <vt:i4>458766</vt:i4>
      </vt:variant>
      <vt:variant>
        <vt:i4>0</vt:i4>
      </vt:variant>
      <vt:variant>
        <vt:i4>0</vt:i4>
      </vt:variant>
      <vt:variant>
        <vt:i4>5</vt:i4>
      </vt:variant>
      <vt:variant>
        <vt:lpwstr>https://surfshark.com/dql2021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Gečaitė-Verksnienė</dc:creator>
  <cp:keywords/>
  <dc:description/>
  <cp:lastModifiedBy>Gitana SKRIPKAITĖ</cp:lastModifiedBy>
  <cp:revision>4</cp:revision>
  <cp:lastPrinted>2023-11-17T11:32:00Z</cp:lastPrinted>
  <dcterms:created xsi:type="dcterms:W3CDTF">2026-08-05T10:33:00Z</dcterms:created>
  <dcterms:modified xsi:type="dcterms:W3CDTF">2026-08-05T10:45:00Z</dcterms:modified>
</cp:coreProperties>
</file>