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9944" w14:textId="77777777" w:rsidR="00893108" w:rsidRDefault="00000000">
      <w:pPr>
        <w:spacing w:after="0" w:line="240" w:lineRule="auto"/>
        <w:ind w:left="5103"/>
      </w:pPr>
      <w:r>
        <w:t>Lietuvos Respublikos diplomatinių atstovybių, konsulinių įstaigų ir specialiųjų misijų ekonominių funkcijų vykdymo tvarkos aprašo</w:t>
      </w:r>
    </w:p>
    <w:p w14:paraId="0C0C7C2E" w14:textId="77777777" w:rsidR="00893108" w:rsidRDefault="00000000">
      <w:pPr>
        <w:spacing w:after="0" w:line="240" w:lineRule="auto"/>
        <w:ind w:firstLine="5103"/>
      </w:pPr>
      <w:r>
        <w:t xml:space="preserve">3 priedas </w:t>
      </w:r>
    </w:p>
    <w:p w14:paraId="5604A635" w14:textId="77777777" w:rsidR="00893108" w:rsidRDefault="00893108">
      <w:pPr>
        <w:spacing w:after="0" w:line="240" w:lineRule="auto"/>
        <w:ind w:firstLine="5103"/>
      </w:pPr>
    </w:p>
    <w:p w14:paraId="0B69339F" w14:textId="77777777" w:rsidR="00893108" w:rsidRDefault="00000000">
      <w:pPr>
        <w:spacing w:after="0" w:line="240" w:lineRule="auto"/>
        <w:jc w:val="center"/>
        <w:rPr>
          <w:b/>
          <w:bCs/>
        </w:rPr>
      </w:pPr>
      <w:r>
        <w:rPr>
          <w:b/>
          <w:bCs/>
        </w:rPr>
        <w:t>(Aktualios ekonominės informacijos suvestinės forma)</w:t>
      </w:r>
    </w:p>
    <w:p w14:paraId="5DEE119C" w14:textId="77777777" w:rsidR="00893108" w:rsidRDefault="00893108">
      <w:pPr>
        <w:spacing w:after="0" w:line="240" w:lineRule="auto"/>
        <w:jc w:val="center"/>
        <w:rPr>
          <w:b/>
          <w:bCs/>
        </w:rPr>
      </w:pPr>
    </w:p>
    <w:p w14:paraId="11266604" w14:textId="77777777" w:rsidR="00893108" w:rsidRDefault="00000000">
      <w:pPr>
        <w:spacing w:after="0" w:line="240" w:lineRule="auto"/>
        <w:jc w:val="center"/>
      </w:pPr>
      <w:r>
        <w:t>Lietuvos Respublikos ambasada Budapešte</w:t>
      </w:r>
    </w:p>
    <w:p w14:paraId="092460DA" w14:textId="77777777" w:rsidR="00893108" w:rsidRDefault="00000000">
      <w:pPr>
        <w:spacing w:after="0" w:line="240" w:lineRule="auto"/>
        <w:jc w:val="center"/>
      </w:pPr>
      <w:r>
        <w:t xml:space="preserve"> </w:t>
      </w:r>
    </w:p>
    <w:p w14:paraId="53A443EA" w14:textId="77777777" w:rsidR="00893108" w:rsidRDefault="00893108">
      <w:pPr>
        <w:spacing w:after="0" w:line="240" w:lineRule="auto"/>
        <w:jc w:val="center"/>
      </w:pPr>
    </w:p>
    <w:p w14:paraId="5FCE551A" w14:textId="77777777" w:rsidR="00893108" w:rsidRDefault="00000000">
      <w:pPr>
        <w:spacing w:after="0" w:line="240" w:lineRule="auto"/>
        <w:jc w:val="center"/>
        <w:rPr>
          <w:b/>
          <w:bCs/>
        </w:rPr>
      </w:pPr>
      <w:r>
        <w:rPr>
          <w:b/>
          <w:bCs/>
        </w:rPr>
        <w:t>AKTUALIOS EKONOMINĖS INFORMACIJOS SUVESTINĖ</w:t>
      </w:r>
    </w:p>
    <w:p w14:paraId="09A3B245" w14:textId="77777777" w:rsidR="00893108" w:rsidRDefault="00893108">
      <w:pPr>
        <w:spacing w:after="0" w:line="240" w:lineRule="auto"/>
        <w:jc w:val="center"/>
        <w:rPr>
          <w:b/>
          <w:bCs/>
        </w:rPr>
      </w:pPr>
    </w:p>
    <w:p w14:paraId="67FAC327" w14:textId="77777777" w:rsidR="00893108" w:rsidRDefault="00000000">
      <w:pPr>
        <w:spacing w:after="0" w:line="240" w:lineRule="auto"/>
        <w:jc w:val="center"/>
      </w:pPr>
      <w:r>
        <w:t>2026-06-12</w:t>
      </w:r>
    </w:p>
    <w:p w14:paraId="1A1D90F4" w14:textId="77777777" w:rsidR="00893108" w:rsidRDefault="00893108">
      <w:pPr>
        <w:spacing w:after="0" w:line="240" w:lineRule="auto"/>
        <w:jc w:val="center"/>
      </w:pPr>
    </w:p>
    <w:p w14:paraId="7B4E95B0" w14:textId="77777777" w:rsidR="00893108" w:rsidRDefault="00893108">
      <w:pPr>
        <w:spacing w:after="0" w:line="240" w:lineRule="auto"/>
      </w:pPr>
    </w:p>
    <w:p w14:paraId="10D171DC" w14:textId="77777777" w:rsidR="00893108" w:rsidRDefault="00893108">
      <w:pPr>
        <w:spacing w:after="0" w:line="240" w:lineRule="auto"/>
        <w:jc w:val="center"/>
      </w:pPr>
    </w:p>
    <w:tbl>
      <w:tblPr>
        <w:tblStyle w:val="a"/>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5"/>
        <w:gridCol w:w="4725"/>
        <w:gridCol w:w="2235"/>
        <w:gridCol w:w="1275"/>
      </w:tblGrid>
      <w:tr w:rsidR="00893108" w14:paraId="09C279CB" w14:textId="77777777">
        <w:trPr>
          <w:cantSplit/>
          <w:trHeight w:val="385"/>
          <w:tblHeader/>
        </w:trPr>
        <w:tc>
          <w:tcPr>
            <w:tcW w:w="1395" w:type="dxa"/>
            <w:tcMar>
              <w:top w:w="40" w:type="dxa"/>
              <w:left w:w="115" w:type="dxa"/>
              <w:bottom w:w="40" w:type="dxa"/>
              <w:right w:w="115" w:type="dxa"/>
            </w:tcMar>
            <w:vAlign w:val="center"/>
          </w:tcPr>
          <w:p w14:paraId="4E09AE35" w14:textId="77777777" w:rsidR="00893108" w:rsidRDefault="00000000">
            <w:pPr>
              <w:spacing w:after="0" w:line="240" w:lineRule="auto"/>
              <w:jc w:val="center"/>
            </w:pPr>
            <w:r>
              <w:rPr>
                <w:b/>
                <w:bCs/>
              </w:rPr>
              <w:t>Data</w:t>
            </w:r>
          </w:p>
        </w:tc>
        <w:tc>
          <w:tcPr>
            <w:tcW w:w="4725" w:type="dxa"/>
            <w:tcMar>
              <w:top w:w="40" w:type="dxa"/>
              <w:left w:w="115" w:type="dxa"/>
              <w:bottom w:w="40" w:type="dxa"/>
              <w:right w:w="115" w:type="dxa"/>
            </w:tcMar>
            <w:vAlign w:val="center"/>
          </w:tcPr>
          <w:p w14:paraId="646D0450" w14:textId="77777777" w:rsidR="00893108" w:rsidRDefault="00000000">
            <w:pPr>
              <w:spacing w:after="0" w:line="240" w:lineRule="auto"/>
              <w:jc w:val="center"/>
            </w:pPr>
            <w:r>
              <w:rPr>
                <w:b/>
                <w:bCs/>
              </w:rPr>
              <w:t>Pateikiamos informacijos apibendrinimas</w:t>
            </w:r>
          </w:p>
        </w:tc>
        <w:tc>
          <w:tcPr>
            <w:tcW w:w="2235" w:type="dxa"/>
            <w:tcMar>
              <w:top w:w="40" w:type="dxa"/>
              <w:left w:w="115" w:type="dxa"/>
              <w:bottom w:w="40" w:type="dxa"/>
              <w:right w:w="115" w:type="dxa"/>
            </w:tcMar>
            <w:vAlign w:val="center"/>
          </w:tcPr>
          <w:p w14:paraId="454B61D4" w14:textId="77777777" w:rsidR="00893108" w:rsidRDefault="00000000">
            <w:pPr>
              <w:spacing w:after="0" w:line="240" w:lineRule="auto"/>
              <w:jc w:val="center"/>
            </w:pPr>
            <w:r>
              <w:rPr>
                <w:b/>
                <w:bCs/>
              </w:rPr>
              <w:t>Informacijos šaltinis</w:t>
            </w:r>
          </w:p>
        </w:tc>
        <w:tc>
          <w:tcPr>
            <w:tcW w:w="1275" w:type="dxa"/>
            <w:tcMar>
              <w:top w:w="40" w:type="dxa"/>
              <w:left w:w="115" w:type="dxa"/>
              <w:bottom w:w="40" w:type="dxa"/>
              <w:right w:w="115" w:type="dxa"/>
            </w:tcMar>
            <w:vAlign w:val="center"/>
          </w:tcPr>
          <w:p w14:paraId="77F4EA03" w14:textId="77777777" w:rsidR="00893108" w:rsidRDefault="00000000">
            <w:pPr>
              <w:spacing w:after="0" w:line="240" w:lineRule="auto"/>
              <w:jc w:val="center"/>
            </w:pPr>
            <w:r>
              <w:rPr>
                <w:b/>
                <w:bCs/>
              </w:rPr>
              <w:t>Pastabos</w:t>
            </w:r>
          </w:p>
        </w:tc>
      </w:tr>
      <w:tr w:rsidR="00893108" w14:paraId="6293B512" w14:textId="77777777">
        <w:trPr>
          <w:cantSplit/>
        </w:trPr>
        <w:tc>
          <w:tcPr>
            <w:tcW w:w="9630" w:type="dxa"/>
            <w:gridSpan w:val="4"/>
            <w:tcMar>
              <w:top w:w="30" w:type="dxa"/>
              <w:bottom w:w="30" w:type="dxa"/>
            </w:tcMar>
            <w:vAlign w:val="center"/>
          </w:tcPr>
          <w:p w14:paraId="04C7083D" w14:textId="77777777" w:rsidR="00893108" w:rsidRDefault="00000000">
            <w:pPr>
              <w:keepNext/>
              <w:spacing w:after="0" w:line="240" w:lineRule="auto"/>
            </w:pPr>
            <w:r>
              <w:rPr>
                <w:b/>
                <w:bCs/>
              </w:rPr>
              <w:t>Lietuvos eksportuotojams aktuali informacija</w:t>
            </w:r>
          </w:p>
        </w:tc>
      </w:tr>
      <w:tr w:rsidR="00893108" w14:paraId="013C1935" w14:textId="77777777">
        <w:tc>
          <w:tcPr>
            <w:tcW w:w="1395" w:type="dxa"/>
            <w:tcMar>
              <w:top w:w="40" w:type="dxa"/>
              <w:bottom w:w="40" w:type="dxa"/>
            </w:tcMar>
          </w:tcPr>
          <w:p w14:paraId="5796541F" w14:textId="77777777" w:rsidR="00893108" w:rsidRDefault="00000000">
            <w:pPr>
              <w:spacing w:after="0" w:line="240" w:lineRule="auto"/>
              <w:jc w:val="center"/>
            </w:pPr>
            <w:r>
              <w:t>2026‑06‑12</w:t>
            </w:r>
          </w:p>
        </w:tc>
        <w:tc>
          <w:tcPr>
            <w:tcW w:w="4725" w:type="dxa"/>
            <w:tcMar>
              <w:top w:w="40" w:type="dxa"/>
              <w:bottom w:w="40" w:type="dxa"/>
            </w:tcMar>
          </w:tcPr>
          <w:p w14:paraId="3D260845" w14:textId="77777777" w:rsidR="00893108" w:rsidRDefault="00000000">
            <w:pPr>
              <w:spacing w:after="0"/>
              <w:jc w:val="both"/>
            </w:pPr>
            <w:r>
              <w:t xml:space="preserve">Vengrijos BVP pirmąjį metų ketvirtį padidėjo 1,7 %, daugiausia dėl namų ūkių vartojimo ir paslaugų sektoriaus. Naujausiais duomenimis, balandį realusis darbo užmokestis buvo 8,9 % didesnis nei prieš metus, o gegužę mažmeninės prekybos apyvarta, lyginant su 2025 m. geguže, išaugo 4,8 %. </w:t>
            </w:r>
          </w:p>
        </w:tc>
        <w:tc>
          <w:tcPr>
            <w:tcW w:w="2235" w:type="dxa"/>
            <w:tcMar>
              <w:top w:w="40" w:type="dxa"/>
              <w:bottom w:w="40" w:type="dxa"/>
            </w:tcMar>
          </w:tcPr>
          <w:p w14:paraId="77182531" w14:textId="77777777" w:rsidR="00893108" w:rsidRDefault="00000000">
            <w:pPr>
              <w:spacing w:after="0"/>
              <w:rPr>
                <w:color w:val="45818E"/>
              </w:rPr>
            </w:pPr>
            <w:hyperlink r:id="rId5">
              <w:r>
                <w:rPr>
                  <w:color w:val="45818E"/>
                  <w:u w:val="single"/>
                </w:rPr>
                <w:t>https://www.ksh.hu/en/first-releases/ker/eker2604.html</w:t>
              </w:r>
            </w:hyperlink>
            <w:r>
              <w:rPr>
                <w:color w:val="45818E"/>
              </w:rPr>
              <w:t xml:space="preserve"> </w:t>
            </w:r>
          </w:p>
          <w:p w14:paraId="7457B8BE" w14:textId="77777777" w:rsidR="00893108" w:rsidRDefault="00000000">
            <w:pPr>
              <w:spacing w:after="0"/>
              <w:rPr>
                <w:color w:val="45818E"/>
              </w:rPr>
            </w:pPr>
            <w:hyperlink r:id="rId6">
              <w:r>
                <w:rPr>
                  <w:color w:val="45818E"/>
                  <w:u w:val="single"/>
                </w:rPr>
                <w:t>https://www.ksh.hu/en/first-releases/kis/ekis2605.html</w:t>
              </w:r>
            </w:hyperlink>
            <w:r>
              <w:rPr>
                <w:color w:val="45818E"/>
              </w:rPr>
              <w:t xml:space="preserve"> </w:t>
            </w:r>
          </w:p>
        </w:tc>
        <w:tc>
          <w:tcPr>
            <w:tcW w:w="1275" w:type="dxa"/>
            <w:tcMar>
              <w:top w:w="40" w:type="dxa"/>
              <w:bottom w:w="40" w:type="dxa"/>
            </w:tcMar>
          </w:tcPr>
          <w:p w14:paraId="6457393F" w14:textId="77777777" w:rsidR="00893108" w:rsidRDefault="00893108">
            <w:pPr>
              <w:spacing w:after="0" w:line="240" w:lineRule="auto"/>
              <w:jc w:val="both"/>
            </w:pPr>
          </w:p>
        </w:tc>
      </w:tr>
      <w:tr w:rsidR="00893108" w14:paraId="08962551" w14:textId="77777777">
        <w:tc>
          <w:tcPr>
            <w:tcW w:w="1395" w:type="dxa"/>
            <w:tcMar>
              <w:top w:w="40" w:type="dxa"/>
              <w:bottom w:w="40" w:type="dxa"/>
            </w:tcMar>
          </w:tcPr>
          <w:p w14:paraId="799FA845" w14:textId="77777777" w:rsidR="00893108" w:rsidRDefault="00000000">
            <w:pPr>
              <w:spacing w:after="0" w:line="240" w:lineRule="auto"/>
              <w:jc w:val="center"/>
            </w:pPr>
            <w:r>
              <w:t>2026‑07‑02</w:t>
            </w:r>
          </w:p>
        </w:tc>
        <w:tc>
          <w:tcPr>
            <w:tcW w:w="4725" w:type="dxa"/>
            <w:tcMar>
              <w:top w:w="40" w:type="dxa"/>
              <w:bottom w:w="40" w:type="dxa"/>
            </w:tcMar>
          </w:tcPr>
          <w:p w14:paraId="7D074ABC" w14:textId="77777777" w:rsidR="00893108" w:rsidRDefault="00000000">
            <w:pPr>
              <w:spacing w:after="0"/>
              <w:jc w:val="both"/>
            </w:pPr>
            <w:r>
              <w:t xml:space="preserve">Vengrijos prekybos perteklius gegužę siekė 502 mln. eurų – 160 mln. eurų daugiau nei prieš metus. Eksporto apimtis per metus sumažėjo 5,1 %, importo – 2 %. Prekybos su kitomis ES valstybėmis perteklius padidėjo iki 969 mln. eurų, o prekyboje su ES nepriklausančiomis šalimis užfiksuotas 467 mln. eurų deficitas. </w:t>
            </w:r>
          </w:p>
        </w:tc>
        <w:tc>
          <w:tcPr>
            <w:tcW w:w="2235" w:type="dxa"/>
            <w:tcMar>
              <w:top w:w="40" w:type="dxa"/>
              <w:bottom w:w="40" w:type="dxa"/>
            </w:tcMar>
          </w:tcPr>
          <w:p w14:paraId="1BCB1ACA" w14:textId="77777777" w:rsidR="00893108" w:rsidRDefault="00000000">
            <w:pPr>
              <w:spacing w:after="0"/>
              <w:rPr>
                <w:color w:val="45818E"/>
              </w:rPr>
            </w:pPr>
            <w:hyperlink r:id="rId7">
              <w:r>
                <w:rPr>
                  <w:color w:val="45818E"/>
                  <w:u w:val="single"/>
                </w:rPr>
                <w:t>https://bbj.hu/economy/finance/trade/hungary-trade-surplus-reaches-eur-502-mln-in-may/</w:t>
              </w:r>
            </w:hyperlink>
            <w:r>
              <w:rPr>
                <w:color w:val="45818E"/>
              </w:rPr>
              <w:t xml:space="preserve"> </w:t>
            </w:r>
          </w:p>
        </w:tc>
        <w:tc>
          <w:tcPr>
            <w:tcW w:w="1275" w:type="dxa"/>
            <w:tcMar>
              <w:top w:w="40" w:type="dxa"/>
              <w:bottom w:w="40" w:type="dxa"/>
            </w:tcMar>
          </w:tcPr>
          <w:p w14:paraId="59CF8109" w14:textId="77777777" w:rsidR="00893108" w:rsidRDefault="00893108">
            <w:pPr>
              <w:spacing w:after="0" w:line="240" w:lineRule="auto"/>
              <w:jc w:val="both"/>
            </w:pPr>
          </w:p>
        </w:tc>
      </w:tr>
      <w:tr w:rsidR="00893108" w14:paraId="1FA3DDD3" w14:textId="77777777">
        <w:tc>
          <w:tcPr>
            <w:tcW w:w="1395" w:type="dxa"/>
            <w:tcMar>
              <w:top w:w="40" w:type="dxa"/>
              <w:bottom w:w="40" w:type="dxa"/>
            </w:tcMar>
          </w:tcPr>
          <w:p w14:paraId="03224F40" w14:textId="77777777" w:rsidR="00893108" w:rsidRDefault="00000000">
            <w:pPr>
              <w:spacing w:after="0" w:line="240" w:lineRule="auto"/>
              <w:jc w:val="center"/>
            </w:pPr>
            <w:r>
              <w:t>2026‑07‑06</w:t>
            </w:r>
          </w:p>
        </w:tc>
        <w:tc>
          <w:tcPr>
            <w:tcW w:w="4725" w:type="dxa"/>
            <w:tcMar>
              <w:top w:w="40" w:type="dxa"/>
              <w:bottom w:w="40" w:type="dxa"/>
            </w:tcMar>
          </w:tcPr>
          <w:p w14:paraId="5646EDEA" w14:textId="77777777" w:rsidR="00893108" w:rsidRDefault="00000000">
            <w:pPr>
              <w:spacing w:after="0"/>
              <w:jc w:val="both"/>
            </w:pPr>
            <w:r>
              <w:t xml:space="preserve">Mažmeninės prekybos apyvarta gegužę buvo 4,8 % didesnė nei prieš metus, o, palyginti su balandžiu, padidėjo 0,7 %. Maisto prekių pardavimai augo 3,5 %, ne maisto prekių – 4,9 %, degalų – 1,9 %, o prekyba internetu sudarė 8,2 % visos mažmeninės prekybos apyvartos. </w:t>
            </w:r>
          </w:p>
        </w:tc>
        <w:tc>
          <w:tcPr>
            <w:tcW w:w="2235" w:type="dxa"/>
            <w:tcMar>
              <w:top w:w="40" w:type="dxa"/>
              <w:bottom w:w="40" w:type="dxa"/>
            </w:tcMar>
          </w:tcPr>
          <w:p w14:paraId="7A221587" w14:textId="77777777" w:rsidR="00893108" w:rsidRDefault="00000000">
            <w:pPr>
              <w:spacing w:after="0"/>
              <w:rPr>
                <w:color w:val="45818E"/>
              </w:rPr>
            </w:pPr>
            <w:hyperlink r:id="rId8">
              <w:r>
                <w:rPr>
                  <w:color w:val="45818E"/>
                  <w:u w:val="single"/>
                </w:rPr>
                <w:t>https://bbj.hu/business/industry/retail/hungary-retail-sales-rise-4-8-in-may-up-0-7-month-on-month/</w:t>
              </w:r>
            </w:hyperlink>
            <w:r>
              <w:rPr>
                <w:color w:val="45818E"/>
              </w:rPr>
              <w:t xml:space="preserve"> </w:t>
            </w:r>
          </w:p>
        </w:tc>
        <w:tc>
          <w:tcPr>
            <w:tcW w:w="1275" w:type="dxa"/>
            <w:tcMar>
              <w:top w:w="40" w:type="dxa"/>
              <w:bottom w:w="40" w:type="dxa"/>
            </w:tcMar>
          </w:tcPr>
          <w:p w14:paraId="08A0E5FD" w14:textId="77777777" w:rsidR="00893108" w:rsidRDefault="00893108">
            <w:pPr>
              <w:spacing w:after="0" w:line="240" w:lineRule="auto"/>
              <w:jc w:val="both"/>
            </w:pPr>
          </w:p>
        </w:tc>
      </w:tr>
      <w:tr w:rsidR="00893108" w14:paraId="0E6CFB47" w14:textId="77777777">
        <w:tc>
          <w:tcPr>
            <w:tcW w:w="1395" w:type="dxa"/>
            <w:tcMar>
              <w:top w:w="40" w:type="dxa"/>
              <w:bottom w:w="40" w:type="dxa"/>
            </w:tcMar>
          </w:tcPr>
          <w:p w14:paraId="6C81A2FE" w14:textId="77777777" w:rsidR="00893108" w:rsidRDefault="00000000">
            <w:pPr>
              <w:spacing w:after="0" w:line="240" w:lineRule="auto"/>
              <w:jc w:val="center"/>
            </w:pPr>
            <w:r>
              <w:t>2026‑06‑04</w:t>
            </w:r>
          </w:p>
        </w:tc>
        <w:tc>
          <w:tcPr>
            <w:tcW w:w="4725" w:type="dxa"/>
            <w:tcMar>
              <w:top w:w="40" w:type="dxa"/>
              <w:bottom w:w="40" w:type="dxa"/>
            </w:tcMar>
          </w:tcPr>
          <w:p w14:paraId="4456E515" w14:textId="77777777" w:rsidR="00893108" w:rsidRDefault="00000000">
            <w:pPr>
              <w:spacing w:after="0"/>
              <w:jc w:val="both"/>
            </w:pPr>
            <w:r>
              <w:t xml:space="preserve">Šiaurės rytų Vengrijoje patvirtintas pirmasis afrikinio kiaulių maro protrūkis šalies naminių kiaulių populiacijoje. Paskersti apie 3 tūkst. gyvulių, nustatytos apsaugos zonos, o dalis </w:t>
            </w:r>
            <w:r>
              <w:lastRenderedPageBreak/>
              <w:t xml:space="preserve">eksporto rinkų, įskaitant Pietų Korėją, Vietnamą ir Serbiją, užsidarė Vengrijos kiaulienai. </w:t>
            </w:r>
          </w:p>
        </w:tc>
        <w:tc>
          <w:tcPr>
            <w:tcW w:w="2235" w:type="dxa"/>
            <w:tcMar>
              <w:top w:w="40" w:type="dxa"/>
              <w:bottom w:w="40" w:type="dxa"/>
            </w:tcMar>
          </w:tcPr>
          <w:p w14:paraId="549F2561" w14:textId="77777777" w:rsidR="00893108" w:rsidRDefault="00000000">
            <w:pPr>
              <w:spacing w:after="0"/>
            </w:pPr>
            <w:hyperlink r:id="rId9">
              <w:r>
                <w:rPr>
                  <w:color w:val="467886"/>
                  <w:u w:val="single"/>
                </w:rPr>
                <w:t>https://www.reuters.com/business/healthcare-pharmaceuticals/hun</w:t>
              </w:r>
              <w:r>
                <w:rPr>
                  <w:color w:val="467886"/>
                  <w:u w:val="single"/>
                </w:rPr>
                <w:lastRenderedPageBreak/>
                <w:t>gary-reports-african-swine-fever-domestic-pigs-first-time-2026-06-04/</w:t>
              </w:r>
            </w:hyperlink>
          </w:p>
        </w:tc>
        <w:tc>
          <w:tcPr>
            <w:tcW w:w="1275" w:type="dxa"/>
            <w:tcMar>
              <w:top w:w="40" w:type="dxa"/>
              <w:bottom w:w="40" w:type="dxa"/>
            </w:tcMar>
          </w:tcPr>
          <w:p w14:paraId="7869D067" w14:textId="77777777" w:rsidR="00893108" w:rsidRDefault="00893108">
            <w:pPr>
              <w:spacing w:after="0" w:line="240" w:lineRule="auto"/>
              <w:jc w:val="both"/>
            </w:pPr>
          </w:p>
        </w:tc>
      </w:tr>
      <w:tr w:rsidR="00893108" w14:paraId="78D185EC" w14:textId="77777777">
        <w:trPr>
          <w:cantSplit/>
        </w:trPr>
        <w:tc>
          <w:tcPr>
            <w:tcW w:w="9630" w:type="dxa"/>
            <w:gridSpan w:val="4"/>
            <w:tcMar>
              <w:top w:w="30" w:type="dxa"/>
              <w:bottom w:w="30" w:type="dxa"/>
            </w:tcMar>
            <w:vAlign w:val="center"/>
          </w:tcPr>
          <w:p w14:paraId="05F09003" w14:textId="77777777" w:rsidR="00893108" w:rsidRDefault="00000000">
            <w:pPr>
              <w:keepNext/>
              <w:spacing w:after="0" w:line="240" w:lineRule="auto"/>
            </w:pPr>
            <w:r>
              <w:rPr>
                <w:b/>
                <w:bCs/>
              </w:rPr>
              <w:t>Lietuvos verslo plėtrai užsienyje aktuali informacija / Tiesioginėms užsienio investicijoms pritraukti į Lietuvą aktuali informacija</w:t>
            </w:r>
          </w:p>
        </w:tc>
      </w:tr>
      <w:tr w:rsidR="00893108" w14:paraId="6F1CD902" w14:textId="77777777">
        <w:tc>
          <w:tcPr>
            <w:tcW w:w="1395" w:type="dxa"/>
            <w:tcMar>
              <w:top w:w="40" w:type="dxa"/>
              <w:bottom w:w="40" w:type="dxa"/>
            </w:tcMar>
          </w:tcPr>
          <w:p w14:paraId="190BAFD7" w14:textId="77777777" w:rsidR="00893108" w:rsidRDefault="00000000">
            <w:pPr>
              <w:spacing w:after="0" w:line="240" w:lineRule="auto"/>
              <w:jc w:val="center"/>
            </w:pPr>
            <w:r>
              <w:t>2026‑06‑10</w:t>
            </w:r>
          </w:p>
        </w:tc>
        <w:tc>
          <w:tcPr>
            <w:tcW w:w="4725" w:type="dxa"/>
            <w:tcMar>
              <w:top w:w="40" w:type="dxa"/>
              <w:bottom w:w="40" w:type="dxa"/>
            </w:tcMar>
          </w:tcPr>
          <w:p w14:paraId="70657D61" w14:textId="77777777" w:rsidR="00893108" w:rsidRDefault="00000000">
            <w:pPr>
              <w:spacing w:after="0"/>
              <w:jc w:val="both"/>
            </w:pPr>
            <w:r>
              <w:t xml:space="preserve">Vengrijos vyriausybė ir EK pasiekė susitarimą, kuris, įgyvendinus numatytas reformas, gali sudaryti sąlygas atlaisvinti iki 16,4 mlrd. eurų anksčiau įšaldytų ES lėšų. Finansavimą numatoma skirti energetikos ir transporto infrastruktūrai, būsto projektams, aukštajam mokslui ir kt. Vykdydama prisiimtus įsipareigojimus, Vengrijos vyriausybė pateikė parlamentui antikorupcinių ir skaidrumo didinimo pataisų paketą, kuriuo plečiami Sąžiningumo tarnybos įgaliojimai, griežtinamos turto deklaravimo bei viešųjų pirkimų taisyklės. Lėšų išmokėjimas priklausys nuo to, ar Vengrija laiku ir tinkamai įgyvendins sutartas reformas. </w:t>
            </w:r>
          </w:p>
        </w:tc>
        <w:tc>
          <w:tcPr>
            <w:tcW w:w="2235" w:type="dxa"/>
            <w:tcMar>
              <w:top w:w="40" w:type="dxa"/>
              <w:bottom w:w="40" w:type="dxa"/>
            </w:tcMar>
          </w:tcPr>
          <w:p w14:paraId="0087EDE0" w14:textId="77777777" w:rsidR="00893108" w:rsidRDefault="00000000">
            <w:pPr>
              <w:spacing w:after="0"/>
            </w:pPr>
            <w:hyperlink r:id="rId10">
              <w:r>
                <w:rPr>
                  <w:color w:val="467886"/>
                  <w:u w:val="single"/>
                </w:rPr>
                <w:t>https://www.reuters.com/business/eu-agrees-unlock-billions-funds-hungary-von-der-leyen-2026-05-29/</w:t>
              </w:r>
            </w:hyperlink>
            <w:r>
              <w:br/>
            </w:r>
            <w:hyperlink r:id="rId11">
              <w:r>
                <w:rPr>
                  <w:color w:val="467886"/>
                  <w:u w:val="single"/>
                </w:rPr>
                <w:t>https://www.euractiv.com/news/hungary-seeks-to-unlock-e10-4bn-in-eu-funds-with-anti-corruption-overhaul/</w:t>
              </w:r>
            </w:hyperlink>
          </w:p>
        </w:tc>
        <w:tc>
          <w:tcPr>
            <w:tcW w:w="1275" w:type="dxa"/>
            <w:tcMar>
              <w:top w:w="40" w:type="dxa"/>
              <w:bottom w:w="40" w:type="dxa"/>
            </w:tcMar>
          </w:tcPr>
          <w:p w14:paraId="79BD52C2" w14:textId="77777777" w:rsidR="00893108" w:rsidRDefault="00893108">
            <w:pPr>
              <w:spacing w:after="0" w:line="240" w:lineRule="auto"/>
              <w:jc w:val="both"/>
            </w:pPr>
          </w:p>
        </w:tc>
      </w:tr>
      <w:tr w:rsidR="00893108" w14:paraId="3DE31AB4" w14:textId="77777777">
        <w:tc>
          <w:tcPr>
            <w:tcW w:w="1395" w:type="dxa"/>
            <w:tcMar>
              <w:top w:w="40" w:type="dxa"/>
              <w:bottom w:w="40" w:type="dxa"/>
            </w:tcMar>
          </w:tcPr>
          <w:p w14:paraId="40BE02C2" w14:textId="77777777" w:rsidR="00893108" w:rsidRDefault="00000000">
            <w:pPr>
              <w:spacing w:after="0" w:line="240" w:lineRule="auto"/>
              <w:jc w:val="center"/>
            </w:pPr>
            <w:r>
              <w:t>2022-05-22</w:t>
            </w:r>
          </w:p>
        </w:tc>
        <w:tc>
          <w:tcPr>
            <w:tcW w:w="4725" w:type="dxa"/>
            <w:tcMar>
              <w:top w:w="40" w:type="dxa"/>
              <w:bottom w:w="40" w:type="dxa"/>
            </w:tcMar>
          </w:tcPr>
          <w:p w14:paraId="547CAF02" w14:textId="77777777" w:rsidR="00893108" w:rsidRDefault="00000000">
            <w:pPr>
              <w:spacing w:after="0"/>
              <w:jc w:val="both"/>
            </w:pPr>
            <w:r>
              <w:t xml:space="preserve">Investicijų apimtis Vengrijoje pirmąjį 2026 m. ketvirtį, palyginti su tuo pačiu laikotarpiu pernai, sumažėjo 0,5 %, o, pakoregavus pagal sezoninius veiksnius, – 1,3 %. Tai jau dvyliktas ketvirtis iš eilės, kai investicijų aktyvumas mažėja. Didžiausią įtaką tam turėjo silpnos investicijos transporto, logistikos ir gamybos sektoriuose, nors statybų ir NT srityse fiksuotas augimas. </w:t>
            </w:r>
          </w:p>
        </w:tc>
        <w:tc>
          <w:tcPr>
            <w:tcW w:w="2235" w:type="dxa"/>
            <w:tcMar>
              <w:top w:w="40" w:type="dxa"/>
              <w:bottom w:w="40" w:type="dxa"/>
            </w:tcMar>
          </w:tcPr>
          <w:p w14:paraId="4E52B418" w14:textId="77777777" w:rsidR="00893108" w:rsidRDefault="00000000">
            <w:pPr>
              <w:spacing w:after="0"/>
              <w:rPr>
                <w:color w:val="467886"/>
                <w:u w:val="single"/>
              </w:rPr>
            </w:pPr>
            <w:r>
              <w:rPr>
                <w:color w:val="467886"/>
                <w:u w:val="single"/>
              </w:rPr>
              <w:t>https://www.ksh.hu/en/first-releases/ber/eber2603.html</w:t>
            </w:r>
          </w:p>
        </w:tc>
        <w:tc>
          <w:tcPr>
            <w:tcW w:w="1275" w:type="dxa"/>
            <w:tcMar>
              <w:top w:w="40" w:type="dxa"/>
              <w:bottom w:w="40" w:type="dxa"/>
            </w:tcMar>
          </w:tcPr>
          <w:p w14:paraId="55D3EACA" w14:textId="77777777" w:rsidR="00893108" w:rsidRDefault="00893108">
            <w:pPr>
              <w:spacing w:after="0" w:line="240" w:lineRule="auto"/>
              <w:jc w:val="both"/>
            </w:pPr>
          </w:p>
        </w:tc>
      </w:tr>
      <w:tr w:rsidR="00893108" w14:paraId="6804D5E9" w14:textId="77777777">
        <w:tc>
          <w:tcPr>
            <w:tcW w:w="1395" w:type="dxa"/>
            <w:tcMar>
              <w:top w:w="40" w:type="dxa"/>
              <w:bottom w:w="40" w:type="dxa"/>
            </w:tcMar>
          </w:tcPr>
          <w:p w14:paraId="4C8444A1" w14:textId="77777777" w:rsidR="00893108" w:rsidRDefault="00000000">
            <w:pPr>
              <w:spacing w:after="0" w:line="240" w:lineRule="auto"/>
              <w:jc w:val="center"/>
            </w:pPr>
            <w:r>
              <w:t>2026‑05‑21</w:t>
            </w:r>
          </w:p>
        </w:tc>
        <w:tc>
          <w:tcPr>
            <w:tcW w:w="4725" w:type="dxa"/>
            <w:tcMar>
              <w:top w:w="40" w:type="dxa"/>
              <w:bottom w:w="40" w:type="dxa"/>
            </w:tcMar>
          </w:tcPr>
          <w:p w14:paraId="0949BB25" w14:textId="77777777" w:rsidR="00893108" w:rsidRDefault="00000000">
            <w:pPr>
              <w:spacing w:after="0"/>
              <w:jc w:val="both"/>
            </w:pPr>
            <w:r>
              <w:t>„</w:t>
            </w:r>
            <w:proofErr w:type="spellStart"/>
            <w:r>
              <w:t>Revolut</w:t>
            </w:r>
            <w:proofErr w:type="spellEnd"/>
            <w:r>
              <w:t>“ paskelbė naują mokesčių struktūrą Vengrijos klientams, kurių sąskaitos perkeliamos į Lietuvoje registruoto „</w:t>
            </w:r>
            <w:proofErr w:type="spellStart"/>
            <w:r>
              <w:t>Revolut</w:t>
            </w:r>
            <w:proofErr w:type="spellEnd"/>
            <w:r>
              <w:t xml:space="preserve"> Bank UAB“ Vengrijos filialą ir patenka į vietos finansinių sandorių mokesčio sistemą. „Standard“ ir „</w:t>
            </w:r>
            <w:proofErr w:type="spellStart"/>
            <w:r>
              <w:t>Plus</w:t>
            </w:r>
            <w:proofErr w:type="spellEnd"/>
            <w:r>
              <w:t xml:space="preserve">“ klientams 0,45 % mokestis taikomas pervedimo daliai, viršijančiai 50 tūkst. forintų. </w:t>
            </w:r>
          </w:p>
        </w:tc>
        <w:tc>
          <w:tcPr>
            <w:tcW w:w="2235" w:type="dxa"/>
            <w:tcMar>
              <w:top w:w="40" w:type="dxa"/>
              <w:bottom w:w="40" w:type="dxa"/>
            </w:tcMar>
          </w:tcPr>
          <w:p w14:paraId="6C9D2812" w14:textId="77777777" w:rsidR="00893108" w:rsidRDefault="00000000">
            <w:pPr>
              <w:spacing w:after="0"/>
            </w:pPr>
            <w:hyperlink r:id="rId12">
              <w:r>
                <w:rPr>
                  <w:color w:val="467886"/>
                  <w:u w:val="single"/>
                </w:rPr>
                <w:t>https://www.revolut.com/en-HU/legal/hirdetmeny/</w:t>
              </w:r>
            </w:hyperlink>
          </w:p>
        </w:tc>
        <w:tc>
          <w:tcPr>
            <w:tcW w:w="1275" w:type="dxa"/>
            <w:tcMar>
              <w:top w:w="40" w:type="dxa"/>
              <w:bottom w:w="40" w:type="dxa"/>
            </w:tcMar>
          </w:tcPr>
          <w:p w14:paraId="64172C21" w14:textId="77777777" w:rsidR="00893108" w:rsidRDefault="00893108">
            <w:pPr>
              <w:spacing w:after="0" w:line="240" w:lineRule="auto"/>
              <w:jc w:val="both"/>
            </w:pPr>
          </w:p>
        </w:tc>
      </w:tr>
      <w:tr w:rsidR="00893108" w14:paraId="7DB9C6AD" w14:textId="77777777">
        <w:tc>
          <w:tcPr>
            <w:tcW w:w="1395" w:type="dxa"/>
            <w:tcMar>
              <w:top w:w="40" w:type="dxa"/>
              <w:bottom w:w="40" w:type="dxa"/>
            </w:tcMar>
          </w:tcPr>
          <w:p w14:paraId="1C8F4960" w14:textId="77777777" w:rsidR="00893108" w:rsidRDefault="00000000">
            <w:pPr>
              <w:spacing w:after="0" w:line="240" w:lineRule="auto"/>
              <w:jc w:val="center"/>
            </w:pPr>
            <w:r>
              <w:t>2026‑06‑01</w:t>
            </w:r>
          </w:p>
        </w:tc>
        <w:tc>
          <w:tcPr>
            <w:tcW w:w="4725" w:type="dxa"/>
            <w:tcMar>
              <w:top w:w="40" w:type="dxa"/>
              <w:bottom w:w="40" w:type="dxa"/>
            </w:tcMar>
          </w:tcPr>
          <w:p w14:paraId="3FFEB9C6" w14:textId="77777777" w:rsidR="00893108" w:rsidRDefault="00000000">
            <w:pPr>
              <w:spacing w:after="0"/>
              <w:jc w:val="both"/>
            </w:pPr>
            <w:r>
              <w:t xml:space="preserve">Nuo birželio panaikintas papildomas mokestis statybinių medžiagų ir keramikos </w:t>
            </w:r>
            <w:r>
              <w:lastRenderedPageBreak/>
              <w:t>gamintojams. Jis ypač apsunkino užsienio kapitalo įmonių veiklą. ES Teisingumo Teismui pripažinus sistemą netiesiogiai diskriminacine, jos atsisakymas sumažina vieną iš svarbiausių patekimo į Vengrijos statybinių medžiagų rinką kliūčių.</w:t>
            </w:r>
          </w:p>
        </w:tc>
        <w:tc>
          <w:tcPr>
            <w:tcW w:w="2235" w:type="dxa"/>
            <w:tcMar>
              <w:top w:w="40" w:type="dxa"/>
              <w:bottom w:w="40" w:type="dxa"/>
            </w:tcMar>
          </w:tcPr>
          <w:p w14:paraId="2A29A8DD" w14:textId="77777777" w:rsidR="00893108" w:rsidRDefault="00000000">
            <w:pPr>
              <w:spacing w:after="0"/>
              <w:rPr>
                <w:color w:val="467886"/>
              </w:rPr>
            </w:pPr>
            <w:hyperlink r:id="rId13">
              <w:r>
                <w:rPr>
                  <w:color w:val="467886"/>
                  <w:u w:val="single"/>
                </w:rPr>
                <w:t>https://www.penzcentrum.hu/gazdasag/</w:t>
              </w:r>
              <w:r>
                <w:rPr>
                  <w:color w:val="467886"/>
                  <w:u w:val="single"/>
                </w:rPr>
                <w:lastRenderedPageBreak/>
                <w:t>20260604/fontos-valtozast-jelentettek-be-magyarorszagon-vegleg-eltorlik-a-vitatott-kulonadot-1199909</w:t>
              </w:r>
            </w:hyperlink>
            <w:r>
              <w:rPr>
                <w:color w:val="467886"/>
              </w:rPr>
              <w:t xml:space="preserve"> </w:t>
            </w:r>
          </w:p>
        </w:tc>
        <w:tc>
          <w:tcPr>
            <w:tcW w:w="1275" w:type="dxa"/>
            <w:tcMar>
              <w:top w:w="40" w:type="dxa"/>
              <w:bottom w:w="40" w:type="dxa"/>
            </w:tcMar>
          </w:tcPr>
          <w:p w14:paraId="1B3FE826" w14:textId="77777777" w:rsidR="00893108" w:rsidRDefault="00893108">
            <w:pPr>
              <w:spacing w:after="0" w:line="240" w:lineRule="auto"/>
              <w:jc w:val="both"/>
            </w:pPr>
          </w:p>
        </w:tc>
      </w:tr>
      <w:tr w:rsidR="00893108" w14:paraId="0F292A26" w14:textId="77777777">
        <w:tc>
          <w:tcPr>
            <w:tcW w:w="1395" w:type="dxa"/>
            <w:tcMar>
              <w:top w:w="40" w:type="dxa"/>
              <w:bottom w:w="40" w:type="dxa"/>
            </w:tcMar>
          </w:tcPr>
          <w:p w14:paraId="5B07E8FC" w14:textId="77777777" w:rsidR="00893108" w:rsidRDefault="00000000">
            <w:pPr>
              <w:spacing w:after="0" w:line="240" w:lineRule="auto"/>
              <w:jc w:val="center"/>
            </w:pPr>
            <w:r>
              <w:t>2026‑06‑11</w:t>
            </w:r>
          </w:p>
        </w:tc>
        <w:tc>
          <w:tcPr>
            <w:tcW w:w="4725" w:type="dxa"/>
            <w:tcMar>
              <w:top w:w="40" w:type="dxa"/>
              <w:bottom w:w="40" w:type="dxa"/>
            </w:tcMar>
          </w:tcPr>
          <w:p w14:paraId="5981FB6A" w14:textId="77777777" w:rsidR="00893108" w:rsidRDefault="00000000">
            <w:pPr>
              <w:spacing w:after="0"/>
              <w:jc w:val="both"/>
            </w:pPr>
            <w:r>
              <w:t xml:space="preserve">Nuo birželio 5 d. Vengrija nustojo išduoti naujas darbo vizas pagal supaprastintą tvarką darbuotojams iš Filipinų, </w:t>
            </w:r>
            <w:proofErr w:type="spellStart"/>
            <w:r>
              <w:t>Sakartvelo</w:t>
            </w:r>
            <w:proofErr w:type="spellEnd"/>
            <w:r>
              <w:t xml:space="preserve"> ir Armėnijos. Jau Vengrijoje dirbantys šių šalių piliečiai gali prašyti pratęsti leidimus, o iki pakeitimo pateiktos paraiškos bus nagrinėjamos. Vyriausybė sprendimą vadina pirmuoju darbo imigrantų srautų reguliavimo žingsniu ir teigia siekianti apsaugoti vietos gyventojų darbo vietas bei atlyginimus. Verslo organizacijos perspėja, kad tolesnis ribojimų plėtimas galėtų sustiprinti darbo jėgos trūkumą gamybos ir paslaugų sektoriuose. Nors užsieniečiai sudaro tik apie 2 % visų Vengrijos darbuotojų, kai kuriose įmonėse jų dalis siekia iki 20 %, todėl griežtesnė politika gali apsunkinti gamybos pajėgumų išlaikymą ir naujų investicijų įgyvendinimą. </w:t>
            </w:r>
          </w:p>
        </w:tc>
        <w:tc>
          <w:tcPr>
            <w:tcW w:w="2235" w:type="dxa"/>
            <w:tcMar>
              <w:top w:w="40" w:type="dxa"/>
              <w:bottom w:w="40" w:type="dxa"/>
            </w:tcMar>
          </w:tcPr>
          <w:p w14:paraId="6A96F29D" w14:textId="77777777" w:rsidR="00893108" w:rsidRDefault="00000000">
            <w:pPr>
              <w:spacing w:after="0"/>
            </w:pPr>
            <w:hyperlink r:id="rId14">
              <w:r>
                <w:rPr>
                  <w:color w:val="467886"/>
                  <w:u w:val="single"/>
                </w:rPr>
                <w:t>https://www.reuters.com/business/world-at-work/hungary-stop-issuing-worker-visas-people-three-countries-starting-friday-2026-06-05/</w:t>
              </w:r>
            </w:hyperlink>
          </w:p>
        </w:tc>
        <w:tc>
          <w:tcPr>
            <w:tcW w:w="1275" w:type="dxa"/>
            <w:tcMar>
              <w:top w:w="40" w:type="dxa"/>
              <w:bottom w:w="40" w:type="dxa"/>
            </w:tcMar>
          </w:tcPr>
          <w:p w14:paraId="3BE65A76" w14:textId="77777777" w:rsidR="00893108" w:rsidRDefault="00893108">
            <w:pPr>
              <w:spacing w:after="0" w:line="240" w:lineRule="auto"/>
              <w:jc w:val="both"/>
            </w:pPr>
          </w:p>
        </w:tc>
      </w:tr>
      <w:tr w:rsidR="00893108" w14:paraId="09627840" w14:textId="77777777">
        <w:tc>
          <w:tcPr>
            <w:tcW w:w="1395" w:type="dxa"/>
            <w:tcMar>
              <w:top w:w="40" w:type="dxa"/>
              <w:bottom w:w="40" w:type="dxa"/>
            </w:tcMar>
          </w:tcPr>
          <w:p w14:paraId="3942C002" w14:textId="77777777" w:rsidR="00893108" w:rsidRDefault="00000000">
            <w:pPr>
              <w:spacing w:after="0" w:line="240" w:lineRule="auto"/>
              <w:jc w:val="center"/>
            </w:pPr>
            <w:r>
              <w:t>2026‑06‑01</w:t>
            </w:r>
          </w:p>
        </w:tc>
        <w:tc>
          <w:tcPr>
            <w:tcW w:w="4725" w:type="dxa"/>
            <w:tcMar>
              <w:top w:w="40" w:type="dxa"/>
              <w:bottom w:w="40" w:type="dxa"/>
            </w:tcMar>
          </w:tcPr>
          <w:p w14:paraId="50CCDC26" w14:textId="77777777" w:rsidR="00893108" w:rsidRDefault="00000000">
            <w:pPr>
              <w:spacing w:after="0"/>
              <w:jc w:val="both"/>
            </w:pPr>
            <w:r>
              <w:t xml:space="preserve">Naujoji valdžia sugriežtino Kinijos elektromobilių ir baterijų gamyklų priežiūrą. Dėl BYD gamyklos statybų </w:t>
            </w:r>
            <w:proofErr w:type="spellStart"/>
            <w:r>
              <w:t>Segede</w:t>
            </w:r>
            <w:proofErr w:type="spellEnd"/>
            <w:r>
              <w:t xml:space="preserve"> pradėtas tyrimas, įtariant aplinkosaugos pažeidimus ir galimai užteršto grunto išvežimą. </w:t>
            </w:r>
          </w:p>
        </w:tc>
        <w:tc>
          <w:tcPr>
            <w:tcW w:w="2235" w:type="dxa"/>
            <w:tcMar>
              <w:top w:w="40" w:type="dxa"/>
              <w:bottom w:w="40" w:type="dxa"/>
            </w:tcMar>
          </w:tcPr>
          <w:p w14:paraId="5E268C53" w14:textId="77777777" w:rsidR="00893108" w:rsidRDefault="00000000">
            <w:pPr>
              <w:spacing w:after="0"/>
            </w:pPr>
            <w:hyperlink r:id="rId15">
              <w:r>
                <w:rPr>
                  <w:color w:val="467886"/>
                  <w:u w:val="single"/>
                </w:rPr>
                <w:t>https://autopro.hu/en/news/byd-in-szeged-has-seriously-violated-the-requirements-set-forth-in-its-permit/1615974</w:t>
              </w:r>
            </w:hyperlink>
          </w:p>
        </w:tc>
        <w:tc>
          <w:tcPr>
            <w:tcW w:w="1275" w:type="dxa"/>
            <w:tcMar>
              <w:top w:w="40" w:type="dxa"/>
              <w:bottom w:w="40" w:type="dxa"/>
            </w:tcMar>
          </w:tcPr>
          <w:p w14:paraId="07E222EC" w14:textId="77777777" w:rsidR="00893108" w:rsidRDefault="00893108">
            <w:pPr>
              <w:spacing w:after="0" w:line="240" w:lineRule="auto"/>
              <w:jc w:val="both"/>
            </w:pPr>
          </w:p>
        </w:tc>
      </w:tr>
      <w:tr w:rsidR="00893108" w14:paraId="5C67913F" w14:textId="77777777">
        <w:trPr>
          <w:cantSplit/>
        </w:trPr>
        <w:tc>
          <w:tcPr>
            <w:tcW w:w="9630" w:type="dxa"/>
            <w:gridSpan w:val="4"/>
            <w:tcMar>
              <w:top w:w="30" w:type="dxa"/>
              <w:bottom w:w="30" w:type="dxa"/>
            </w:tcMar>
            <w:vAlign w:val="center"/>
          </w:tcPr>
          <w:p w14:paraId="21ABF1CA" w14:textId="77777777" w:rsidR="00893108" w:rsidRDefault="00000000">
            <w:pPr>
              <w:keepNext/>
              <w:spacing w:after="0" w:line="240" w:lineRule="auto"/>
            </w:pPr>
            <w:r>
              <w:rPr>
                <w:b/>
                <w:bCs/>
              </w:rPr>
              <w:t>Lietuvos turizmo sektoriui aktuali informacija</w:t>
            </w:r>
          </w:p>
        </w:tc>
      </w:tr>
      <w:tr w:rsidR="00893108" w14:paraId="43C02B75" w14:textId="77777777">
        <w:tc>
          <w:tcPr>
            <w:tcW w:w="1395" w:type="dxa"/>
            <w:tcMar>
              <w:top w:w="40" w:type="dxa"/>
              <w:bottom w:w="40" w:type="dxa"/>
            </w:tcMar>
          </w:tcPr>
          <w:p w14:paraId="0C3C06F1" w14:textId="77777777" w:rsidR="00893108" w:rsidRDefault="00000000">
            <w:pPr>
              <w:spacing w:after="0" w:line="240" w:lineRule="auto"/>
              <w:jc w:val="center"/>
            </w:pPr>
            <w:r>
              <w:t>2026‑06-26</w:t>
            </w:r>
          </w:p>
        </w:tc>
        <w:tc>
          <w:tcPr>
            <w:tcW w:w="4725" w:type="dxa"/>
            <w:tcMar>
              <w:top w:w="40" w:type="dxa"/>
              <w:bottom w:w="40" w:type="dxa"/>
            </w:tcMar>
          </w:tcPr>
          <w:p w14:paraId="75E2F1FC" w14:textId="77777777" w:rsidR="00893108" w:rsidRDefault="00000000">
            <w:pPr>
              <w:spacing w:after="0"/>
              <w:jc w:val="both"/>
            </w:pPr>
            <w:r>
              <w:t xml:space="preserve">Gegužę Vengrijos apgyvendinimo įstaigose apsistojo beveik 1,8 mln. svečių – 2,6 % daugiau nei prieš metus. Vidaus turistų skaičius išaugo 4,9 %, o užsienio – 0,2 %. Budapešte užsienio turistų sumažėjo 1,4 %, tuo tarpu Balatono regione jų padaugėjo 3,4 %. </w:t>
            </w:r>
          </w:p>
        </w:tc>
        <w:tc>
          <w:tcPr>
            <w:tcW w:w="2235" w:type="dxa"/>
            <w:tcMar>
              <w:top w:w="40" w:type="dxa"/>
              <w:bottom w:w="40" w:type="dxa"/>
            </w:tcMar>
          </w:tcPr>
          <w:p w14:paraId="1E6A57B8" w14:textId="77777777" w:rsidR="00893108" w:rsidRDefault="00000000">
            <w:pPr>
              <w:spacing w:after="0"/>
            </w:pPr>
            <w:hyperlink r:id="rId16">
              <w:r>
                <w:rPr>
                  <w:color w:val="467886"/>
                  <w:u w:val="single"/>
                </w:rPr>
                <w:t>https://www.budapesttimes.hu/economy/foreign-visitor-decline-drags-down-april-tourism-figures/</w:t>
              </w:r>
            </w:hyperlink>
          </w:p>
        </w:tc>
        <w:tc>
          <w:tcPr>
            <w:tcW w:w="1275" w:type="dxa"/>
            <w:tcMar>
              <w:top w:w="40" w:type="dxa"/>
              <w:bottom w:w="40" w:type="dxa"/>
            </w:tcMar>
          </w:tcPr>
          <w:p w14:paraId="70B3FB64" w14:textId="77777777" w:rsidR="00893108" w:rsidRDefault="00893108">
            <w:pPr>
              <w:spacing w:after="0" w:line="240" w:lineRule="auto"/>
              <w:jc w:val="both"/>
            </w:pPr>
          </w:p>
        </w:tc>
      </w:tr>
      <w:tr w:rsidR="00893108" w14:paraId="19878DBF" w14:textId="77777777">
        <w:tc>
          <w:tcPr>
            <w:tcW w:w="1395" w:type="dxa"/>
            <w:tcMar>
              <w:top w:w="40" w:type="dxa"/>
              <w:bottom w:w="40" w:type="dxa"/>
            </w:tcMar>
          </w:tcPr>
          <w:p w14:paraId="3E4FF25C" w14:textId="77777777" w:rsidR="00893108" w:rsidRDefault="00000000">
            <w:pPr>
              <w:spacing w:after="0" w:line="240" w:lineRule="auto"/>
              <w:jc w:val="center"/>
            </w:pPr>
            <w:r>
              <w:lastRenderedPageBreak/>
              <w:t>2026‑06‑08</w:t>
            </w:r>
          </w:p>
        </w:tc>
        <w:tc>
          <w:tcPr>
            <w:tcW w:w="4725" w:type="dxa"/>
            <w:tcMar>
              <w:top w:w="40" w:type="dxa"/>
              <w:bottom w:w="40" w:type="dxa"/>
            </w:tcMar>
          </w:tcPr>
          <w:p w14:paraId="1C117882" w14:textId="77777777" w:rsidR="00893108" w:rsidRDefault="00000000">
            <w:pPr>
              <w:spacing w:after="0"/>
              <w:jc w:val="both"/>
            </w:pPr>
            <w:r>
              <w:t xml:space="preserve">Gegužę, po šešerių metų pertraukos, atnaujintas sezoninis tiesioginis „American </w:t>
            </w:r>
            <w:proofErr w:type="spellStart"/>
            <w:r>
              <w:t>Airlines</w:t>
            </w:r>
            <w:proofErr w:type="spellEnd"/>
            <w:r>
              <w:t>“ maršrutas Filadelfija-Budapeštas, o birželį – „</w:t>
            </w:r>
            <w:proofErr w:type="spellStart"/>
            <w:r>
              <w:t>Air</w:t>
            </w:r>
            <w:proofErr w:type="spellEnd"/>
            <w:r>
              <w:t xml:space="preserve"> </w:t>
            </w:r>
            <w:proofErr w:type="spellStart"/>
            <w:r>
              <w:t>Canada</w:t>
            </w:r>
            <w:proofErr w:type="spellEnd"/>
            <w:r>
              <w:t>“ vykdoma Budapešto ir Toronto jungtis. Skrydžiai į Šiaurės Ameriką sutampa su sparčiausiai augančiu Vengrijos atvykstamojo turizmo segmentu ir stiprina Budapešto, kaip regioninio tolimojo susisiekimo centro, poziciją. Oro uostas 2026 m. tikisi aptarnauti apie 20 mln. keleivių.</w:t>
            </w:r>
          </w:p>
        </w:tc>
        <w:tc>
          <w:tcPr>
            <w:tcW w:w="2235" w:type="dxa"/>
            <w:tcMar>
              <w:top w:w="40" w:type="dxa"/>
              <w:bottom w:w="40" w:type="dxa"/>
            </w:tcMar>
          </w:tcPr>
          <w:p w14:paraId="6548D8D5" w14:textId="77777777" w:rsidR="00893108" w:rsidRDefault="00000000">
            <w:pPr>
              <w:spacing w:after="0"/>
            </w:pPr>
            <w:hyperlink r:id="rId17">
              <w:r>
                <w:rPr>
                  <w:color w:val="467886"/>
                  <w:u w:val="single"/>
                </w:rPr>
                <w:t>https://news.aa.com/news/news-details/2026/Your-European-summer-is-calling-American-Airlines-unlocks-more-access-for-travelers-NET-RTS-05/default.aspx</w:t>
              </w:r>
            </w:hyperlink>
          </w:p>
        </w:tc>
        <w:tc>
          <w:tcPr>
            <w:tcW w:w="1275" w:type="dxa"/>
            <w:tcMar>
              <w:top w:w="40" w:type="dxa"/>
              <w:bottom w:w="40" w:type="dxa"/>
            </w:tcMar>
          </w:tcPr>
          <w:p w14:paraId="36B359C4" w14:textId="77777777" w:rsidR="00893108" w:rsidRDefault="00893108">
            <w:pPr>
              <w:spacing w:after="0" w:line="240" w:lineRule="auto"/>
              <w:jc w:val="both"/>
            </w:pPr>
          </w:p>
        </w:tc>
      </w:tr>
      <w:tr w:rsidR="00893108" w14:paraId="6D3C8AF2" w14:textId="77777777">
        <w:trPr>
          <w:cantSplit/>
        </w:trPr>
        <w:tc>
          <w:tcPr>
            <w:tcW w:w="9630" w:type="dxa"/>
            <w:gridSpan w:val="4"/>
            <w:tcMar>
              <w:top w:w="30" w:type="dxa"/>
              <w:bottom w:w="30" w:type="dxa"/>
            </w:tcMar>
            <w:vAlign w:val="center"/>
          </w:tcPr>
          <w:p w14:paraId="00558E30" w14:textId="77777777" w:rsidR="00893108" w:rsidRDefault="00000000">
            <w:pPr>
              <w:keepNext/>
              <w:spacing w:after="0" w:line="240" w:lineRule="auto"/>
            </w:pPr>
            <w:r>
              <w:rPr>
                <w:b/>
                <w:bCs/>
              </w:rPr>
              <w:t>Bendradarbiavimui mokslinių tyrimų, eksperimentinės plėtros ir inovacijų (MTEPI) srityse aktuali informacija</w:t>
            </w:r>
          </w:p>
        </w:tc>
      </w:tr>
      <w:tr w:rsidR="00893108" w14:paraId="5C61AC8C" w14:textId="77777777">
        <w:tc>
          <w:tcPr>
            <w:tcW w:w="1395" w:type="dxa"/>
            <w:tcMar>
              <w:top w:w="40" w:type="dxa"/>
              <w:bottom w:w="40" w:type="dxa"/>
            </w:tcMar>
          </w:tcPr>
          <w:p w14:paraId="46AB5901" w14:textId="77777777" w:rsidR="00893108" w:rsidRDefault="00000000">
            <w:pPr>
              <w:spacing w:after="0" w:line="240" w:lineRule="auto"/>
              <w:jc w:val="center"/>
            </w:pPr>
            <w:r>
              <w:t>2026‑05‑15</w:t>
            </w:r>
          </w:p>
        </w:tc>
        <w:tc>
          <w:tcPr>
            <w:tcW w:w="4725" w:type="dxa"/>
            <w:tcMar>
              <w:top w:w="40" w:type="dxa"/>
              <w:bottom w:w="40" w:type="dxa"/>
            </w:tcMar>
          </w:tcPr>
          <w:p w14:paraId="36826397" w14:textId="77777777" w:rsidR="00893108" w:rsidRDefault="00000000">
            <w:pPr>
              <w:spacing w:after="0"/>
              <w:jc w:val="both"/>
            </w:pPr>
            <w:r>
              <w:t xml:space="preserve">Vyriausybė nutraukė 261,7 mlrd. forintų (apie 671 mln. eurų) vertės sutartį su Nobelio premijos laureato fiziko Ferenc </w:t>
            </w:r>
            <w:proofErr w:type="spellStart"/>
            <w:r>
              <w:t>Krausz</w:t>
            </w:r>
            <w:proofErr w:type="spellEnd"/>
            <w:r>
              <w:t xml:space="preserve"> įkurtu „</w:t>
            </w:r>
            <w:proofErr w:type="spellStart"/>
            <w:r>
              <w:t>Élvonal</w:t>
            </w:r>
            <w:proofErr w:type="spellEnd"/>
            <w:r>
              <w:t xml:space="preserve">“ fondu ir paprašė grąžinti jau išmokėtus 22 mlrd. forintų (apie 56 mln. eurų) valstybės lėšų. Sutartis, sudaryta likus vos dviem mėnesiams iki rinkimų, numatė ilgalaikį finansavimą iki 2031 m., tačiau naujoji valdžia teigia siekianti skaidresnės, konkursine tvarka paremtos mokslo finansavimo sistemos. Fondo taryba, kurioje yra </w:t>
            </w:r>
            <w:proofErr w:type="spellStart"/>
            <w:r>
              <w:t>Krausz</w:t>
            </w:r>
            <w:proofErr w:type="spellEnd"/>
            <w:r>
              <w:t xml:space="preserve"> ir kiti Nobelio premijos laureatai, pareiškė, kad jų veikla atitinka nacionalinį interesą ir paragino dialogą su vyriausybe, o mokslo ir technologijų ministras Z.  </w:t>
            </w:r>
            <w:proofErr w:type="spellStart"/>
            <w:r>
              <w:t>Tanács</w:t>
            </w:r>
            <w:proofErr w:type="spellEnd"/>
            <w:r>
              <w:t xml:space="preserve"> pabrėžė poreikį reformuoti mokslo politiką, nukreipiant finansavimą per atviras ir konkurencines sistemas universitetams, institutams ir mokslininkams.</w:t>
            </w:r>
          </w:p>
        </w:tc>
        <w:tc>
          <w:tcPr>
            <w:tcW w:w="2235" w:type="dxa"/>
            <w:tcMar>
              <w:top w:w="40" w:type="dxa"/>
              <w:bottom w:w="40" w:type="dxa"/>
            </w:tcMar>
          </w:tcPr>
          <w:p w14:paraId="433364BB" w14:textId="77777777" w:rsidR="00893108" w:rsidRDefault="00000000">
            <w:pPr>
              <w:spacing w:after="0"/>
            </w:pPr>
            <w:hyperlink r:id="rId18">
              <w:r>
                <w:rPr>
                  <w:color w:val="467886"/>
                  <w:u w:val="single"/>
                </w:rPr>
                <w:t>https://hungarytoday.hu/government-terminates-contract-with-nobel-laureates-foundation/</w:t>
              </w:r>
            </w:hyperlink>
          </w:p>
        </w:tc>
        <w:tc>
          <w:tcPr>
            <w:tcW w:w="1275" w:type="dxa"/>
            <w:tcMar>
              <w:top w:w="40" w:type="dxa"/>
              <w:bottom w:w="40" w:type="dxa"/>
            </w:tcMar>
          </w:tcPr>
          <w:p w14:paraId="25AC41B6" w14:textId="77777777" w:rsidR="00893108" w:rsidRDefault="00893108">
            <w:pPr>
              <w:spacing w:after="0" w:line="240" w:lineRule="auto"/>
              <w:jc w:val="both"/>
            </w:pPr>
          </w:p>
        </w:tc>
      </w:tr>
      <w:tr w:rsidR="00893108" w14:paraId="5EA9732E" w14:textId="77777777">
        <w:tc>
          <w:tcPr>
            <w:tcW w:w="1395" w:type="dxa"/>
            <w:tcMar>
              <w:top w:w="40" w:type="dxa"/>
              <w:bottom w:w="40" w:type="dxa"/>
            </w:tcMar>
          </w:tcPr>
          <w:p w14:paraId="2A255100" w14:textId="77777777" w:rsidR="00893108" w:rsidRDefault="00000000">
            <w:pPr>
              <w:spacing w:after="0" w:line="240" w:lineRule="auto"/>
              <w:jc w:val="center"/>
            </w:pPr>
            <w:r>
              <w:t>2026‑06‑02</w:t>
            </w:r>
          </w:p>
        </w:tc>
        <w:tc>
          <w:tcPr>
            <w:tcW w:w="4725" w:type="dxa"/>
            <w:tcMar>
              <w:top w:w="40" w:type="dxa"/>
              <w:bottom w:w="40" w:type="dxa"/>
            </w:tcMar>
          </w:tcPr>
          <w:p w14:paraId="74A1342E" w14:textId="77777777" w:rsidR="00893108" w:rsidRDefault="00000000">
            <w:pPr>
              <w:spacing w:after="0"/>
              <w:jc w:val="both"/>
            </w:pPr>
            <w:r>
              <w:t xml:space="preserve">Iš planuojamo atblokuoti ES finansavimo 2,2 mlrd. eurų numatyta universitetų moksliniams tyrimams ir plėtrai. Susitarimas su EK taip pat turėtų leisti viešojo turto fondų valdomų universitetų studentams ir darbuotojams nuo kitų akademinių metų vėl dalyvauti „Erasmus“ ir kitose ES programose, tačiau tam dar būtinos akademinės laisvės ir universitetų valdymo reformos. </w:t>
            </w:r>
          </w:p>
        </w:tc>
        <w:tc>
          <w:tcPr>
            <w:tcW w:w="2235" w:type="dxa"/>
            <w:tcMar>
              <w:top w:w="40" w:type="dxa"/>
              <w:bottom w:w="40" w:type="dxa"/>
            </w:tcMar>
          </w:tcPr>
          <w:p w14:paraId="675BB7FA" w14:textId="77777777" w:rsidR="00893108" w:rsidRDefault="00000000">
            <w:pPr>
              <w:spacing w:after="0"/>
            </w:pPr>
            <w:hyperlink r:id="rId19">
              <w:r>
                <w:rPr>
                  <w:color w:val="467886"/>
                  <w:u w:val="single"/>
                </w:rPr>
                <w:t>https://www.reuters.com/business/eu-agrees-unlock-billions-funds-hungary-von-der-leyen-2026-05-29/</w:t>
              </w:r>
            </w:hyperlink>
          </w:p>
        </w:tc>
        <w:tc>
          <w:tcPr>
            <w:tcW w:w="1275" w:type="dxa"/>
            <w:tcMar>
              <w:top w:w="40" w:type="dxa"/>
              <w:bottom w:w="40" w:type="dxa"/>
            </w:tcMar>
          </w:tcPr>
          <w:p w14:paraId="44ADE7FB" w14:textId="77777777" w:rsidR="00893108" w:rsidRDefault="00893108">
            <w:pPr>
              <w:spacing w:after="0" w:line="240" w:lineRule="auto"/>
              <w:jc w:val="both"/>
            </w:pPr>
          </w:p>
        </w:tc>
      </w:tr>
      <w:tr w:rsidR="00893108" w14:paraId="4DB5F622" w14:textId="77777777">
        <w:tc>
          <w:tcPr>
            <w:tcW w:w="1395" w:type="dxa"/>
            <w:tcMar>
              <w:top w:w="40" w:type="dxa"/>
              <w:bottom w:w="40" w:type="dxa"/>
            </w:tcMar>
          </w:tcPr>
          <w:p w14:paraId="25B4943D" w14:textId="77777777" w:rsidR="00893108" w:rsidRDefault="00000000">
            <w:pPr>
              <w:spacing w:after="0" w:line="240" w:lineRule="auto"/>
              <w:jc w:val="center"/>
            </w:pPr>
            <w:r>
              <w:lastRenderedPageBreak/>
              <w:t>2026‑05‑15</w:t>
            </w:r>
          </w:p>
        </w:tc>
        <w:tc>
          <w:tcPr>
            <w:tcW w:w="4725" w:type="dxa"/>
            <w:tcMar>
              <w:top w:w="40" w:type="dxa"/>
              <w:bottom w:w="40" w:type="dxa"/>
            </w:tcMar>
          </w:tcPr>
          <w:p w14:paraId="1BA7AA8D" w14:textId="77777777" w:rsidR="00893108" w:rsidRDefault="00000000">
            <w:pPr>
              <w:spacing w:after="0"/>
              <w:jc w:val="both"/>
            </w:pPr>
            <w:r>
              <w:t>Vengrija yra viena iš 2025 m. pabaigoje įsteigto Europos skaitmeninio viešojo administravimo konsorciumo IMPACTS-EDIC steigėjų. Šaliai konsorciume atstovauja Skaitmeninės Vengrijos agentūra ir valstybinė IT bendrovė „</w:t>
            </w:r>
            <w:proofErr w:type="spellStart"/>
            <w:r>
              <w:t>IdomSoft</w:t>
            </w:r>
            <w:proofErr w:type="spellEnd"/>
            <w:r>
              <w:t xml:space="preserve">“, o Vengrijos atstovas V. </w:t>
            </w:r>
            <w:proofErr w:type="spellStart"/>
            <w:r>
              <w:t>Vass</w:t>
            </w:r>
            <w:proofErr w:type="spellEnd"/>
            <w:r>
              <w:t xml:space="preserve"> išrinktas vienu iš generalinės asamblėjos vicepirmininkų. Pirmoji konsorciumo narių asamblėja įvyko 2026 m. kovo 5 d. Atėnuose. Kartu su Graikija, Kroatija, Nyderlandais, Lenkija ir Ukraina, Vengrija prisidės kuriant tarpvalstybines skaitmenines viešąsias paslaugas, elektroninės tapatybės, saugaus duomenų apsikeitimo ir bendrų sąveikumo standartų sprendimus. Iniciatyva gali tapti platforma valstybių institucijų ir technologijų bendrovių bendradarbiavimui skaitmeninių viešųjų paslaugų srityje. </w:t>
            </w:r>
          </w:p>
        </w:tc>
        <w:tc>
          <w:tcPr>
            <w:tcW w:w="2235" w:type="dxa"/>
            <w:tcMar>
              <w:top w:w="40" w:type="dxa"/>
              <w:bottom w:w="40" w:type="dxa"/>
            </w:tcMar>
          </w:tcPr>
          <w:p w14:paraId="0A469428" w14:textId="77777777" w:rsidR="00893108" w:rsidRDefault="00000000">
            <w:pPr>
              <w:spacing w:after="0"/>
              <w:rPr>
                <w:color w:val="467886"/>
              </w:rPr>
            </w:pPr>
            <w:hyperlink r:id="rId20">
              <w:r>
                <w:rPr>
                  <w:color w:val="467886"/>
                  <w:u w:val="single"/>
                </w:rPr>
                <w:t>https://www.dmu.gov.hu/cikkek/magyarorszag-is-alakitja-az-europai-digitalis-kozigazgatas-jov-jet-51</w:t>
              </w:r>
            </w:hyperlink>
            <w:r>
              <w:rPr>
                <w:color w:val="467886"/>
              </w:rPr>
              <w:t xml:space="preserve"> </w:t>
            </w:r>
          </w:p>
        </w:tc>
        <w:tc>
          <w:tcPr>
            <w:tcW w:w="1275" w:type="dxa"/>
            <w:tcMar>
              <w:top w:w="40" w:type="dxa"/>
              <w:bottom w:w="40" w:type="dxa"/>
            </w:tcMar>
          </w:tcPr>
          <w:p w14:paraId="50AE6718" w14:textId="77777777" w:rsidR="00893108" w:rsidRDefault="00893108">
            <w:pPr>
              <w:spacing w:after="0" w:line="240" w:lineRule="auto"/>
              <w:jc w:val="both"/>
            </w:pPr>
          </w:p>
        </w:tc>
      </w:tr>
      <w:tr w:rsidR="00893108" w14:paraId="011AC14B" w14:textId="77777777">
        <w:trPr>
          <w:cantSplit/>
        </w:trPr>
        <w:tc>
          <w:tcPr>
            <w:tcW w:w="9630" w:type="dxa"/>
            <w:gridSpan w:val="4"/>
            <w:tcMar>
              <w:top w:w="30" w:type="dxa"/>
              <w:bottom w:w="30" w:type="dxa"/>
            </w:tcMar>
            <w:vAlign w:val="center"/>
          </w:tcPr>
          <w:p w14:paraId="58B05E33" w14:textId="77777777" w:rsidR="00893108" w:rsidRDefault="00000000">
            <w:pPr>
              <w:keepNext/>
              <w:spacing w:after="0" w:line="240" w:lineRule="auto"/>
            </w:pPr>
            <w:r>
              <w:rPr>
                <w:b/>
                <w:bCs/>
              </w:rPr>
              <w:t>Lietuvos ekonominiam saugumui aktuali informacija</w:t>
            </w:r>
          </w:p>
        </w:tc>
      </w:tr>
      <w:tr w:rsidR="00893108" w14:paraId="787226F7" w14:textId="77777777">
        <w:tc>
          <w:tcPr>
            <w:tcW w:w="1395" w:type="dxa"/>
            <w:tcMar>
              <w:top w:w="40" w:type="dxa"/>
              <w:bottom w:w="40" w:type="dxa"/>
            </w:tcMar>
          </w:tcPr>
          <w:p w14:paraId="7A7609E6" w14:textId="77777777" w:rsidR="00893108" w:rsidRDefault="00000000">
            <w:pPr>
              <w:spacing w:after="0" w:line="240" w:lineRule="auto"/>
              <w:jc w:val="center"/>
            </w:pPr>
            <w:r>
              <w:t>2026‑05‑15</w:t>
            </w:r>
          </w:p>
        </w:tc>
        <w:tc>
          <w:tcPr>
            <w:tcW w:w="4725" w:type="dxa"/>
            <w:tcMar>
              <w:top w:w="40" w:type="dxa"/>
              <w:bottom w:w="40" w:type="dxa"/>
            </w:tcMar>
          </w:tcPr>
          <w:p w14:paraId="1D66AA7A" w14:textId="77777777" w:rsidR="00893108" w:rsidRDefault="00000000">
            <w:pPr>
              <w:spacing w:after="160"/>
              <w:jc w:val="both"/>
            </w:pPr>
            <w:r>
              <w:t xml:space="preserve">Reaguojant į tarptautinę energetikos rinkos situaciją, galinčią kelti grėsmę vidaus tiekimams, naujasis Vengrijos ekonomikos ir energetikos ministras I. </w:t>
            </w:r>
            <w:proofErr w:type="spellStart"/>
            <w:r>
              <w:t>Kapitány</w:t>
            </w:r>
            <w:proofErr w:type="spellEnd"/>
            <w:r>
              <w:t xml:space="preserve"> įpareigojo iš šalies strateginių kuro atsargų išleisti didelius benzino ir dyzelino kiekius - sprendimu išleidžiama 150 mln. litrų 95 oktanų benzino ir 425 mln. litrų dyzelino. Pagal nutarimą šie kiekiai turi būti parduodami tik valstybės nustatytomis kainų lubomis, siekiant apsaugoti vidaus rinką, o Vengrijos angliavandenilių atsargų asociacija turi įsigyti šias atsargas iki 2026 m. birželio 30 d. Benzinas ir dyzelinas skirti degalinėms bei galutiniams vartotojams. Grynosios kainos nustatytos atitinkamai apie 270,25 forinto (0,75 euro) už litrą benzinui ir 300,48 forinto (0,83 euro) dyzelinui. Pilnam atsargų atstatymui nustatytas terminas - 2027 m. birželio 30 d.</w:t>
            </w:r>
          </w:p>
        </w:tc>
        <w:tc>
          <w:tcPr>
            <w:tcW w:w="2235" w:type="dxa"/>
            <w:tcMar>
              <w:top w:w="40" w:type="dxa"/>
              <w:bottom w:w="40" w:type="dxa"/>
            </w:tcMar>
          </w:tcPr>
          <w:p w14:paraId="06A6DB52" w14:textId="77777777" w:rsidR="00893108" w:rsidRDefault="00000000">
            <w:pPr>
              <w:spacing w:after="0"/>
            </w:pPr>
            <w:hyperlink r:id="rId21">
              <w:r>
                <w:rPr>
                  <w:color w:val="467886"/>
                  <w:u w:val="single"/>
                </w:rPr>
                <w:t>https://ceenergynews.com/oil-gas/hungary-releases-fuel-reserves/</w:t>
              </w:r>
            </w:hyperlink>
          </w:p>
        </w:tc>
        <w:tc>
          <w:tcPr>
            <w:tcW w:w="1275" w:type="dxa"/>
            <w:tcMar>
              <w:top w:w="40" w:type="dxa"/>
              <w:bottom w:w="40" w:type="dxa"/>
            </w:tcMar>
          </w:tcPr>
          <w:p w14:paraId="4A3899D4" w14:textId="77777777" w:rsidR="00893108" w:rsidRDefault="00893108">
            <w:pPr>
              <w:spacing w:after="0" w:line="240" w:lineRule="auto"/>
              <w:jc w:val="both"/>
            </w:pPr>
          </w:p>
        </w:tc>
      </w:tr>
      <w:tr w:rsidR="00893108" w14:paraId="78E8773F" w14:textId="77777777">
        <w:tc>
          <w:tcPr>
            <w:tcW w:w="1395" w:type="dxa"/>
            <w:tcMar>
              <w:top w:w="40" w:type="dxa"/>
              <w:bottom w:w="40" w:type="dxa"/>
            </w:tcMar>
          </w:tcPr>
          <w:p w14:paraId="4E4DC079" w14:textId="77777777" w:rsidR="00893108" w:rsidRDefault="00000000">
            <w:pPr>
              <w:spacing w:after="0" w:line="240" w:lineRule="auto"/>
              <w:jc w:val="center"/>
            </w:pPr>
            <w:r>
              <w:lastRenderedPageBreak/>
              <w:t>2026‑05‑27</w:t>
            </w:r>
          </w:p>
        </w:tc>
        <w:tc>
          <w:tcPr>
            <w:tcW w:w="4725" w:type="dxa"/>
            <w:tcMar>
              <w:top w:w="40" w:type="dxa"/>
              <w:bottom w:w="40" w:type="dxa"/>
            </w:tcMar>
          </w:tcPr>
          <w:p w14:paraId="17DDCDC8" w14:textId="77777777" w:rsidR="00893108" w:rsidRDefault="00000000">
            <w:pPr>
              <w:spacing w:after="160"/>
              <w:jc w:val="both"/>
            </w:pPr>
            <w:r>
              <w:t xml:space="preserve">A. </w:t>
            </w:r>
            <w:proofErr w:type="spellStart"/>
            <w:r>
              <w:t>Vučičiaus</w:t>
            </w:r>
            <w:proofErr w:type="spellEnd"/>
            <w:r>
              <w:t xml:space="preserve"> vizito Kinijoje metu pasirašyta daugiau kaip 20 tarpvalstybinių bendradarbiavimo dokumentų, o atskirai su Kinijos bendrovėmis suderintos daugiau kaip 953 mln. eurų vertės investicijos, kurios turėtų sukurti apie 1700 darbo vietų. Susitarimai apėmė ne tik prekybą, infrastruktūrą ir pramonę, bet ir DI, pažangiąją gamybą, </w:t>
            </w:r>
            <w:proofErr w:type="spellStart"/>
            <w:r>
              <w:t>robotiką</w:t>
            </w:r>
            <w:proofErr w:type="spellEnd"/>
            <w:r>
              <w:t>, žaliąją energetiką bei švietimą. Didžiausios Kinijos bendrovės šalyje yra investavusios beveik 8 mlrd. eurų ir įdarbinusios apie 40 tūkst. žmonių.</w:t>
            </w:r>
          </w:p>
        </w:tc>
        <w:tc>
          <w:tcPr>
            <w:tcW w:w="2235" w:type="dxa"/>
            <w:tcMar>
              <w:top w:w="40" w:type="dxa"/>
              <w:bottom w:w="40" w:type="dxa"/>
            </w:tcMar>
          </w:tcPr>
          <w:p w14:paraId="332C33BE" w14:textId="77777777" w:rsidR="00893108" w:rsidRDefault="00000000">
            <w:pPr>
              <w:spacing w:after="0"/>
              <w:rPr>
                <w:color w:val="467886"/>
                <w:u w:val="single"/>
              </w:rPr>
            </w:pPr>
            <w:r>
              <w:rPr>
                <w:color w:val="467886"/>
                <w:u w:val="single"/>
              </w:rPr>
              <w:t>https://seenews.com/news/serbia-secures-953-mln-euro-of-fresh-chinese-investments-1295385</w:t>
            </w:r>
          </w:p>
        </w:tc>
        <w:tc>
          <w:tcPr>
            <w:tcW w:w="1275" w:type="dxa"/>
            <w:tcMar>
              <w:top w:w="40" w:type="dxa"/>
              <w:bottom w:w="40" w:type="dxa"/>
            </w:tcMar>
          </w:tcPr>
          <w:p w14:paraId="41C9E1CE" w14:textId="77777777" w:rsidR="00893108" w:rsidRDefault="00893108">
            <w:pPr>
              <w:spacing w:after="0" w:line="240" w:lineRule="auto"/>
              <w:jc w:val="both"/>
            </w:pPr>
          </w:p>
        </w:tc>
      </w:tr>
      <w:tr w:rsidR="00893108" w14:paraId="5F41BF67" w14:textId="77777777">
        <w:tc>
          <w:tcPr>
            <w:tcW w:w="1395" w:type="dxa"/>
            <w:tcMar>
              <w:top w:w="40" w:type="dxa"/>
              <w:bottom w:w="40" w:type="dxa"/>
            </w:tcMar>
          </w:tcPr>
          <w:p w14:paraId="09339CCF" w14:textId="77777777" w:rsidR="00893108" w:rsidRDefault="00000000">
            <w:pPr>
              <w:spacing w:after="0" w:line="240" w:lineRule="auto"/>
              <w:jc w:val="center"/>
            </w:pPr>
            <w:r>
              <w:t>2026‑05‑27</w:t>
            </w:r>
          </w:p>
        </w:tc>
        <w:tc>
          <w:tcPr>
            <w:tcW w:w="4725" w:type="dxa"/>
            <w:tcMar>
              <w:top w:w="40" w:type="dxa"/>
              <w:bottom w:w="40" w:type="dxa"/>
            </w:tcMar>
          </w:tcPr>
          <w:p w14:paraId="1C135A7D" w14:textId="77777777" w:rsidR="00893108" w:rsidRDefault="00000000">
            <w:pPr>
              <w:spacing w:after="160"/>
              <w:jc w:val="both"/>
            </w:pPr>
            <w:r>
              <w:t>Serbijos valstybinė naftotiekių operatorė „</w:t>
            </w:r>
            <w:proofErr w:type="spellStart"/>
            <w:r>
              <w:t>Transnafta</w:t>
            </w:r>
            <w:proofErr w:type="spellEnd"/>
            <w:r>
              <w:t xml:space="preserve">“ pasirinko Vengrijos MVM grupei priklausančios bendrovės „MVM </w:t>
            </w:r>
            <w:proofErr w:type="spellStart"/>
            <w:r>
              <w:t>Južna</w:t>
            </w:r>
            <w:proofErr w:type="spellEnd"/>
            <w:r>
              <w:t xml:space="preserve"> Bačka“ vadovaujamą konsorciumą tiesti 113 km ilgio naftotiekio atkarpą nuo </w:t>
            </w:r>
            <w:proofErr w:type="spellStart"/>
            <w:r>
              <w:t>Horgošo</w:t>
            </w:r>
            <w:proofErr w:type="spellEnd"/>
            <w:r>
              <w:t xml:space="preserve">, esančio prie Vengrijos sienos, iki </w:t>
            </w:r>
            <w:proofErr w:type="spellStart"/>
            <w:r>
              <w:t>Novi</w:t>
            </w:r>
            <w:proofErr w:type="spellEnd"/>
            <w:r>
              <w:t xml:space="preserve"> </w:t>
            </w:r>
            <w:proofErr w:type="spellStart"/>
            <w:r>
              <w:t>Sado</w:t>
            </w:r>
            <w:proofErr w:type="spellEnd"/>
            <w:r>
              <w:t>. Planuojama jungtis, kurios metinis pajėgumas siektų apie 5,5 mln. tonų naftos, sujungtų Serbiją su per Vengriją einančiu „</w:t>
            </w:r>
            <w:proofErr w:type="spellStart"/>
            <w:r>
              <w:t>Družba</w:t>
            </w:r>
            <w:proofErr w:type="spellEnd"/>
            <w:r>
              <w:t>“ naftotiekiu ir sumažintų jos priklausomybę nuo naftos tiekimo per Kroatiją.</w:t>
            </w:r>
          </w:p>
        </w:tc>
        <w:tc>
          <w:tcPr>
            <w:tcW w:w="2235" w:type="dxa"/>
            <w:tcMar>
              <w:top w:w="40" w:type="dxa"/>
              <w:bottom w:w="40" w:type="dxa"/>
            </w:tcMar>
          </w:tcPr>
          <w:p w14:paraId="2D83241C" w14:textId="77777777" w:rsidR="00893108" w:rsidRDefault="00000000">
            <w:pPr>
              <w:spacing w:after="0"/>
              <w:rPr>
                <w:color w:val="467886"/>
                <w:u w:val="single"/>
              </w:rPr>
            </w:pPr>
            <w:hyperlink r:id="rId22">
              <w:r>
                <w:rPr>
                  <w:color w:val="467886"/>
                  <w:u w:val="single"/>
                </w:rPr>
                <w:t>https://serbia-energy.eu/serbia-hungary-oil-pipeline-faces-delay-as-legal-challenge-hits-procurement-process/</w:t>
              </w:r>
            </w:hyperlink>
          </w:p>
        </w:tc>
        <w:tc>
          <w:tcPr>
            <w:tcW w:w="1275" w:type="dxa"/>
            <w:tcMar>
              <w:top w:w="40" w:type="dxa"/>
              <w:bottom w:w="40" w:type="dxa"/>
            </w:tcMar>
          </w:tcPr>
          <w:p w14:paraId="1B0D1094" w14:textId="77777777" w:rsidR="00893108" w:rsidRDefault="00893108">
            <w:pPr>
              <w:spacing w:after="0" w:line="240" w:lineRule="auto"/>
              <w:jc w:val="both"/>
            </w:pPr>
          </w:p>
        </w:tc>
      </w:tr>
      <w:tr w:rsidR="00893108" w14:paraId="5189AC72" w14:textId="77777777">
        <w:tc>
          <w:tcPr>
            <w:tcW w:w="1395" w:type="dxa"/>
            <w:tcMar>
              <w:top w:w="40" w:type="dxa"/>
              <w:bottom w:w="40" w:type="dxa"/>
            </w:tcMar>
          </w:tcPr>
          <w:p w14:paraId="7858B0C0" w14:textId="77777777" w:rsidR="00893108" w:rsidRDefault="00000000">
            <w:pPr>
              <w:spacing w:after="0" w:line="240" w:lineRule="auto"/>
              <w:jc w:val="center"/>
            </w:pPr>
            <w:r>
              <w:t>2026‑06‑03</w:t>
            </w:r>
          </w:p>
        </w:tc>
        <w:tc>
          <w:tcPr>
            <w:tcW w:w="4725" w:type="dxa"/>
            <w:tcMar>
              <w:top w:w="40" w:type="dxa"/>
              <w:bottom w:w="40" w:type="dxa"/>
            </w:tcMar>
          </w:tcPr>
          <w:p w14:paraId="7D81A9E3" w14:textId="77777777" w:rsidR="00893108" w:rsidRDefault="00000000">
            <w:pPr>
              <w:spacing w:after="0"/>
              <w:jc w:val="both"/>
            </w:pPr>
            <w:r>
              <w:t>Naftos tiekimas „</w:t>
            </w:r>
            <w:proofErr w:type="spellStart"/>
            <w:r>
              <w:t>Družba</w:t>
            </w:r>
            <w:proofErr w:type="spellEnd"/>
            <w:r>
              <w:t>“ vamzdynu į Vengriją ir Slovakiją atnaujintas po kelis mėnesius trukusio sutrikimo, tačiau birželio pradžioje srautas dar buvo mažesnis nei iki sustabdymo.</w:t>
            </w:r>
          </w:p>
        </w:tc>
        <w:tc>
          <w:tcPr>
            <w:tcW w:w="2235" w:type="dxa"/>
            <w:tcMar>
              <w:top w:w="40" w:type="dxa"/>
              <w:bottom w:w="40" w:type="dxa"/>
            </w:tcMar>
          </w:tcPr>
          <w:p w14:paraId="725F5848" w14:textId="77777777" w:rsidR="00893108" w:rsidRDefault="00000000">
            <w:pPr>
              <w:spacing w:after="0"/>
            </w:pPr>
            <w:hyperlink r:id="rId23">
              <w:r>
                <w:rPr>
                  <w:color w:val="467886"/>
                  <w:u w:val="single"/>
                </w:rPr>
                <w:t>https://www.reuters.com/business/energy/russias-druzhba-oil-exports-hungary-slovakia-back-normal-levels-may-sources-say-2026-06-03/</w:t>
              </w:r>
            </w:hyperlink>
          </w:p>
        </w:tc>
        <w:tc>
          <w:tcPr>
            <w:tcW w:w="1275" w:type="dxa"/>
            <w:tcMar>
              <w:top w:w="40" w:type="dxa"/>
              <w:bottom w:w="40" w:type="dxa"/>
            </w:tcMar>
          </w:tcPr>
          <w:p w14:paraId="4ECAB4DF" w14:textId="77777777" w:rsidR="00893108" w:rsidRDefault="00893108">
            <w:pPr>
              <w:spacing w:after="0" w:line="240" w:lineRule="auto"/>
              <w:jc w:val="both"/>
            </w:pPr>
          </w:p>
        </w:tc>
      </w:tr>
      <w:tr w:rsidR="00893108" w14:paraId="2325EA69" w14:textId="77777777">
        <w:tc>
          <w:tcPr>
            <w:tcW w:w="1395" w:type="dxa"/>
            <w:tcMar>
              <w:top w:w="40" w:type="dxa"/>
              <w:bottom w:w="40" w:type="dxa"/>
            </w:tcMar>
          </w:tcPr>
          <w:p w14:paraId="29A97EA9" w14:textId="77777777" w:rsidR="00893108" w:rsidRDefault="00000000">
            <w:pPr>
              <w:spacing w:after="0" w:line="240" w:lineRule="auto"/>
              <w:jc w:val="center"/>
            </w:pPr>
            <w:r>
              <w:t>2026‑06‑11</w:t>
            </w:r>
          </w:p>
        </w:tc>
        <w:tc>
          <w:tcPr>
            <w:tcW w:w="4725" w:type="dxa"/>
            <w:tcMar>
              <w:top w:w="40" w:type="dxa"/>
              <w:bottom w:w="40" w:type="dxa"/>
            </w:tcMar>
          </w:tcPr>
          <w:p w14:paraId="666CECCA" w14:textId="77777777" w:rsidR="00893108" w:rsidRDefault="00000000">
            <w:pPr>
              <w:spacing w:after="0"/>
              <w:jc w:val="both"/>
            </w:pPr>
            <w:r>
              <w:t xml:space="preserve">MOL ir Serbijos vyriausybė priartėjo prie susitarimo dėl Rusijos bendrovių valdomo 56,15 % naftos įmonės NIS akcijų paketo. Pagal svarstomą struktūrą Serbija papildomai įsigytų 5 % akcijų ir gautų stipresnes teises blokuoti nacionaliniams interesams prieštaraujančius sprendimus, o MOL derasi su JAE bendrove ADNOC dėl mažumos dalies. </w:t>
            </w:r>
            <w:r>
              <w:lastRenderedPageBreak/>
              <w:t>Sandoriui dar būtinas JAV sankcijų administratoriaus leidimas. Kontrolės perėjimas MOL sustiprintų Vengrijos bendrovės vaidmenį Vakarų Balkanų energetikoje, bet kartu padidintų jos atsakomybę už jautrią Serbijos rinką.</w:t>
            </w:r>
          </w:p>
        </w:tc>
        <w:tc>
          <w:tcPr>
            <w:tcW w:w="2235" w:type="dxa"/>
            <w:tcMar>
              <w:top w:w="40" w:type="dxa"/>
              <w:bottom w:w="40" w:type="dxa"/>
            </w:tcMar>
          </w:tcPr>
          <w:p w14:paraId="7BC4E196" w14:textId="77777777" w:rsidR="00893108" w:rsidRDefault="00000000">
            <w:pPr>
              <w:spacing w:after="0"/>
            </w:pPr>
            <w:hyperlink r:id="rId24">
              <w:r>
                <w:rPr>
                  <w:color w:val="467886"/>
                  <w:u w:val="single"/>
                </w:rPr>
                <w:t>https://www.reuters.com/business/energy/hungarys-mol-seeks-extension-finalise-talks-buy-serbias-nis-serbian-energy-2026-06-03/</w:t>
              </w:r>
            </w:hyperlink>
          </w:p>
        </w:tc>
        <w:tc>
          <w:tcPr>
            <w:tcW w:w="1275" w:type="dxa"/>
            <w:tcMar>
              <w:top w:w="40" w:type="dxa"/>
              <w:bottom w:w="40" w:type="dxa"/>
            </w:tcMar>
          </w:tcPr>
          <w:p w14:paraId="4B0F4063" w14:textId="77777777" w:rsidR="00893108" w:rsidRDefault="00893108">
            <w:pPr>
              <w:spacing w:after="0" w:line="240" w:lineRule="auto"/>
              <w:jc w:val="both"/>
            </w:pPr>
          </w:p>
        </w:tc>
      </w:tr>
      <w:tr w:rsidR="00893108" w14:paraId="5D8D237D" w14:textId="77777777">
        <w:trPr>
          <w:cantSplit/>
        </w:trPr>
        <w:tc>
          <w:tcPr>
            <w:tcW w:w="9630" w:type="dxa"/>
            <w:gridSpan w:val="4"/>
            <w:tcMar>
              <w:top w:w="30" w:type="dxa"/>
              <w:bottom w:w="30" w:type="dxa"/>
            </w:tcMar>
            <w:vAlign w:val="center"/>
          </w:tcPr>
          <w:p w14:paraId="009E8CD3" w14:textId="77777777" w:rsidR="00893108" w:rsidRDefault="00000000">
            <w:pPr>
              <w:keepNext/>
              <w:spacing w:after="0" w:line="240" w:lineRule="auto"/>
            </w:pPr>
            <w:r>
              <w:rPr>
                <w:b/>
                <w:bCs/>
              </w:rPr>
              <w:t>Bendra akreditacijos valstybių ekonominė informacija</w:t>
            </w:r>
          </w:p>
        </w:tc>
      </w:tr>
      <w:tr w:rsidR="00893108" w14:paraId="77DA7B10" w14:textId="77777777">
        <w:tc>
          <w:tcPr>
            <w:tcW w:w="1395" w:type="dxa"/>
            <w:tcMar>
              <w:top w:w="40" w:type="dxa"/>
              <w:bottom w:w="40" w:type="dxa"/>
            </w:tcMar>
          </w:tcPr>
          <w:p w14:paraId="0A974C07" w14:textId="77777777" w:rsidR="00893108" w:rsidRDefault="00000000">
            <w:pPr>
              <w:spacing w:after="0" w:line="240" w:lineRule="auto"/>
              <w:jc w:val="center"/>
            </w:pPr>
            <w:r>
              <w:t>2026‑06‑03</w:t>
            </w:r>
          </w:p>
        </w:tc>
        <w:tc>
          <w:tcPr>
            <w:tcW w:w="4725" w:type="dxa"/>
            <w:tcMar>
              <w:top w:w="40" w:type="dxa"/>
              <w:bottom w:w="40" w:type="dxa"/>
            </w:tcMar>
          </w:tcPr>
          <w:p w14:paraId="694C70C6" w14:textId="77777777" w:rsidR="00893108" w:rsidRDefault="00000000">
            <w:pPr>
              <w:spacing w:after="0"/>
              <w:jc w:val="both"/>
            </w:pPr>
            <w:r>
              <w:t xml:space="preserve">Vengrijos ekonomikos augimas išlieka vangus – EBPO prognozuoja, kad po vos 0,5 % augimo 2025 m. šalies BVP 2026 m. padidės 1,6 %, o 2027 m. – 2 %. EK vertinimas panašus – atitinkamai 1,8 % ir 2,1 %, tačiau Komisija prognozuoja, kad biudžeto deficitas 2026 m. išaugs iki 6,2 % BVP ir 2027 m. vis dar sieks 5,8 %, o valstybės skola pakils iki 76,8 % BVP. „S&amp;P Global </w:t>
            </w:r>
            <w:proofErr w:type="spellStart"/>
            <w:r>
              <w:t>Ratings</w:t>
            </w:r>
            <w:proofErr w:type="spellEnd"/>
            <w:r>
              <w:t>“ ir „</w:t>
            </w:r>
            <w:proofErr w:type="spellStart"/>
            <w:r>
              <w:t>Fitch</w:t>
            </w:r>
            <w:proofErr w:type="spellEnd"/>
            <w:r>
              <w:t xml:space="preserve">“ birželio pradžioje paliko Vengrijos kredito reitingus nepakeistus, tačiau išlaikė neigiamą perspektyvą, daugiausia dėl didelio deficito, augančios skolos ir silpno ekonomikos augimo. </w:t>
            </w:r>
          </w:p>
        </w:tc>
        <w:tc>
          <w:tcPr>
            <w:tcW w:w="2235" w:type="dxa"/>
            <w:tcMar>
              <w:top w:w="40" w:type="dxa"/>
              <w:bottom w:w="40" w:type="dxa"/>
            </w:tcMar>
          </w:tcPr>
          <w:p w14:paraId="348F39AA" w14:textId="77777777" w:rsidR="00893108" w:rsidRDefault="00000000">
            <w:pPr>
              <w:spacing w:after="0"/>
              <w:rPr>
                <w:color w:val="45818E"/>
              </w:rPr>
            </w:pPr>
            <w:hyperlink r:id="rId25">
              <w:r>
                <w:rPr>
                  <w:color w:val="45818E"/>
                  <w:u w:val="single"/>
                </w:rPr>
                <w:t>https://www.oecd.org/en/publications/2026/06/oecd-economic-outlook-volume-2026-issue-1_8be0dba6/full-report/hungary_9a57c410.html</w:t>
              </w:r>
            </w:hyperlink>
            <w:r>
              <w:rPr>
                <w:color w:val="45818E"/>
              </w:rPr>
              <w:t xml:space="preserve"> </w:t>
            </w:r>
          </w:p>
          <w:p w14:paraId="75A41183" w14:textId="77777777" w:rsidR="00893108" w:rsidRDefault="00000000">
            <w:pPr>
              <w:spacing w:after="0"/>
              <w:rPr>
                <w:color w:val="45818E"/>
              </w:rPr>
            </w:pPr>
            <w:hyperlink r:id="rId26">
              <w:r>
                <w:rPr>
                  <w:color w:val="45818E"/>
                  <w:u w:val="single"/>
                </w:rPr>
                <w:t>https://economy-finance.ec.europa.eu/economic-surveillance-eu-member-states/country-pages-including-country-reports/hungary/economic-forecast-hungary_en</w:t>
              </w:r>
            </w:hyperlink>
            <w:r>
              <w:rPr>
                <w:color w:val="45818E"/>
              </w:rPr>
              <w:t xml:space="preserve"> </w:t>
            </w:r>
          </w:p>
        </w:tc>
        <w:tc>
          <w:tcPr>
            <w:tcW w:w="1275" w:type="dxa"/>
            <w:tcMar>
              <w:top w:w="40" w:type="dxa"/>
              <w:bottom w:w="40" w:type="dxa"/>
            </w:tcMar>
          </w:tcPr>
          <w:p w14:paraId="3240B7DE" w14:textId="77777777" w:rsidR="00893108" w:rsidRDefault="00893108">
            <w:pPr>
              <w:spacing w:after="0" w:line="240" w:lineRule="auto"/>
              <w:jc w:val="both"/>
            </w:pPr>
          </w:p>
        </w:tc>
      </w:tr>
      <w:tr w:rsidR="00893108" w14:paraId="23E9D6BF" w14:textId="77777777">
        <w:tc>
          <w:tcPr>
            <w:tcW w:w="1395" w:type="dxa"/>
            <w:tcMar>
              <w:top w:w="40" w:type="dxa"/>
              <w:bottom w:w="40" w:type="dxa"/>
            </w:tcMar>
          </w:tcPr>
          <w:p w14:paraId="13B01697" w14:textId="77777777" w:rsidR="00893108" w:rsidRDefault="00893108">
            <w:pPr>
              <w:spacing w:after="0" w:line="240" w:lineRule="auto"/>
              <w:jc w:val="center"/>
            </w:pPr>
          </w:p>
        </w:tc>
        <w:tc>
          <w:tcPr>
            <w:tcW w:w="4725" w:type="dxa"/>
            <w:tcMar>
              <w:top w:w="40" w:type="dxa"/>
              <w:bottom w:w="40" w:type="dxa"/>
            </w:tcMar>
          </w:tcPr>
          <w:p w14:paraId="655F6968" w14:textId="77777777" w:rsidR="00893108" w:rsidRDefault="00000000">
            <w:pPr>
              <w:spacing w:after="0"/>
              <w:jc w:val="both"/>
            </w:pPr>
            <w:r>
              <w:t xml:space="preserve">Serbijos BVP pirmąjį metų ketvirtį buvo 3,2 % didesnis nei prieš metus, nors, palyginti su ankstesniu ketvirčiu, padidėjo tik 0,2 %. TVF visų 2026 m. augimą vertina nuosaikiau – apie 2,8 %, nes šalies ekonomiką veikia energijos tiekimo rizikos. Metinė infliacija balandį siekė 3,3 % ir liko Serbijos centrinio banko nustatytame intervale. </w:t>
            </w:r>
          </w:p>
        </w:tc>
        <w:tc>
          <w:tcPr>
            <w:tcW w:w="2235" w:type="dxa"/>
            <w:tcMar>
              <w:top w:w="40" w:type="dxa"/>
              <w:bottom w:w="40" w:type="dxa"/>
            </w:tcMar>
          </w:tcPr>
          <w:p w14:paraId="185BB0B9" w14:textId="77777777" w:rsidR="00893108" w:rsidRDefault="00000000">
            <w:pPr>
              <w:spacing w:after="0"/>
              <w:rPr>
                <w:color w:val="45818E"/>
                <w:u w:val="single"/>
              </w:rPr>
            </w:pPr>
            <w:hyperlink r:id="rId27">
              <w:r>
                <w:rPr>
                  <w:color w:val="45818E"/>
                  <w:u w:val="single"/>
                </w:rPr>
                <w:t>https://www.stat.gov.rs/en-us/vesti/statisticalrelease/?p=17907</w:t>
              </w:r>
            </w:hyperlink>
          </w:p>
          <w:p w14:paraId="109758F1" w14:textId="77777777" w:rsidR="00893108" w:rsidRDefault="00000000">
            <w:pPr>
              <w:spacing w:after="0"/>
              <w:rPr>
                <w:color w:val="45818E"/>
                <w:u w:val="single"/>
              </w:rPr>
            </w:pPr>
            <w:hyperlink r:id="rId28">
              <w:r>
                <w:rPr>
                  <w:color w:val="45818E"/>
                  <w:u w:val="single"/>
                </w:rPr>
                <w:t>https://www.imf.org/en/news/articles/2026/06/15/pr26201-serbia-imf-concludes-the-third-review-under-pci</w:t>
              </w:r>
            </w:hyperlink>
            <w:r>
              <w:rPr>
                <w:color w:val="45818E"/>
                <w:u w:val="single"/>
              </w:rPr>
              <w:t xml:space="preserve"> </w:t>
            </w:r>
          </w:p>
        </w:tc>
        <w:tc>
          <w:tcPr>
            <w:tcW w:w="1275" w:type="dxa"/>
            <w:tcMar>
              <w:top w:w="40" w:type="dxa"/>
              <w:bottom w:w="40" w:type="dxa"/>
            </w:tcMar>
          </w:tcPr>
          <w:p w14:paraId="193BBDB7" w14:textId="77777777" w:rsidR="00893108" w:rsidRDefault="00893108">
            <w:pPr>
              <w:spacing w:after="0" w:line="240" w:lineRule="auto"/>
              <w:jc w:val="both"/>
            </w:pPr>
          </w:p>
        </w:tc>
      </w:tr>
      <w:tr w:rsidR="00893108" w14:paraId="1C27521F" w14:textId="77777777">
        <w:trPr>
          <w:cantSplit/>
        </w:trPr>
        <w:tc>
          <w:tcPr>
            <w:tcW w:w="9630" w:type="dxa"/>
            <w:gridSpan w:val="4"/>
            <w:tcMar>
              <w:top w:w="30" w:type="dxa"/>
              <w:bottom w:w="30" w:type="dxa"/>
            </w:tcMar>
            <w:vAlign w:val="center"/>
          </w:tcPr>
          <w:p w14:paraId="5CE018E1" w14:textId="77777777" w:rsidR="00893108" w:rsidRDefault="00000000">
            <w:pPr>
              <w:keepNext/>
              <w:spacing w:after="0" w:line="240" w:lineRule="auto"/>
            </w:pPr>
            <w:r>
              <w:rPr>
                <w:b/>
                <w:bCs/>
              </w:rPr>
              <w:t>Kita ekonominiam bendradarbiavimui aktuali informacija</w:t>
            </w:r>
          </w:p>
        </w:tc>
      </w:tr>
      <w:tr w:rsidR="00893108" w14:paraId="1BE58E5B" w14:textId="77777777">
        <w:tc>
          <w:tcPr>
            <w:tcW w:w="1395" w:type="dxa"/>
            <w:tcMar>
              <w:top w:w="40" w:type="dxa"/>
              <w:bottom w:w="40" w:type="dxa"/>
            </w:tcMar>
          </w:tcPr>
          <w:p w14:paraId="2B8635B2" w14:textId="77777777" w:rsidR="00893108" w:rsidRDefault="00000000">
            <w:pPr>
              <w:spacing w:after="0" w:line="240" w:lineRule="auto"/>
              <w:jc w:val="center"/>
            </w:pPr>
            <w:r>
              <w:t>2026‑05‑26</w:t>
            </w:r>
          </w:p>
        </w:tc>
        <w:tc>
          <w:tcPr>
            <w:tcW w:w="4725" w:type="dxa"/>
            <w:tcMar>
              <w:top w:w="40" w:type="dxa"/>
              <w:bottom w:w="40" w:type="dxa"/>
            </w:tcMar>
          </w:tcPr>
          <w:p w14:paraId="56C6BD9D" w14:textId="77777777" w:rsidR="00893108" w:rsidRDefault="00000000">
            <w:pPr>
              <w:spacing w:after="0"/>
              <w:jc w:val="both"/>
            </w:pPr>
            <w:r>
              <w:t>Finansinių paslaugų infrastruktūros bendrovė „</w:t>
            </w:r>
            <w:proofErr w:type="spellStart"/>
            <w:r>
              <w:t>Banking</w:t>
            </w:r>
            <w:proofErr w:type="spellEnd"/>
            <w:r>
              <w:t xml:space="preserve"> </w:t>
            </w:r>
            <w:proofErr w:type="spellStart"/>
            <w:r>
              <w:t>Circle</w:t>
            </w:r>
            <w:proofErr w:type="spellEnd"/>
            <w:r>
              <w:t xml:space="preserve">“ rengiasi pradėti veiklą Vengrijoje ir šiuo metu derina patekimo į rinką </w:t>
            </w:r>
            <w:r>
              <w:lastRenderedPageBreak/>
              <w:t xml:space="preserve">sąlygas su šalies reguliuotojais. Liuksemburge licencijuota įmonė teikia sąskaitų valdymo, valiutos keitimo ir tarptautinių mokėjimų sprendimus daugiau nei 850 </w:t>
            </w:r>
            <w:proofErr w:type="spellStart"/>
            <w:r>
              <w:t>fintech</w:t>
            </w:r>
            <w:proofErr w:type="spellEnd"/>
            <w:r>
              <w:t xml:space="preserve"> įmonių.  </w:t>
            </w:r>
          </w:p>
        </w:tc>
        <w:tc>
          <w:tcPr>
            <w:tcW w:w="2235" w:type="dxa"/>
            <w:tcMar>
              <w:top w:w="40" w:type="dxa"/>
              <w:bottom w:w="40" w:type="dxa"/>
            </w:tcMar>
          </w:tcPr>
          <w:p w14:paraId="2165029C" w14:textId="77777777" w:rsidR="00893108" w:rsidRDefault="00000000">
            <w:pPr>
              <w:spacing w:after="0"/>
              <w:rPr>
                <w:color w:val="45818E"/>
              </w:rPr>
            </w:pPr>
            <w:hyperlink r:id="rId29">
              <w:r>
                <w:rPr>
                  <w:color w:val="45818E"/>
                  <w:u w:val="single"/>
                </w:rPr>
                <w:t>https://www.portfolio.hu/deviza/20260526/magyarorszagon-</w:t>
              </w:r>
              <w:r>
                <w:rPr>
                  <w:color w:val="45818E"/>
                  <w:u w:val="single"/>
                </w:rPr>
                <w:lastRenderedPageBreak/>
                <w:t>terjeszkedik-a-850-fintechet-kiszolgalo-globalis-fizetesi-infrastruktura-szereplo-838612</w:t>
              </w:r>
            </w:hyperlink>
            <w:r>
              <w:rPr>
                <w:color w:val="45818E"/>
              </w:rPr>
              <w:t xml:space="preserve"> </w:t>
            </w:r>
          </w:p>
        </w:tc>
        <w:tc>
          <w:tcPr>
            <w:tcW w:w="1275" w:type="dxa"/>
            <w:tcMar>
              <w:top w:w="40" w:type="dxa"/>
              <w:bottom w:w="40" w:type="dxa"/>
            </w:tcMar>
          </w:tcPr>
          <w:p w14:paraId="3B21D498" w14:textId="77777777" w:rsidR="00893108" w:rsidRDefault="00893108">
            <w:pPr>
              <w:spacing w:after="0" w:line="240" w:lineRule="auto"/>
              <w:jc w:val="both"/>
            </w:pPr>
          </w:p>
        </w:tc>
      </w:tr>
      <w:tr w:rsidR="00893108" w14:paraId="2455973E" w14:textId="77777777">
        <w:tc>
          <w:tcPr>
            <w:tcW w:w="1395" w:type="dxa"/>
            <w:tcMar>
              <w:top w:w="40" w:type="dxa"/>
              <w:bottom w:w="40" w:type="dxa"/>
            </w:tcMar>
          </w:tcPr>
          <w:p w14:paraId="5093094E" w14:textId="77777777" w:rsidR="00893108" w:rsidRDefault="00000000">
            <w:pPr>
              <w:spacing w:after="0" w:line="240" w:lineRule="auto"/>
              <w:jc w:val="center"/>
            </w:pPr>
            <w:r>
              <w:t>2026-05-22</w:t>
            </w:r>
          </w:p>
        </w:tc>
        <w:tc>
          <w:tcPr>
            <w:tcW w:w="4725" w:type="dxa"/>
            <w:tcMar>
              <w:top w:w="40" w:type="dxa"/>
              <w:bottom w:w="40" w:type="dxa"/>
            </w:tcMar>
          </w:tcPr>
          <w:p w14:paraId="33D8E3C8" w14:textId="77777777" w:rsidR="00893108" w:rsidRDefault="00000000">
            <w:pPr>
              <w:spacing w:after="0"/>
              <w:jc w:val="both"/>
            </w:pPr>
            <w:r>
              <w:t xml:space="preserve">Vengrija atkūrė draudimą importuoti nemažą dalį Ukrainos žemės ūkio ir maisto produktų. Draudimas trumpam buvo nustojęs galioti, pasibaigus nepaprastajai padėčiai. Jis taikomas grūdams, miltams, aliejui, mėsai, kiaušiniams, medui, daržovėms, vynui ir kt. Tranzitas per šalį leidžiamas, tačiau griežtai kontroliuojamas. </w:t>
            </w:r>
          </w:p>
        </w:tc>
        <w:tc>
          <w:tcPr>
            <w:tcW w:w="2235" w:type="dxa"/>
            <w:tcMar>
              <w:top w:w="40" w:type="dxa"/>
              <w:bottom w:w="40" w:type="dxa"/>
            </w:tcMar>
          </w:tcPr>
          <w:p w14:paraId="22A73F75" w14:textId="77777777" w:rsidR="00893108" w:rsidRDefault="00000000">
            <w:pPr>
              <w:spacing w:after="0"/>
            </w:pPr>
            <w:hyperlink r:id="rId30">
              <w:r>
                <w:rPr>
                  <w:color w:val="467886"/>
                  <w:u w:val="single"/>
                </w:rPr>
                <w:t>https://www.euractiv.com/news/hungary-revives-ukraine-food-ban-after-accidental-lapse/</w:t>
              </w:r>
            </w:hyperlink>
          </w:p>
        </w:tc>
        <w:tc>
          <w:tcPr>
            <w:tcW w:w="1275" w:type="dxa"/>
            <w:tcMar>
              <w:top w:w="40" w:type="dxa"/>
              <w:bottom w:w="40" w:type="dxa"/>
            </w:tcMar>
          </w:tcPr>
          <w:p w14:paraId="053A3024" w14:textId="77777777" w:rsidR="00893108" w:rsidRDefault="00893108">
            <w:pPr>
              <w:spacing w:after="0" w:line="240" w:lineRule="auto"/>
              <w:jc w:val="both"/>
            </w:pPr>
          </w:p>
        </w:tc>
      </w:tr>
    </w:tbl>
    <w:p w14:paraId="0297E7EA" w14:textId="77777777" w:rsidR="00893108" w:rsidRDefault="00893108">
      <w:pPr>
        <w:spacing w:after="0" w:line="240" w:lineRule="auto"/>
      </w:pPr>
    </w:p>
    <w:p w14:paraId="18A8ACF0" w14:textId="77777777" w:rsidR="00893108" w:rsidRDefault="00893108">
      <w:pPr>
        <w:spacing w:after="0" w:line="240" w:lineRule="auto"/>
      </w:pPr>
    </w:p>
    <w:p w14:paraId="19FF3E1F" w14:textId="77777777" w:rsidR="00893108" w:rsidRDefault="00893108">
      <w:pPr>
        <w:spacing w:after="0" w:line="240" w:lineRule="auto"/>
      </w:pPr>
    </w:p>
    <w:p w14:paraId="6FFEE7F3" w14:textId="77777777" w:rsidR="00893108" w:rsidRDefault="00000000">
      <w:pPr>
        <w:keepNext/>
        <w:spacing w:after="0" w:line="240" w:lineRule="auto"/>
      </w:pPr>
      <w:r>
        <w:t>Rengėjas (-ai):</w:t>
      </w:r>
    </w:p>
    <w:p w14:paraId="21155A6D" w14:textId="77777777" w:rsidR="00893108" w:rsidRDefault="00000000">
      <w:pPr>
        <w:keepNext/>
        <w:spacing w:after="0" w:line="240" w:lineRule="auto"/>
      </w:pPr>
      <w:r>
        <w:t>______________________________________________________</w:t>
      </w:r>
    </w:p>
    <w:p w14:paraId="4B3AD8E5" w14:textId="77777777" w:rsidR="00893108" w:rsidRDefault="00000000">
      <w:pPr>
        <w:spacing w:after="0" w:line="240" w:lineRule="auto"/>
        <w:jc w:val="both"/>
      </w:pPr>
      <w:r>
        <w:t xml:space="preserve">Patarėja Violeta </w:t>
      </w:r>
      <w:proofErr w:type="spellStart"/>
      <w:r>
        <w:t>Podagelytė</w:t>
      </w:r>
      <w:proofErr w:type="spellEnd"/>
      <w:r>
        <w:t xml:space="preserve">, </w:t>
      </w:r>
      <w:hyperlink r:id="rId31">
        <w:r>
          <w:rPr>
            <w:color w:val="467886"/>
            <w:u w:val="single"/>
          </w:rPr>
          <w:t>violeta.podagelyte@urm.lt</w:t>
        </w:r>
      </w:hyperlink>
      <w:r>
        <w:t xml:space="preserve"> +36  1 224 7910</w:t>
      </w:r>
    </w:p>
    <w:sectPr w:rsidR="00893108">
      <w:pgSz w:w="11906" w:h="16838"/>
      <w:pgMar w:top="1700" w:right="566" w:bottom="1133" w:left="1700"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53819ABD-D604-482E-9750-4ECFD974B27B}"/>
  </w:font>
  <w:font w:name="Cambria">
    <w:panose1 w:val="02040503050406030204"/>
    <w:charset w:val="BA"/>
    <w:family w:val="roman"/>
    <w:pitch w:val="variable"/>
    <w:sig w:usb0="E00006FF" w:usb1="420024FF" w:usb2="02000000" w:usb3="00000000" w:csb0="0000019F" w:csb1="00000000"/>
    <w:embedRegular r:id="rId2" w:fontKey="{C8BC523C-8862-4610-A18D-115AC8589D6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108"/>
    <w:rsid w:val="00832879"/>
    <w:rsid w:val="00893108"/>
    <w:rsid w:val="00C60A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8312"/>
  <w15:docId w15:val="{FBF121C4-1A02-48CA-B471-BA277478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color w:val="0F4761"/>
    </w:rPr>
  </w:style>
  <w:style w:type="paragraph" w:styleId="Heading2">
    <w:name w:val="heading 2"/>
    <w:basedOn w:val="Normal"/>
    <w:next w:val="Normal"/>
    <w:uiPriority w:val="9"/>
    <w:semiHidden/>
    <w:unhideWhenUsed/>
    <w:qFormat/>
    <w:pPr>
      <w:keepNext/>
      <w:keepLines/>
      <w:spacing w:before="160" w:after="80" w:line="278" w:lineRule="auto"/>
      <w:outlineLvl w:val="1"/>
    </w:pPr>
    <w:rPr>
      <w:color w:val="0F4761"/>
    </w:rPr>
  </w:style>
  <w:style w:type="paragraph" w:styleId="Heading3">
    <w:name w:val="heading 3"/>
    <w:basedOn w:val="Normal"/>
    <w:next w:val="Normal"/>
    <w:uiPriority w:val="9"/>
    <w:semiHidden/>
    <w:unhideWhenUsed/>
    <w:qFormat/>
    <w:pPr>
      <w:keepNext/>
      <w:keepLines/>
      <w:spacing w:before="160" w:after="80" w:line="278" w:lineRule="auto"/>
      <w:outlineLvl w:val="2"/>
    </w:pPr>
    <w:rPr>
      <w:color w:val="0F4761"/>
    </w:rPr>
  </w:style>
  <w:style w:type="paragraph" w:styleId="Heading4">
    <w:name w:val="heading 4"/>
    <w:basedOn w:val="Normal"/>
    <w:next w:val="Normal"/>
    <w:uiPriority w:val="9"/>
    <w:semiHidden/>
    <w:unhideWhenUsed/>
    <w:qFormat/>
    <w:pPr>
      <w:keepNext/>
      <w:keepLines/>
      <w:spacing w:before="80" w:after="40" w:line="278" w:lineRule="auto"/>
      <w:outlineLvl w:val="3"/>
    </w:pPr>
    <w:rPr>
      <w:i/>
      <w:iCs/>
      <w:color w:val="0F4761"/>
    </w:rPr>
  </w:style>
  <w:style w:type="paragraph" w:styleId="Heading5">
    <w:name w:val="heading 5"/>
    <w:basedOn w:val="Normal"/>
    <w:next w:val="Normal"/>
    <w:uiPriority w:val="9"/>
    <w:semiHidden/>
    <w:unhideWhenUsed/>
    <w:qFormat/>
    <w:pPr>
      <w:keepNext/>
      <w:keepLines/>
      <w:spacing w:before="80" w:after="40" w:line="278" w:lineRule="auto"/>
      <w:outlineLvl w:val="4"/>
    </w:pPr>
    <w:rPr>
      <w:color w:val="0F4761"/>
    </w:rPr>
  </w:style>
  <w:style w:type="paragraph" w:styleId="Heading6">
    <w:name w:val="heading 6"/>
    <w:basedOn w:val="Normal"/>
    <w:next w:val="Normal"/>
    <w:uiPriority w:val="9"/>
    <w:semiHidden/>
    <w:unhideWhenUsed/>
    <w:qFormat/>
    <w:pPr>
      <w:keepNext/>
      <w:keepLines/>
      <w:spacing w:before="40" w:after="0" w:line="278" w:lineRule="auto"/>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style>
  <w:style w:type="paragraph" w:styleId="Subtitle">
    <w:name w:val="Subtitle"/>
    <w:basedOn w:val="Normal"/>
    <w:next w:val="Normal"/>
    <w:uiPriority w:val="11"/>
    <w:qFormat/>
    <w:pPr>
      <w:spacing w:after="160" w:line="278" w:lineRule="auto"/>
    </w:pPr>
    <w:rPr>
      <w:color w:val="595959"/>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penzcentrum.hu/gazdasag/20260604/fontos-valtozast-jelentettek-be-magyarorszagon-vegleg-eltorlik-a-vitatott-kulonadot-1199909" TargetMode="External"/><Relationship Id="rId18" Type="http://schemas.openxmlformats.org/officeDocument/2006/relationships/hyperlink" Target="https://hungarytoday.hu/government-terminates-contract-with-nobel-laureates-foundation/" TargetMode="External"/><Relationship Id="rId26" Type="http://schemas.openxmlformats.org/officeDocument/2006/relationships/hyperlink" Target="https://economy-finance.ec.europa.eu/economic-surveillance-eu-member-states/country-pages-including-country-reports/hungary/economic-forecast-hungary_en" TargetMode="External"/><Relationship Id="rId3" Type="http://schemas.openxmlformats.org/officeDocument/2006/relationships/settings" Target="settings.xml"/><Relationship Id="rId21" Type="http://schemas.openxmlformats.org/officeDocument/2006/relationships/hyperlink" Target="https://ceenergynews.com/oil-gas/hungary-releases-fuel-reserves/" TargetMode="External"/><Relationship Id="rId7" Type="http://schemas.openxmlformats.org/officeDocument/2006/relationships/hyperlink" Target="https://bbj.hu/economy/finance/trade/hungary-trade-surplus-reaches-eur-502-mln-in-may/" TargetMode="External"/><Relationship Id="rId12" Type="http://schemas.openxmlformats.org/officeDocument/2006/relationships/hyperlink" Target="https://www.revolut.com/en-HU/legal/hirdetmeny/" TargetMode="External"/><Relationship Id="rId17" Type="http://schemas.openxmlformats.org/officeDocument/2006/relationships/hyperlink" Target="https://news.aa.com/news/news-details/2026/Your-European-summer-is-calling-American-Airlines-unlocks-more-access-for-travelers-NET-RTS-05/default.aspx" TargetMode="External"/><Relationship Id="rId25" Type="http://schemas.openxmlformats.org/officeDocument/2006/relationships/hyperlink" Target="https://www.oecd.org/en/publications/2026/06/oecd-economic-outlook-volume-2026-issue-1_8be0dba6/full-report/hungary_9a57c410.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udapesttimes.hu/economy/foreign-visitor-decline-drags-down-april-tourism-figures/" TargetMode="External"/><Relationship Id="rId20" Type="http://schemas.openxmlformats.org/officeDocument/2006/relationships/hyperlink" Target="https://www.dmu.gov.hu/cikkek/magyarorszag-is-alakitja-az-europai-digitalis-kozigazgatas-jov-jet-51" TargetMode="External"/><Relationship Id="rId29" Type="http://schemas.openxmlformats.org/officeDocument/2006/relationships/hyperlink" Target="https://www.portfolio.hu/deviza/20260526/magyarorszagon-terjeszkedik-a-850-fintechet-kiszolgalo-globalis-fizetesi-infrastruktura-szereplo-838612" TargetMode="External"/><Relationship Id="rId1" Type="http://schemas.openxmlformats.org/officeDocument/2006/relationships/customXml" Target="../customXml/item1.xml"/><Relationship Id="rId6" Type="http://schemas.openxmlformats.org/officeDocument/2006/relationships/hyperlink" Target="https://www.ksh.hu/en/first-releases/kis/ekis2605.html" TargetMode="External"/><Relationship Id="rId11" Type="http://schemas.openxmlformats.org/officeDocument/2006/relationships/hyperlink" Target="https://www.euractiv.com/news/hungary-seeks-to-unlock-e10-4bn-in-eu-funds-with-anti-corruption-overhaul/" TargetMode="External"/><Relationship Id="rId24" Type="http://schemas.openxmlformats.org/officeDocument/2006/relationships/hyperlink" Target="https://www.reuters.com/business/energy/hungarys-mol-seeks-extension-finalise-talks-buy-serbias-nis-serbian-energy-2026-06-03/" TargetMode="External"/><Relationship Id="rId32" Type="http://schemas.openxmlformats.org/officeDocument/2006/relationships/fontTable" Target="fontTable.xml"/><Relationship Id="rId5" Type="http://schemas.openxmlformats.org/officeDocument/2006/relationships/hyperlink" Target="https://www.ksh.hu/en/first-releases/ker/eker2604.html" TargetMode="External"/><Relationship Id="rId15" Type="http://schemas.openxmlformats.org/officeDocument/2006/relationships/hyperlink" Target="https://autopro.hu/en/news/byd-in-szeged-has-seriously-violated-the-requirements-set-forth-in-its-permit/1615974" TargetMode="External"/><Relationship Id="rId23" Type="http://schemas.openxmlformats.org/officeDocument/2006/relationships/hyperlink" Target="https://www.reuters.com/business/energy/russias-druzhba-oil-exports-hungary-slovakia-back-normal-levels-may-sources-say-2026-06-03/" TargetMode="External"/><Relationship Id="rId28" Type="http://schemas.openxmlformats.org/officeDocument/2006/relationships/hyperlink" Target="https://www.imf.org/en/news/articles/2026/06/15/pr26201-serbia-imf-concludes-the-third-review-under-pci" TargetMode="External"/><Relationship Id="rId10" Type="http://schemas.openxmlformats.org/officeDocument/2006/relationships/hyperlink" Target="https://www.reuters.com/business/eu-agrees-unlock-billions-funds-hungary-von-der-leyen-2026-05-29/" TargetMode="External"/><Relationship Id="rId19" Type="http://schemas.openxmlformats.org/officeDocument/2006/relationships/hyperlink" Target="https://www.reuters.com/business/eu-agrees-unlock-billions-funds-hungary-von-der-leyen-2026-05-29/" TargetMode="External"/><Relationship Id="rId31" Type="http://schemas.openxmlformats.org/officeDocument/2006/relationships/hyperlink" Target="mailto:violeta.podagelyte@urm.lt" TargetMode="External"/><Relationship Id="rId4" Type="http://schemas.openxmlformats.org/officeDocument/2006/relationships/webSettings" Target="webSettings.xml"/><Relationship Id="rId9" Type="http://schemas.openxmlformats.org/officeDocument/2006/relationships/hyperlink" Target="https://www.reuters.com/business/healthcare-pharmaceuticals/hungary-reports-african-swine-fever-domestic-pigs-first-time-2026-06-04/" TargetMode="External"/><Relationship Id="rId14" Type="http://schemas.openxmlformats.org/officeDocument/2006/relationships/hyperlink" Target="https://www.reuters.com/business/world-at-work/hungary-stop-issuing-worker-visas-people-three-countries-starting-friday-2026-06-05/" TargetMode="External"/><Relationship Id="rId22" Type="http://schemas.openxmlformats.org/officeDocument/2006/relationships/hyperlink" Target="https://serbia-energy.eu/serbia-hungary-oil-pipeline-faces-delay-as-legal-challenge-hits-procurement-process/" TargetMode="External"/><Relationship Id="rId27" Type="http://schemas.openxmlformats.org/officeDocument/2006/relationships/hyperlink" Target="https://www.stat.gov.rs/en-us/vesti/statisticalrelease/?p=17907" TargetMode="External"/><Relationship Id="rId30" Type="http://schemas.openxmlformats.org/officeDocument/2006/relationships/hyperlink" Target="https://www.euractiv.com/news/hungary-revives-ukraine-food-ban-after-accidental-lapse/" TargetMode="External"/><Relationship Id="rId8" Type="http://schemas.openxmlformats.org/officeDocument/2006/relationships/hyperlink" Target="https://bbj.hu/business/industry/retail/hungary-retail-sales-rise-4-8-in-may-up-0-7-month-on-month/"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g6nla/ttBN69nXUhnPaPw+an9w==">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11373</Words>
  <Characters>6484</Characters>
  <Application>Microsoft Office Word</Application>
  <DocSecurity>0</DocSecurity>
  <Lines>54</Lines>
  <Paragraphs>35</Paragraphs>
  <ScaleCrop>false</ScaleCrop>
  <Company>LR URM</Company>
  <LinksUpToDate>false</LinksUpToDate>
  <CharactersWithSpaces>17822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PODAGELYTĖ</dc:creator>
  <cp:lastModifiedBy>Violeta PODAGELYTĖ</cp:lastModifiedBy>
  <cp:revision>2</cp:revision>
  <dcterms:created xsi:type="dcterms:W3CDTF">2026-07-13T14:24:00Z</dcterms:created>
  <dcterms:modified xsi:type="dcterms:W3CDTF">2026-07-13T14:24:00Z</dcterms:modified>
</cp:coreProperties>
</file>