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B1EF" w14:textId="77777777" w:rsidR="00817C58" w:rsidRDefault="00817C58" w:rsidP="00817C58">
      <w:pPr>
        <w:spacing w:after="0" w:line="240" w:lineRule="auto"/>
        <w:jc w:val="center"/>
        <w:rPr>
          <w:rFonts w:ascii="Times New Roman" w:eastAsia="Times New Roman" w:hAnsi="Times New Roman"/>
          <w:b/>
        </w:rPr>
      </w:pPr>
      <w:r>
        <w:rPr>
          <w:rFonts w:ascii="Times New Roman" w:eastAsia="Times New Roman" w:hAnsi="Times New Roman"/>
          <w:b/>
        </w:rPr>
        <w:t>LIETUVOS RESPUBLIKOS AMBASADA PRANCŪZIJOS RESPUBLIKOJE</w:t>
      </w:r>
    </w:p>
    <w:p w14:paraId="4A0DC7A2" w14:textId="77777777" w:rsidR="00817C58" w:rsidRDefault="00817C58" w:rsidP="00817C58">
      <w:pPr>
        <w:spacing w:after="0" w:line="240" w:lineRule="auto"/>
        <w:jc w:val="center"/>
        <w:rPr>
          <w:rFonts w:ascii="Times New Roman" w:eastAsia="Times New Roman" w:hAnsi="Times New Roman"/>
        </w:rPr>
      </w:pPr>
    </w:p>
    <w:p w14:paraId="0DB07955" w14:textId="77777777" w:rsidR="00817C58" w:rsidRDefault="00817C58" w:rsidP="00817C58">
      <w:pPr>
        <w:spacing w:after="0" w:line="240" w:lineRule="auto"/>
        <w:jc w:val="center"/>
        <w:rPr>
          <w:rFonts w:ascii="Times New Roman" w:eastAsia="Times New Roman" w:hAnsi="Times New Roman"/>
          <w:b/>
        </w:rPr>
      </w:pPr>
      <w:r>
        <w:rPr>
          <w:rFonts w:ascii="Times New Roman" w:eastAsia="Times New Roman" w:hAnsi="Times New Roman"/>
          <w:b/>
        </w:rPr>
        <w:t>AKTUALIOS EKONOMINĖS INFORMACIJOS SUVESTINĖ</w:t>
      </w:r>
    </w:p>
    <w:p w14:paraId="350BACD2" w14:textId="77777777" w:rsidR="00D22BFD" w:rsidRPr="00640017" w:rsidRDefault="00D22BFD">
      <w:pPr>
        <w:spacing w:after="0" w:line="240" w:lineRule="auto"/>
        <w:jc w:val="center"/>
        <w:rPr>
          <w:rFonts w:ascii="Times New Roman" w:eastAsia="Times New Roman" w:hAnsi="Times New Roman"/>
          <w:b/>
        </w:rPr>
      </w:pPr>
    </w:p>
    <w:p w14:paraId="1BF1B135" w14:textId="77777777" w:rsidR="00D22BFD" w:rsidRPr="00640017" w:rsidRDefault="00D22BFD">
      <w:pPr>
        <w:spacing w:after="0" w:line="240" w:lineRule="auto"/>
        <w:jc w:val="center"/>
        <w:rPr>
          <w:rFonts w:ascii="Times New Roman" w:eastAsia="Times New Roman" w:hAnsi="Times New Roman"/>
          <w:b/>
        </w:rPr>
      </w:pPr>
    </w:p>
    <w:p w14:paraId="22280B95" w14:textId="53212A00" w:rsidR="00F26715" w:rsidRDefault="002421E2">
      <w:pPr>
        <w:spacing w:after="0" w:line="240" w:lineRule="auto"/>
        <w:jc w:val="center"/>
        <w:rPr>
          <w:rFonts w:ascii="Times New Roman" w:eastAsia="Times New Roman" w:hAnsi="Times New Roman"/>
        </w:rPr>
      </w:pPr>
      <w:r w:rsidRPr="00B869D6">
        <w:rPr>
          <w:rFonts w:ascii="Times New Roman" w:eastAsia="Times New Roman" w:hAnsi="Times New Roman"/>
        </w:rPr>
        <w:t>202</w:t>
      </w:r>
      <w:r w:rsidR="00672C47">
        <w:rPr>
          <w:rFonts w:ascii="Times New Roman" w:eastAsia="Times New Roman" w:hAnsi="Times New Roman"/>
          <w:lang w:val="en-US"/>
        </w:rPr>
        <w:t xml:space="preserve">6 </w:t>
      </w:r>
      <w:r w:rsidR="00FF0905">
        <w:rPr>
          <w:rFonts w:ascii="Times New Roman" w:eastAsia="Times New Roman" w:hAnsi="Times New Roman"/>
        </w:rPr>
        <w:t>–</w:t>
      </w:r>
      <w:r w:rsidR="000D70C2">
        <w:rPr>
          <w:rFonts w:ascii="Times New Roman" w:eastAsia="Times New Roman" w:hAnsi="Times New Roman"/>
        </w:rPr>
        <w:t xml:space="preserve"> </w:t>
      </w:r>
      <w:r w:rsidR="00FF0905">
        <w:rPr>
          <w:rFonts w:ascii="Times New Roman" w:eastAsia="Times New Roman" w:hAnsi="Times New Roman"/>
        </w:rPr>
        <w:t>0</w:t>
      </w:r>
      <w:r w:rsidR="00FF0905">
        <w:rPr>
          <w:rFonts w:ascii="Times New Roman" w:eastAsia="Times New Roman" w:hAnsi="Times New Roman"/>
          <w:lang w:val="fr-FR"/>
        </w:rPr>
        <w:t>6</w:t>
      </w:r>
      <w:r w:rsidR="00EF0D6A">
        <w:rPr>
          <w:rFonts w:ascii="Times New Roman" w:eastAsia="Times New Roman" w:hAnsi="Times New Roman"/>
        </w:rPr>
        <w:t xml:space="preserve"> </w:t>
      </w:r>
      <w:r w:rsidR="00817C58">
        <w:rPr>
          <w:rFonts w:ascii="Times New Roman" w:eastAsia="Times New Roman" w:hAnsi="Times New Roman"/>
        </w:rPr>
        <w:t>–</w:t>
      </w:r>
      <w:r w:rsidR="00FF0905">
        <w:rPr>
          <w:rFonts w:ascii="Times New Roman" w:eastAsia="Times New Roman" w:hAnsi="Times New Roman"/>
        </w:rPr>
        <w:t xml:space="preserve"> 0</w:t>
      </w:r>
      <w:r w:rsidR="00CF0D62">
        <w:rPr>
          <w:rFonts w:ascii="Times New Roman" w:eastAsia="Times New Roman" w:hAnsi="Times New Roman"/>
        </w:rPr>
        <w:t>5</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640017" w14:paraId="00B16FF5" w14:textId="77777777" w:rsidTr="00B869D6">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Pastabos</w:t>
            </w:r>
          </w:p>
        </w:tc>
      </w:tr>
      <w:tr w:rsidR="00D22BFD" w:rsidRPr="00640017" w14:paraId="2ED2552F" w14:textId="77777777" w:rsidTr="00090377">
        <w:trPr>
          <w:trHeight w:val="216"/>
        </w:trPr>
        <w:tc>
          <w:tcPr>
            <w:tcW w:w="10945" w:type="dxa"/>
            <w:gridSpan w:val="5"/>
            <w:tcMar>
              <w:top w:w="29" w:type="dxa"/>
              <w:left w:w="115" w:type="dxa"/>
              <w:bottom w:w="29" w:type="dxa"/>
              <w:right w:w="115" w:type="dxa"/>
            </w:tcMar>
          </w:tcPr>
          <w:p w14:paraId="3220C92B" w14:textId="77777777" w:rsidR="00D22BFD" w:rsidRPr="00640017" w:rsidRDefault="007B1767" w:rsidP="00DE43AB">
            <w:pPr>
              <w:spacing w:after="0" w:line="240" w:lineRule="auto"/>
              <w:rPr>
                <w:rFonts w:ascii="Times New Roman" w:eastAsia="Times New Roman" w:hAnsi="Times New Roman"/>
                <w:b/>
              </w:rPr>
            </w:pPr>
            <w:r w:rsidRPr="00640017">
              <w:rPr>
                <w:rFonts w:ascii="Times New Roman" w:eastAsia="Times New Roman" w:hAnsi="Times New Roman"/>
                <w:b/>
              </w:rPr>
              <w:t>Lietuvos eksportuotojams aktuali informacija</w:t>
            </w:r>
          </w:p>
        </w:tc>
      </w:tr>
      <w:tr w:rsidR="00DE43AB" w:rsidRPr="00640017" w14:paraId="62D37F8C" w14:textId="77777777" w:rsidTr="00B869D6">
        <w:trPr>
          <w:gridAfter w:val="1"/>
          <w:wAfter w:w="11" w:type="dxa"/>
          <w:trHeight w:val="326"/>
        </w:trPr>
        <w:tc>
          <w:tcPr>
            <w:tcW w:w="1418" w:type="dxa"/>
            <w:tcMar>
              <w:top w:w="29" w:type="dxa"/>
              <w:left w:w="115" w:type="dxa"/>
              <w:bottom w:w="29" w:type="dxa"/>
              <w:right w:w="115" w:type="dxa"/>
            </w:tcMar>
          </w:tcPr>
          <w:p w14:paraId="5698BD44"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2026-05-27</w:t>
            </w:r>
          </w:p>
          <w:p w14:paraId="561AB3E4" w14:textId="77777777" w:rsidR="00DE43AB"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0E4EB305"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2026 m. gegužę Prancūzijos vartotojų pasitikėjimo rodiklis sumažėjo iki žemiausio lygio nuo 2023 m. kovo mėn. Prastėjančias gyventojų nuotaikas lemia užsitęsęs konfliktas Artimuosiuose Rytuose, augančios energijos kainos ir didėjanti infliacija.</w:t>
            </w:r>
          </w:p>
          <w:p w14:paraId="7C3689F3"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INSEE duomenimis, gyventojai vis pesimistiškiau vertina savo būsimas finansines galimybes ir gyvenimo lygį, todėl mažėja jų noras įsigyti didesnius pirkinius. Kartu išlieka aukštas polinkis taupyti, o didėjantis nedarbo lygis ir neapibrėžtumas dėl ekonomikos perspektyvų dar labiau riboja vartojimo augimo galimybes.</w:t>
            </w:r>
          </w:p>
          <w:p w14:paraId="597422C8" w14:textId="02FE6F64"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Ekonomistai perspėja, kad silpstantis namų ūkių vartojimas gali neigiamai paveikti ekonomikos augimą artimiausiais ketvirčiais. Nors Prancūzijos vyriausybė išlaiko 0,9 proc. BVP augimo prognozę 2026 m., dalis analitikų neatmeta stagnacijos ar net nedidelio ekonomikos susitraukimo rizikos.</w:t>
            </w:r>
          </w:p>
        </w:tc>
        <w:tc>
          <w:tcPr>
            <w:tcW w:w="2268" w:type="dxa"/>
            <w:tcMar>
              <w:top w:w="29" w:type="dxa"/>
              <w:left w:w="115" w:type="dxa"/>
              <w:bottom w:w="29" w:type="dxa"/>
              <w:right w:w="115" w:type="dxa"/>
            </w:tcMar>
          </w:tcPr>
          <w:p w14:paraId="576738DB" w14:textId="22F5E739" w:rsidR="00DE43AB" w:rsidRPr="00C35A38" w:rsidRDefault="00DE43AB" w:rsidP="00DE43AB">
            <w:pPr>
              <w:spacing w:after="0" w:line="240" w:lineRule="auto"/>
              <w:rPr>
                <w:rFonts w:ascii="Times New Roman" w:eastAsia="Times New Roman" w:hAnsi="Times New Roman"/>
              </w:rPr>
            </w:pPr>
            <w:hyperlink r:id="rId9" w:history="1">
              <w:proofErr w:type="spellStart"/>
              <w:r w:rsidRPr="00C35A38">
                <w:rPr>
                  <w:rStyle w:val="Hyperlink"/>
                  <w:rFonts w:ascii="Times New Roman" w:eastAsia="Times New Roman" w:hAnsi="Times New Roman"/>
                </w:rPr>
                <w:t>Le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moral</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des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ménages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tombe</w:t>
              </w:r>
              <w:proofErr w:type="spellEnd"/>
              <w:r w:rsidRPr="00C35A38">
                <w:rPr>
                  <w:rStyle w:val="Hyperlink"/>
                  <w:rFonts w:ascii="Times New Roman" w:eastAsia="Times New Roman" w:hAnsi="Times New Roman"/>
                </w:rPr>
                <w:t xml:space="preserve"> à </w:t>
              </w:r>
              <w:proofErr w:type="spellStart"/>
              <w:r w:rsidRPr="00C35A38">
                <w:rPr>
                  <w:rStyle w:val="Hyperlink"/>
                  <w:rFonts w:ascii="Times New Roman" w:eastAsia="Times New Roman" w:hAnsi="Times New Roman"/>
                </w:rPr>
                <w:t>son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plus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bas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niveau</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en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trois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ans</w:t>
              </w:r>
              <w:proofErr w:type="spellEnd"/>
              <w:r w:rsidRPr="00C35A38">
                <w:rPr>
                  <w:rStyle w:val="Hyperlink"/>
                  <w:rFonts w:ascii="Times New Roman" w:eastAsia="Times New Roman" w:hAnsi="Times New Roman"/>
                </w:rPr>
                <w:t xml:space="preserve"> - Les </w:t>
              </w:r>
              <w:proofErr w:type="spellStart"/>
              <w:r w:rsidRPr="00C35A38">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2DFD2079" w14:textId="4EB42AFB" w:rsidR="00DE43AB" w:rsidRPr="00640017" w:rsidRDefault="00DE43AB" w:rsidP="00DE43AB">
            <w:pPr>
              <w:pBdr>
                <w:top w:val="nil"/>
                <w:left w:val="nil"/>
                <w:bottom w:val="nil"/>
                <w:right w:val="nil"/>
                <w:between w:val="nil"/>
              </w:pBdr>
              <w:spacing w:after="0" w:line="240" w:lineRule="auto"/>
              <w:rPr>
                <w:rFonts w:ascii="Times New Roman" w:eastAsia="Times New Roman" w:hAnsi="Times New Roman"/>
              </w:rPr>
            </w:pPr>
            <w:r w:rsidRPr="001509F6">
              <w:rPr>
                <w:rFonts w:ascii="Times New Roman" w:eastAsia="Times New Roman" w:hAnsi="Times New Roman"/>
              </w:rPr>
              <w:t>Blogėjančios vartotojų nuotaikos signalizuoja apie silpnėjančias vidaus paklausos perspektyvas</w:t>
            </w:r>
          </w:p>
        </w:tc>
      </w:tr>
      <w:tr w:rsidR="00DE43AB" w:rsidRPr="00640017" w14:paraId="7B818B43" w14:textId="77777777" w:rsidTr="00090377">
        <w:trPr>
          <w:trHeight w:val="216"/>
        </w:trPr>
        <w:tc>
          <w:tcPr>
            <w:tcW w:w="10945" w:type="dxa"/>
            <w:gridSpan w:val="5"/>
            <w:tcMar>
              <w:top w:w="29" w:type="dxa"/>
              <w:left w:w="115" w:type="dxa"/>
              <w:bottom w:w="29" w:type="dxa"/>
              <w:right w:w="115" w:type="dxa"/>
            </w:tcMar>
          </w:tcPr>
          <w:p w14:paraId="66D10389" w14:textId="77777777" w:rsidR="00DE43AB" w:rsidRPr="00C35A38" w:rsidRDefault="00DE43AB" w:rsidP="00DE43AB">
            <w:pPr>
              <w:spacing w:after="0" w:line="240" w:lineRule="auto"/>
              <w:rPr>
                <w:rFonts w:ascii="Times New Roman" w:eastAsia="Times New Roman" w:hAnsi="Times New Roman"/>
                <w:b/>
              </w:rPr>
            </w:pPr>
            <w:r w:rsidRPr="00C35A38">
              <w:rPr>
                <w:rFonts w:ascii="Times New Roman" w:eastAsia="Times New Roman" w:hAnsi="Times New Roman"/>
                <w:b/>
              </w:rPr>
              <w:t>Investicijoms pritraukti į Lietuvą aktuali informacija</w:t>
            </w:r>
          </w:p>
        </w:tc>
      </w:tr>
      <w:tr w:rsidR="00DE43AB" w:rsidRPr="00640017" w14:paraId="5B4CE25F" w14:textId="77777777" w:rsidTr="00B869D6">
        <w:trPr>
          <w:gridAfter w:val="1"/>
          <w:wAfter w:w="11" w:type="dxa"/>
          <w:trHeight w:val="216"/>
        </w:trPr>
        <w:tc>
          <w:tcPr>
            <w:tcW w:w="1418" w:type="dxa"/>
            <w:tcMar>
              <w:top w:w="29" w:type="dxa"/>
              <w:left w:w="115" w:type="dxa"/>
              <w:bottom w:w="29" w:type="dxa"/>
              <w:right w:w="115" w:type="dxa"/>
            </w:tcMar>
          </w:tcPr>
          <w:p w14:paraId="59713A5F" w14:textId="31DCC650"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2026-05-31</w:t>
            </w:r>
          </w:p>
        </w:tc>
        <w:tc>
          <w:tcPr>
            <w:tcW w:w="5812" w:type="dxa"/>
            <w:tcMar>
              <w:top w:w="29" w:type="dxa"/>
              <w:left w:w="115" w:type="dxa"/>
              <w:bottom w:w="29" w:type="dxa"/>
              <w:right w:w="115" w:type="dxa"/>
            </w:tcMar>
          </w:tcPr>
          <w:p w14:paraId="2F773C2E" w14:textId="77777777" w:rsidR="00DE43AB" w:rsidRPr="00E32070" w:rsidRDefault="00DE43AB" w:rsidP="00DE43AB">
            <w:pPr>
              <w:spacing w:after="0" w:line="240" w:lineRule="auto"/>
              <w:rPr>
                <w:rFonts w:ascii="Times New Roman" w:eastAsia="Times New Roman" w:hAnsi="Times New Roman"/>
                <w:bCs/>
              </w:rPr>
            </w:pPr>
            <w:r w:rsidRPr="00E32070">
              <w:rPr>
                <w:rFonts w:ascii="Times New Roman" w:eastAsia="Times New Roman" w:hAnsi="Times New Roman"/>
                <w:bCs/>
              </w:rPr>
              <w:t xml:space="preserve">Japonijos technologijų ir investicijų grupė </w:t>
            </w:r>
            <w:proofErr w:type="spellStart"/>
            <w:r w:rsidRPr="00E32070">
              <w:rPr>
                <w:rFonts w:ascii="Times New Roman" w:eastAsia="Times New Roman" w:hAnsi="Times New Roman"/>
                <w:bCs/>
              </w:rPr>
              <w:t>SoftBank</w:t>
            </w:r>
            <w:proofErr w:type="spellEnd"/>
            <w:r w:rsidRPr="00E32070">
              <w:rPr>
                <w:rFonts w:ascii="Times New Roman" w:eastAsia="Times New Roman" w:hAnsi="Times New Roman"/>
                <w:bCs/>
              </w:rPr>
              <w:t xml:space="preserve"> Group paskelbė </w:t>
            </w:r>
            <w:r w:rsidRPr="00DE43AB">
              <w:rPr>
                <w:rFonts w:ascii="Times New Roman" w:eastAsia="Times New Roman" w:hAnsi="Times New Roman"/>
                <w:bCs/>
              </w:rPr>
              <w:t>apie 75 mlrd. eurų investiciją Prancūzijoje, kuri bus skirta dirbtinio intelekto infrastruktūrai ir duomenų</w:t>
            </w:r>
            <w:r w:rsidRPr="00E32070">
              <w:rPr>
                <w:rFonts w:ascii="Times New Roman" w:eastAsia="Times New Roman" w:hAnsi="Times New Roman"/>
                <w:bCs/>
              </w:rPr>
              <w:t xml:space="preserve"> centrams. Tai būtų didžiausias su AI susijęs investicinis projektas Europoje.</w:t>
            </w:r>
          </w:p>
          <w:p w14:paraId="0C4C8B01" w14:textId="77777777" w:rsidR="00DE43AB" w:rsidRPr="00E32070" w:rsidRDefault="00DE43AB" w:rsidP="00DE43AB">
            <w:pPr>
              <w:spacing w:after="0" w:line="240" w:lineRule="auto"/>
              <w:rPr>
                <w:rFonts w:ascii="Times New Roman" w:eastAsia="Times New Roman" w:hAnsi="Times New Roman"/>
                <w:bCs/>
              </w:rPr>
            </w:pPr>
            <w:r w:rsidRPr="00E32070">
              <w:rPr>
                <w:rFonts w:ascii="Times New Roman" w:eastAsia="Times New Roman" w:hAnsi="Times New Roman"/>
                <w:bCs/>
              </w:rPr>
              <w:t xml:space="preserve">Pasak bendrovės vadovo </w:t>
            </w:r>
            <w:proofErr w:type="spellStart"/>
            <w:r w:rsidRPr="00E32070">
              <w:rPr>
                <w:rFonts w:ascii="Times New Roman" w:eastAsia="Times New Roman" w:hAnsi="Times New Roman"/>
                <w:bCs/>
              </w:rPr>
              <w:t>Masayoshi</w:t>
            </w:r>
            <w:proofErr w:type="spellEnd"/>
            <w:r w:rsidRPr="00E32070">
              <w:rPr>
                <w:rFonts w:ascii="Times New Roman" w:eastAsia="Times New Roman" w:hAnsi="Times New Roman"/>
                <w:bCs/>
              </w:rPr>
              <w:t xml:space="preserve"> </w:t>
            </w:r>
            <w:proofErr w:type="spellStart"/>
            <w:r w:rsidRPr="00E32070">
              <w:rPr>
                <w:rFonts w:ascii="Times New Roman" w:eastAsia="Times New Roman" w:hAnsi="Times New Roman"/>
                <w:bCs/>
              </w:rPr>
              <w:t>Son</w:t>
            </w:r>
            <w:proofErr w:type="spellEnd"/>
            <w:r w:rsidRPr="00E32070">
              <w:rPr>
                <w:rFonts w:ascii="Times New Roman" w:eastAsia="Times New Roman" w:hAnsi="Times New Roman"/>
                <w:bCs/>
              </w:rPr>
              <w:t>, pagrindinė priežastis pasirinkti Prancūziją yra jos gausi ir mažai tarši elektros energija, būtina didelės apimties duomenų centrams.</w:t>
            </w:r>
          </w:p>
          <w:p w14:paraId="6F7D541E" w14:textId="77777777" w:rsidR="00DE43AB" w:rsidRPr="00E32070" w:rsidRDefault="00DE43AB" w:rsidP="00DE43AB">
            <w:pPr>
              <w:spacing w:after="0" w:line="240" w:lineRule="auto"/>
              <w:rPr>
                <w:rFonts w:ascii="Times New Roman" w:eastAsia="Times New Roman" w:hAnsi="Times New Roman"/>
                <w:bCs/>
              </w:rPr>
            </w:pPr>
            <w:r w:rsidRPr="00E32070">
              <w:rPr>
                <w:rFonts w:ascii="Times New Roman" w:eastAsia="Times New Roman" w:hAnsi="Times New Roman"/>
                <w:bCs/>
              </w:rPr>
              <w:t xml:space="preserve">Projektai bus įgyvendinami šalies šiaurėje, bendradarbiaujant su EDF ir </w:t>
            </w:r>
            <w:proofErr w:type="spellStart"/>
            <w:r w:rsidRPr="00E32070">
              <w:rPr>
                <w:rFonts w:ascii="Times New Roman" w:eastAsia="Times New Roman" w:hAnsi="Times New Roman"/>
                <w:bCs/>
              </w:rPr>
              <w:t>Schneider</w:t>
            </w:r>
            <w:proofErr w:type="spellEnd"/>
            <w:r w:rsidRPr="00E32070">
              <w:rPr>
                <w:rFonts w:ascii="Times New Roman" w:eastAsia="Times New Roman" w:hAnsi="Times New Roman"/>
                <w:bCs/>
              </w:rPr>
              <w:t xml:space="preserve"> </w:t>
            </w:r>
            <w:proofErr w:type="spellStart"/>
            <w:r w:rsidRPr="00E32070">
              <w:rPr>
                <w:rFonts w:ascii="Times New Roman" w:eastAsia="Times New Roman" w:hAnsi="Times New Roman"/>
                <w:bCs/>
              </w:rPr>
              <w:t>Electric</w:t>
            </w:r>
            <w:proofErr w:type="spellEnd"/>
            <w:r w:rsidRPr="00E32070">
              <w:rPr>
                <w:rFonts w:ascii="Times New Roman" w:eastAsia="Times New Roman" w:hAnsi="Times New Roman"/>
                <w:bCs/>
              </w:rPr>
              <w:t>.</w:t>
            </w:r>
          </w:p>
          <w:p w14:paraId="67D938FC" w14:textId="33FB10A9" w:rsidR="00DE43AB" w:rsidRPr="00671240" w:rsidRDefault="00DE43AB" w:rsidP="00DE43AB">
            <w:pPr>
              <w:spacing w:after="0" w:line="240" w:lineRule="auto"/>
              <w:rPr>
                <w:rFonts w:ascii="Times New Roman" w:eastAsia="Times New Roman" w:hAnsi="Times New Roman"/>
                <w:bCs/>
              </w:rPr>
            </w:pPr>
            <w:r w:rsidRPr="00E32070">
              <w:rPr>
                <w:rFonts w:ascii="Times New Roman" w:eastAsia="Times New Roman" w:hAnsi="Times New Roman"/>
                <w:bCs/>
              </w:rPr>
              <w:t>Ši investicija patvirtina, kad konkurencijoje dėl AI projektų vis svarbesni tampa energetikos pajėgumai, infrastruktūra ir valstybės gebėjimas greitai įgyvendinti didelius technologinius projektus.</w:t>
            </w:r>
          </w:p>
        </w:tc>
        <w:tc>
          <w:tcPr>
            <w:tcW w:w="2268" w:type="dxa"/>
            <w:tcMar>
              <w:top w:w="29" w:type="dxa"/>
              <w:left w:w="115" w:type="dxa"/>
              <w:bottom w:w="29" w:type="dxa"/>
              <w:right w:w="115" w:type="dxa"/>
            </w:tcMar>
          </w:tcPr>
          <w:p w14:paraId="136BF9A9" w14:textId="254BF1D4" w:rsidR="00DE43AB" w:rsidRPr="00CF0D62" w:rsidRDefault="00DE43AB" w:rsidP="00DE43AB">
            <w:pPr>
              <w:spacing w:after="0" w:line="240" w:lineRule="auto"/>
              <w:rPr>
                <w:rFonts w:ascii="Times New Roman" w:eastAsia="Times New Roman" w:hAnsi="Times New Roman"/>
              </w:rPr>
            </w:pPr>
            <w:hyperlink r:id="rId10" w:history="1">
              <w:proofErr w:type="spellStart"/>
              <w:r w:rsidRPr="00CF0D62">
                <w:rPr>
                  <w:rStyle w:val="Hyperlink"/>
                  <w:rFonts w:ascii="Times New Roman" w:eastAsia="Times New Roman" w:hAnsi="Times New Roman"/>
                </w:rPr>
                <w:t>Sommet</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Choose</w:t>
              </w:r>
              <w:proofErr w:type="spellEnd"/>
              <w:r w:rsidRPr="00CF0D62">
                <w:rPr>
                  <w:rStyle w:val="Hyperlink"/>
                  <w:rFonts w:ascii="Times New Roman" w:eastAsia="Times New Roman" w:hAnsi="Times New Roman"/>
                </w:rPr>
                <w:t xml:space="preserve"> France : </w:t>
              </w:r>
              <w:proofErr w:type="spellStart"/>
              <w:r w:rsidRPr="00CF0D62">
                <w:rPr>
                  <w:rStyle w:val="Hyperlink"/>
                  <w:rFonts w:ascii="Times New Roman" w:eastAsia="Times New Roman" w:hAnsi="Times New Roman"/>
                </w:rPr>
                <w:t>SoftBank</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annonce</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un</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investissement</w:t>
              </w:r>
              <w:proofErr w:type="spellEnd"/>
              <w:r w:rsidRPr="00CF0D62">
                <w:rPr>
                  <w:rStyle w:val="Hyperlink"/>
                  <w:rFonts w:ascii="Times New Roman" w:eastAsia="Times New Roman" w:hAnsi="Times New Roman"/>
                </w:rPr>
                <w:t xml:space="preserve"> de 75 </w:t>
              </w:r>
              <w:proofErr w:type="spellStart"/>
              <w:r w:rsidRPr="00CF0D62">
                <w:rPr>
                  <w:rStyle w:val="Hyperlink"/>
                  <w:rFonts w:ascii="Times New Roman" w:eastAsia="Times New Roman" w:hAnsi="Times New Roman"/>
                </w:rPr>
                <w:t>milliards</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d’euros</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en</w:t>
              </w:r>
              <w:proofErr w:type="spellEnd"/>
              <w:r w:rsidRPr="00CF0D62">
                <w:rPr>
                  <w:rStyle w:val="Hyperlink"/>
                  <w:rFonts w:ascii="Times New Roman" w:eastAsia="Times New Roman" w:hAnsi="Times New Roman"/>
                </w:rPr>
                <w:t xml:space="preserve"> France, «</w:t>
              </w:r>
              <w:proofErr w:type="spellStart"/>
              <w:r w:rsidRPr="00CF0D62">
                <w:rPr>
                  <w:rStyle w:val="Hyperlink"/>
                  <w:rFonts w:ascii="Times New Roman" w:eastAsia="Times New Roman" w:hAnsi="Times New Roman"/>
                </w:rPr>
                <w:t>le</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plus</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important</w:t>
              </w:r>
              <w:proofErr w:type="spellEnd"/>
              <w:r w:rsidRPr="00CF0D62">
                <w:rPr>
                  <w:rStyle w:val="Hyperlink"/>
                  <w:rFonts w:ascii="Times New Roman" w:eastAsia="Times New Roman" w:hAnsi="Times New Roman"/>
                </w:rPr>
                <w:t xml:space="preserve"> </w:t>
              </w:r>
              <w:proofErr w:type="spellStart"/>
              <w:r w:rsidRPr="00CF0D62">
                <w:rPr>
                  <w:rStyle w:val="Hyperlink"/>
                  <w:rFonts w:ascii="Times New Roman" w:eastAsia="Times New Roman" w:hAnsi="Times New Roman"/>
                </w:rPr>
                <w:t>en</w:t>
              </w:r>
              <w:proofErr w:type="spellEnd"/>
              <w:r w:rsidRPr="00CF0D62">
                <w:rPr>
                  <w:rStyle w:val="Hyperlink"/>
                  <w:rFonts w:ascii="Times New Roman" w:eastAsia="Times New Roman" w:hAnsi="Times New Roman"/>
                </w:rPr>
                <w:t xml:space="preserve"> Europe </w:t>
              </w:r>
              <w:proofErr w:type="spellStart"/>
              <w:r w:rsidRPr="00CF0D62">
                <w:rPr>
                  <w:rStyle w:val="Hyperlink"/>
                  <w:rFonts w:ascii="Times New Roman" w:eastAsia="Times New Roman" w:hAnsi="Times New Roman"/>
                </w:rPr>
                <w:t>lié</w:t>
              </w:r>
              <w:proofErr w:type="spellEnd"/>
              <w:r w:rsidRPr="00CF0D62">
                <w:rPr>
                  <w:rStyle w:val="Hyperlink"/>
                  <w:rFonts w:ascii="Times New Roman" w:eastAsia="Times New Roman" w:hAnsi="Times New Roman"/>
                </w:rPr>
                <w:t xml:space="preserve"> à </w:t>
              </w:r>
              <w:proofErr w:type="spellStart"/>
              <w:r w:rsidRPr="00CF0D62">
                <w:rPr>
                  <w:rStyle w:val="Hyperlink"/>
                  <w:rFonts w:ascii="Times New Roman" w:eastAsia="Times New Roman" w:hAnsi="Times New Roman"/>
                </w:rPr>
                <w:t>l’IA</w:t>
              </w:r>
              <w:proofErr w:type="spellEnd"/>
              <w:r w:rsidRPr="00CF0D62">
                <w:rPr>
                  <w:rStyle w:val="Hyperlink"/>
                  <w:rFonts w:ascii="Times New Roman" w:eastAsia="Times New Roman" w:hAnsi="Times New Roman"/>
                </w:rPr>
                <w:t xml:space="preserve">» – </w:t>
              </w:r>
              <w:proofErr w:type="spellStart"/>
              <w:r w:rsidRPr="00CF0D62">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30558144" w14:textId="13DAC93A" w:rsidR="00DE43AB" w:rsidRPr="00CF0D62" w:rsidRDefault="00DE43AB" w:rsidP="00DE43AB">
            <w:pPr>
              <w:spacing w:after="0" w:line="240" w:lineRule="auto"/>
              <w:rPr>
                <w:rFonts w:ascii="Times New Roman" w:hAnsi="Times New Roman"/>
              </w:rPr>
            </w:pPr>
            <w:proofErr w:type="spellStart"/>
            <w:r w:rsidRPr="00CF0D62">
              <w:rPr>
                <w:rFonts w:ascii="Times New Roman" w:hAnsi="Times New Roman"/>
              </w:rPr>
              <w:t>Softbank</w:t>
            </w:r>
            <w:proofErr w:type="spellEnd"/>
            <w:r w:rsidRPr="00CF0D62">
              <w:rPr>
                <w:rFonts w:ascii="Times New Roman" w:hAnsi="Times New Roman"/>
              </w:rPr>
              <w:t xml:space="preserve"> investuos Prancūzijoje</w:t>
            </w:r>
          </w:p>
        </w:tc>
      </w:tr>
      <w:tr w:rsidR="00DE43AB" w:rsidRPr="00640017"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DE43AB" w:rsidRPr="00C35A38" w:rsidRDefault="00DE43AB" w:rsidP="00DE43AB">
            <w:pPr>
              <w:spacing w:after="0" w:line="240" w:lineRule="auto"/>
              <w:rPr>
                <w:rFonts w:ascii="Times New Roman" w:eastAsia="Times New Roman" w:hAnsi="Times New Roman"/>
                <w:b/>
              </w:rPr>
            </w:pPr>
            <w:r w:rsidRPr="00C35A38">
              <w:rPr>
                <w:rFonts w:ascii="Times New Roman" w:eastAsia="Times New Roman" w:hAnsi="Times New Roman"/>
                <w:b/>
              </w:rPr>
              <w:t>Lietuvos verslo plėtrai aktuali informacija</w:t>
            </w:r>
          </w:p>
        </w:tc>
      </w:tr>
      <w:tr w:rsidR="00DE43AB" w:rsidRPr="00640017" w14:paraId="394B8BA7" w14:textId="77777777" w:rsidTr="00B869D6">
        <w:trPr>
          <w:gridAfter w:val="1"/>
          <w:wAfter w:w="11" w:type="dxa"/>
          <w:trHeight w:val="216"/>
        </w:trPr>
        <w:tc>
          <w:tcPr>
            <w:tcW w:w="1418" w:type="dxa"/>
            <w:tcMar>
              <w:top w:w="29" w:type="dxa"/>
              <w:left w:w="115" w:type="dxa"/>
              <w:bottom w:w="29" w:type="dxa"/>
              <w:right w:w="115" w:type="dxa"/>
            </w:tcMar>
          </w:tcPr>
          <w:p w14:paraId="1B3DC509" w14:textId="590E51A8" w:rsidR="00DE43AB" w:rsidRDefault="00DE43AB"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2026-05-06</w:t>
            </w:r>
          </w:p>
        </w:tc>
        <w:tc>
          <w:tcPr>
            <w:tcW w:w="5812" w:type="dxa"/>
            <w:tcMar>
              <w:top w:w="29" w:type="dxa"/>
              <w:left w:w="115" w:type="dxa"/>
              <w:bottom w:w="29" w:type="dxa"/>
              <w:right w:w="115" w:type="dxa"/>
            </w:tcMar>
          </w:tcPr>
          <w:p w14:paraId="05F435E5"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Amazon paskelbė, kad per artimiausius trejus metus investuos daugiau nei 15 mlrd. eurų Prancūzijoje. Tai bus didžiausia bendrovės investicija šalyje iki šiol.</w:t>
            </w:r>
          </w:p>
          <w:p w14:paraId="04C442AD"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Lėšos bus skirtos naujų logistikos centrų statybai, debesų kompiuterijos (</w:t>
            </w:r>
            <w:proofErr w:type="spellStart"/>
            <w:r w:rsidRPr="00DE43AB">
              <w:rPr>
                <w:rFonts w:ascii="Times New Roman" w:eastAsia="Times New Roman" w:hAnsi="Times New Roman"/>
              </w:rPr>
              <w:t>cloud</w:t>
            </w:r>
            <w:proofErr w:type="spellEnd"/>
            <w:r w:rsidRPr="00DE43AB">
              <w:rPr>
                <w:rFonts w:ascii="Times New Roman" w:eastAsia="Times New Roman" w:hAnsi="Times New Roman"/>
              </w:rPr>
              <w:t>) infrastruktūros plėtrai ir dirbtinio intelekto technologijoms. Bendrovė taip pat planuoja sustiprinti esamą logistikos tinklą.</w:t>
            </w:r>
          </w:p>
          <w:p w14:paraId="2BBC9EF2" w14:textId="74C744C1"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„Amazon“ teigia, kad jau nuo 2026 m. sukurs daugiau kaip 7 000 nuolatinių darbo vietų, daugiausia naujuose paskirstymo centruose įvairiuose Prancūzijos regionuose.</w:t>
            </w:r>
          </w:p>
        </w:tc>
        <w:tc>
          <w:tcPr>
            <w:tcW w:w="2268" w:type="dxa"/>
            <w:tcMar>
              <w:top w:w="29" w:type="dxa"/>
              <w:left w:w="115" w:type="dxa"/>
              <w:bottom w:w="29" w:type="dxa"/>
              <w:right w:w="115" w:type="dxa"/>
            </w:tcMar>
          </w:tcPr>
          <w:p w14:paraId="7E2A77FC" w14:textId="1C4F1DE0" w:rsidR="00DE43AB" w:rsidRPr="00C35A38" w:rsidRDefault="00DE43AB" w:rsidP="00DE43AB">
            <w:pPr>
              <w:spacing w:after="0" w:line="240" w:lineRule="auto"/>
              <w:rPr>
                <w:rFonts w:ascii="Times New Roman" w:hAnsi="Times New Roman"/>
              </w:rPr>
            </w:pPr>
            <w:hyperlink r:id="rId11" w:history="1">
              <w:r w:rsidRPr="00C35A38">
                <w:rPr>
                  <w:rStyle w:val="Hyperlink"/>
                  <w:rFonts w:ascii="Times New Roman" w:hAnsi="Times New Roman"/>
                </w:rPr>
                <w:t xml:space="preserve">Amazon </w:t>
              </w:r>
              <w:proofErr w:type="spellStart"/>
              <w:r w:rsidRPr="00C35A38">
                <w:rPr>
                  <w:rStyle w:val="Hyperlink"/>
                  <w:rFonts w:ascii="Times New Roman" w:hAnsi="Times New Roman"/>
                </w:rPr>
                <w:t>annonce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qu’il</w:t>
              </w:r>
              <w:proofErr w:type="spellEnd"/>
              <w:r w:rsidRPr="00C35A38">
                <w:rPr>
                  <w:rStyle w:val="Hyperlink"/>
                  <w:rFonts w:ascii="Times New Roman" w:hAnsi="Times New Roman"/>
                </w:rPr>
                <w:t xml:space="preserve"> va </w:t>
              </w:r>
              <w:proofErr w:type="spellStart"/>
              <w:r w:rsidRPr="00C35A38">
                <w:rPr>
                  <w:rStyle w:val="Hyperlink"/>
                  <w:rFonts w:ascii="Times New Roman" w:hAnsi="Times New Roman"/>
                </w:rPr>
                <w:t>investir</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plus</w:t>
              </w:r>
              <w:proofErr w:type="spellEnd"/>
              <w:r w:rsidRPr="00C35A38">
                <w:rPr>
                  <w:rStyle w:val="Hyperlink"/>
                  <w:rFonts w:ascii="Times New Roman" w:hAnsi="Times New Roman"/>
                </w:rPr>
                <w:t xml:space="preserve"> de 15 </w:t>
              </w:r>
              <w:proofErr w:type="spellStart"/>
              <w:r w:rsidRPr="00C35A38">
                <w:rPr>
                  <w:rStyle w:val="Hyperlink"/>
                  <w:rFonts w:ascii="Times New Roman" w:hAnsi="Times New Roman"/>
                </w:rPr>
                <w:t>milliards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d’euros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en</w:t>
              </w:r>
              <w:proofErr w:type="spellEnd"/>
              <w:r w:rsidRPr="00C35A38">
                <w:rPr>
                  <w:rStyle w:val="Hyperlink"/>
                  <w:rFonts w:ascii="Times New Roman" w:hAnsi="Times New Roman"/>
                </w:rPr>
                <w:t xml:space="preserve"> France </w:t>
              </w:r>
              <w:proofErr w:type="spellStart"/>
              <w:r w:rsidRPr="00C35A38">
                <w:rPr>
                  <w:rStyle w:val="Hyperlink"/>
                  <w:rFonts w:ascii="Times New Roman" w:hAnsi="Times New Roman"/>
                </w:rPr>
                <w:t>sur</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trois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ans</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3E4A0917" w14:textId="275773F5" w:rsidR="00DE43AB" w:rsidRDefault="00DE43AB" w:rsidP="00DE43AB">
            <w:pPr>
              <w:spacing w:after="0" w:line="240" w:lineRule="auto"/>
              <w:rPr>
                <w:rFonts w:ascii="Times New Roman" w:hAnsi="Times New Roman"/>
              </w:rPr>
            </w:pPr>
            <w:r w:rsidRPr="004F7F38">
              <w:rPr>
                <w:rFonts w:ascii="Times New Roman" w:hAnsi="Times New Roman"/>
              </w:rPr>
              <w:t>„Amazon“ didina savo veiklos mastą Prancūzijoje</w:t>
            </w:r>
          </w:p>
        </w:tc>
      </w:tr>
      <w:tr w:rsidR="00DE43AB" w:rsidRPr="00640017" w14:paraId="05DADC68" w14:textId="77777777" w:rsidTr="00B869D6">
        <w:trPr>
          <w:gridAfter w:val="1"/>
          <w:wAfter w:w="11" w:type="dxa"/>
          <w:trHeight w:val="216"/>
        </w:trPr>
        <w:tc>
          <w:tcPr>
            <w:tcW w:w="1418" w:type="dxa"/>
            <w:tcMar>
              <w:top w:w="29" w:type="dxa"/>
              <w:left w:w="115" w:type="dxa"/>
              <w:bottom w:w="29" w:type="dxa"/>
              <w:right w:w="115" w:type="dxa"/>
            </w:tcMar>
          </w:tcPr>
          <w:p w14:paraId="19651409" w14:textId="0F1B416C" w:rsidR="00DE43AB" w:rsidRDefault="00DE43AB"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2026-05-06</w:t>
            </w:r>
          </w:p>
        </w:tc>
        <w:tc>
          <w:tcPr>
            <w:tcW w:w="5812" w:type="dxa"/>
            <w:tcMar>
              <w:top w:w="29" w:type="dxa"/>
              <w:left w:w="115" w:type="dxa"/>
              <w:bottom w:w="29" w:type="dxa"/>
              <w:right w:w="115" w:type="dxa"/>
            </w:tcMar>
          </w:tcPr>
          <w:p w14:paraId="77C8A2AC" w14:textId="77777777" w:rsidR="00DE43AB" w:rsidRPr="00DE43AB" w:rsidRDefault="00DE43AB" w:rsidP="00DE43AB">
            <w:pPr>
              <w:spacing w:after="0" w:line="240" w:lineRule="auto"/>
              <w:rPr>
                <w:rFonts w:ascii="Times New Roman" w:eastAsia="Times New Roman" w:hAnsi="Times New Roman"/>
              </w:rPr>
            </w:pPr>
            <w:proofErr w:type="spellStart"/>
            <w:r w:rsidRPr="00DE43AB">
              <w:rPr>
                <w:rFonts w:ascii="Times New Roman" w:eastAsia="Times New Roman" w:hAnsi="Times New Roman"/>
              </w:rPr>
              <w:t>AirAsia</w:t>
            </w:r>
            <w:proofErr w:type="spellEnd"/>
            <w:r w:rsidRPr="00DE43AB">
              <w:rPr>
                <w:rFonts w:ascii="Times New Roman" w:eastAsia="Times New Roman" w:hAnsi="Times New Roman"/>
              </w:rPr>
              <w:t xml:space="preserve"> paskelbė užsakanti 150 lėktuvų </w:t>
            </w:r>
            <w:proofErr w:type="spellStart"/>
            <w:r w:rsidRPr="00DE43AB">
              <w:rPr>
                <w:rFonts w:ascii="Times New Roman" w:eastAsia="Times New Roman" w:hAnsi="Times New Roman"/>
              </w:rPr>
              <w:t>Airbus</w:t>
            </w:r>
            <w:proofErr w:type="spellEnd"/>
            <w:r w:rsidRPr="00DE43AB">
              <w:rPr>
                <w:rFonts w:ascii="Times New Roman" w:eastAsia="Times New Roman" w:hAnsi="Times New Roman"/>
              </w:rPr>
              <w:t xml:space="preserve"> A220-300, o tai yra didžiausias vienkartinis tvirtas šio modelio užsakymas istorijoje. Sandoris yra reikšminga pergalė </w:t>
            </w:r>
            <w:proofErr w:type="spellStart"/>
            <w:r w:rsidRPr="00DE43AB">
              <w:rPr>
                <w:rFonts w:ascii="Times New Roman" w:eastAsia="Times New Roman" w:hAnsi="Times New Roman"/>
              </w:rPr>
              <w:t>Airbus</w:t>
            </w:r>
            <w:proofErr w:type="spellEnd"/>
            <w:r w:rsidRPr="00DE43AB">
              <w:rPr>
                <w:rFonts w:ascii="Times New Roman" w:eastAsia="Times New Roman" w:hAnsi="Times New Roman"/>
              </w:rPr>
              <w:t>.</w:t>
            </w:r>
          </w:p>
          <w:p w14:paraId="67159020"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lastRenderedPageBreak/>
              <w:t>„</w:t>
            </w:r>
            <w:proofErr w:type="spellStart"/>
            <w:r w:rsidRPr="00DE43AB">
              <w:rPr>
                <w:rFonts w:ascii="Times New Roman" w:eastAsia="Times New Roman" w:hAnsi="Times New Roman"/>
              </w:rPr>
              <w:t>AirAsia</w:t>
            </w:r>
            <w:proofErr w:type="spellEnd"/>
            <w:r w:rsidRPr="00DE43AB">
              <w:rPr>
                <w:rFonts w:ascii="Times New Roman" w:eastAsia="Times New Roman" w:hAnsi="Times New Roman"/>
              </w:rPr>
              <w:t>“ planuoja naudoti A220-300 plėsdama maršrutų tinklą Azijoje ir už jos ribų. Šis modelis pasižymi mažesnėmis eksploatavimo sąnaudomis ir yra tinkamas aptarnauti mažesnius oro uostus bei maršrutus, kuriuose paklausa nėra pakankama didesniems lėktuvams.</w:t>
            </w:r>
          </w:p>
          <w:p w14:paraId="55BE529E" w14:textId="7487F9DD"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 xml:space="preserve">Bendrovės vadovas Tony </w:t>
            </w:r>
            <w:proofErr w:type="spellStart"/>
            <w:r w:rsidRPr="00DE43AB">
              <w:rPr>
                <w:rFonts w:ascii="Times New Roman" w:eastAsia="Times New Roman" w:hAnsi="Times New Roman"/>
              </w:rPr>
              <w:t>Fernandes</w:t>
            </w:r>
            <w:proofErr w:type="spellEnd"/>
            <w:r w:rsidRPr="00DE43AB">
              <w:rPr>
                <w:rFonts w:ascii="Times New Roman" w:eastAsia="Times New Roman" w:hAnsi="Times New Roman"/>
              </w:rPr>
              <w:t xml:space="preserve"> teigė, kad šis pirkinys padės kurti pasaulinį pigių skrydžių tinklą, o „</w:t>
            </w:r>
            <w:proofErr w:type="spellStart"/>
            <w:r w:rsidRPr="00DE43AB">
              <w:rPr>
                <w:rFonts w:ascii="Times New Roman" w:eastAsia="Times New Roman" w:hAnsi="Times New Roman"/>
              </w:rPr>
              <w:t>Airbus</w:t>
            </w:r>
            <w:proofErr w:type="spellEnd"/>
            <w:r w:rsidRPr="00DE43AB">
              <w:rPr>
                <w:rFonts w:ascii="Times New Roman" w:eastAsia="Times New Roman" w:hAnsi="Times New Roman"/>
              </w:rPr>
              <w:t>“ pabrėžė, kad sandoris atitinka ilgalaikę „</w:t>
            </w:r>
            <w:proofErr w:type="spellStart"/>
            <w:r w:rsidRPr="00DE43AB">
              <w:rPr>
                <w:rFonts w:ascii="Times New Roman" w:eastAsia="Times New Roman" w:hAnsi="Times New Roman"/>
              </w:rPr>
              <w:t>AirAsia</w:t>
            </w:r>
            <w:proofErr w:type="spellEnd"/>
            <w:r w:rsidRPr="00DE43AB">
              <w:rPr>
                <w:rFonts w:ascii="Times New Roman" w:eastAsia="Times New Roman" w:hAnsi="Times New Roman"/>
              </w:rPr>
              <w:t>“ plėtros strategiją.</w:t>
            </w:r>
          </w:p>
        </w:tc>
        <w:tc>
          <w:tcPr>
            <w:tcW w:w="2268" w:type="dxa"/>
            <w:tcMar>
              <w:top w:w="29" w:type="dxa"/>
              <w:left w:w="115" w:type="dxa"/>
              <w:bottom w:w="29" w:type="dxa"/>
              <w:right w:w="115" w:type="dxa"/>
            </w:tcMar>
          </w:tcPr>
          <w:p w14:paraId="01745DD4" w14:textId="008034E7" w:rsidR="00DE43AB" w:rsidRPr="00C35A38" w:rsidRDefault="00DE43AB" w:rsidP="00DE43AB">
            <w:pPr>
              <w:spacing w:after="0" w:line="240" w:lineRule="auto"/>
              <w:rPr>
                <w:rFonts w:ascii="Times New Roman" w:hAnsi="Times New Roman"/>
              </w:rPr>
            </w:pPr>
            <w:hyperlink r:id="rId12" w:history="1">
              <w:proofErr w:type="spellStart"/>
              <w:r w:rsidRPr="00C35A38">
                <w:rPr>
                  <w:rStyle w:val="Hyperlink"/>
                  <w:rFonts w:ascii="Times New Roman" w:hAnsi="Times New Roman"/>
                </w:rPr>
                <w:t>Secteur</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aérien</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la</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compagnie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AirAsia</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commande</w:t>
              </w:r>
              <w:proofErr w:type="spellEnd"/>
              <w:r w:rsidRPr="00C35A38">
                <w:rPr>
                  <w:rStyle w:val="Hyperlink"/>
                  <w:rFonts w:ascii="Times New Roman" w:hAnsi="Times New Roman"/>
                </w:rPr>
                <w:t xml:space="preserve"> 150 </w:t>
              </w:r>
              <w:proofErr w:type="spellStart"/>
              <w:r w:rsidRPr="00C35A38">
                <w:rPr>
                  <w:rStyle w:val="Hyperlink"/>
                  <w:rFonts w:ascii="Times New Roman" w:hAnsi="Times New Roman"/>
                </w:rPr>
                <w:t>Airbus</w:t>
              </w:r>
              <w:proofErr w:type="spellEnd"/>
              <w:r w:rsidRPr="00C35A38">
                <w:rPr>
                  <w:rStyle w:val="Hyperlink"/>
                  <w:rFonts w:ascii="Times New Roman" w:hAnsi="Times New Roman"/>
                </w:rPr>
                <w:t xml:space="preserve"> </w:t>
              </w:r>
              <w:r w:rsidRPr="00C35A38">
                <w:rPr>
                  <w:rStyle w:val="Hyperlink"/>
                  <w:rFonts w:ascii="Times New Roman" w:hAnsi="Times New Roman"/>
                </w:rPr>
                <w:lastRenderedPageBreak/>
                <w:t xml:space="preserve">A220-300, </w:t>
              </w:r>
              <w:proofErr w:type="spellStart"/>
              <w:r w:rsidRPr="00C35A38">
                <w:rPr>
                  <w:rStyle w:val="Hyperlink"/>
                  <w:rFonts w:ascii="Times New Roman" w:hAnsi="Times New Roman"/>
                </w:rPr>
                <w:t>un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accord</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historique</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68404D1A" w14:textId="6D71F942" w:rsidR="00DE43AB" w:rsidRDefault="00DE43AB" w:rsidP="00DE43AB">
            <w:pPr>
              <w:spacing w:after="0" w:line="240" w:lineRule="auto"/>
              <w:rPr>
                <w:rFonts w:ascii="Times New Roman" w:hAnsi="Times New Roman"/>
              </w:rPr>
            </w:pPr>
            <w:r>
              <w:rPr>
                <w:rFonts w:ascii="Times New Roman" w:hAnsi="Times New Roman"/>
              </w:rPr>
              <w:lastRenderedPageBreak/>
              <w:t>R</w:t>
            </w:r>
            <w:r w:rsidRPr="00627D81">
              <w:rPr>
                <w:rFonts w:ascii="Times New Roman" w:hAnsi="Times New Roman"/>
              </w:rPr>
              <w:t>ekordinis „</w:t>
            </w:r>
            <w:proofErr w:type="spellStart"/>
            <w:r w:rsidRPr="00627D81">
              <w:rPr>
                <w:rFonts w:ascii="Times New Roman" w:hAnsi="Times New Roman"/>
              </w:rPr>
              <w:t>AirAsia</w:t>
            </w:r>
            <w:proofErr w:type="spellEnd"/>
            <w:r w:rsidRPr="00627D81">
              <w:rPr>
                <w:rFonts w:ascii="Times New Roman" w:hAnsi="Times New Roman"/>
              </w:rPr>
              <w:t xml:space="preserve">“ užsakymas </w:t>
            </w:r>
            <w:r w:rsidRPr="00627D81">
              <w:rPr>
                <w:rFonts w:ascii="Times New Roman" w:hAnsi="Times New Roman"/>
              </w:rPr>
              <w:lastRenderedPageBreak/>
              <w:t>sustiprina „</w:t>
            </w:r>
            <w:proofErr w:type="spellStart"/>
            <w:r w:rsidRPr="00627D81">
              <w:rPr>
                <w:rFonts w:ascii="Times New Roman" w:hAnsi="Times New Roman"/>
              </w:rPr>
              <w:t>Airbus</w:t>
            </w:r>
            <w:proofErr w:type="spellEnd"/>
            <w:r w:rsidRPr="00627D81">
              <w:rPr>
                <w:rFonts w:ascii="Times New Roman" w:hAnsi="Times New Roman"/>
              </w:rPr>
              <w:t>“ pozicijas pasaulinėje aviacijos rinkoje</w:t>
            </w:r>
          </w:p>
        </w:tc>
      </w:tr>
      <w:tr w:rsidR="00DE43AB" w:rsidRPr="00640017" w14:paraId="25573314" w14:textId="77777777" w:rsidTr="00B869D6">
        <w:trPr>
          <w:gridAfter w:val="1"/>
          <w:wAfter w:w="11" w:type="dxa"/>
          <w:trHeight w:val="216"/>
        </w:trPr>
        <w:tc>
          <w:tcPr>
            <w:tcW w:w="1418" w:type="dxa"/>
            <w:tcMar>
              <w:top w:w="29" w:type="dxa"/>
              <w:left w:w="115" w:type="dxa"/>
              <w:bottom w:w="29" w:type="dxa"/>
              <w:right w:w="115" w:type="dxa"/>
            </w:tcMar>
          </w:tcPr>
          <w:p w14:paraId="29428169" w14:textId="1B126B96" w:rsidR="00DE43AB" w:rsidRDefault="00DE43AB" w:rsidP="00DE43AB">
            <w:pPr>
              <w:spacing w:after="0" w:line="240" w:lineRule="auto"/>
              <w:rPr>
                <w:rFonts w:ascii="Times New Roman" w:eastAsia="Times New Roman" w:hAnsi="Times New Roman"/>
                <w:lang w:val="fr-FR"/>
              </w:rPr>
            </w:pPr>
            <w:r>
              <w:rPr>
                <w:rFonts w:ascii="Times New Roman" w:eastAsia="Times New Roman" w:hAnsi="Times New Roman"/>
                <w:lang w:val="fr-FR"/>
              </w:rPr>
              <w:lastRenderedPageBreak/>
              <w:t>2026-05-07</w:t>
            </w:r>
          </w:p>
        </w:tc>
        <w:tc>
          <w:tcPr>
            <w:tcW w:w="5812" w:type="dxa"/>
            <w:tcMar>
              <w:top w:w="29" w:type="dxa"/>
              <w:left w:w="115" w:type="dxa"/>
              <w:bottom w:w="29" w:type="dxa"/>
              <w:right w:w="115" w:type="dxa"/>
            </w:tcMar>
          </w:tcPr>
          <w:p w14:paraId="2F0655E0" w14:textId="77777777" w:rsidR="00DE43AB" w:rsidRPr="005412AB" w:rsidRDefault="00DE43AB" w:rsidP="00DE43AB">
            <w:pPr>
              <w:spacing w:after="0" w:line="240" w:lineRule="auto"/>
              <w:rPr>
                <w:rFonts w:ascii="Times New Roman" w:eastAsia="Times New Roman" w:hAnsi="Times New Roman"/>
              </w:rPr>
            </w:pPr>
            <w:r w:rsidRPr="005412AB">
              <w:rPr>
                <w:rFonts w:ascii="Times New Roman" w:eastAsia="Times New Roman" w:hAnsi="Times New Roman"/>
              </w:rPr>
              <w:t>BHV Marais, vienas žymiausių Paryžiaus universalinių prekybos centrų, išgyvena rimtą krizę po jo perėmimo 2023 m. pabaigoje. Dėl vykstančių renovacijos darbų, daugelio prekės ženklų pasitraukimo ir prekių trūkumo parduotuvė prarado didelę dalį klientų.</w:t>
            </w:r>
          </w:p>
          <w:p w14:paraId="21194FE3" w14:textId="77777777" w:rsidR="00DE43AB" w:rsidRPr="005412AB" w:rsidRDefault="00DE43AB" w:rsidP="00DE43AB">
            <w:pPr>
              <w:spacing w:after="0" w:line="240" w:lineRule="auto"/>
              <w:rPr>
                <w:rFonts w:ascii="Times New Roman" w:eastAsia="Times New Roman" w:hAnsi="Times New Roman"/>
              </w:rPr>
            </w:pPr>
            <w:r w:rsidRPr="005412AB">
              <w:rPr>
                <w:rFonts w:ascii="Times New Roman" w:eastAsia="Times New Roman" w:hAnsi="Times New Roman"/>
              </w:rPr>
              <w:t xml:space="preserve">Pasak straipsnio, per vienerius metus prekybos centro apyvarta sumažėjo beveik </w:t>
            </w:r>
            <w:r w:rsidRPr="005412AB">
              <w:rPr>
                <w:rFonts w:ascii="Times New Roman" w:eastAsia="Times New Roman" w:hAnsi="Times New Roman"/>
                <w:b/>
                <w:bCs/>
              </w:rPr>
              <w:t>90 %</w:t>
            </w:r>
            <w:r w:rsidRPr="005412AB">
              <w:rPr>
                <w:rFonts w:ascii="Times New Roman" w:eastAsia="Times New Roman" w:hAnsi="Times New Roman"/>
              </w:rPr>
              <w:t>, o tuštėjančios prekybos erdvės ir neveikianti infrastruktūra kuria įspūdį, kad parduotuvė artėja prie bankroto.</w:t>
            </w:r>
          </w:p>
          <w:p w14:paraId="776B52B0" w14:textId="0C229E71" w:rsidR="00DE43AB" w:rsidRPr="00D641DF" w:rsidRDefault="00DE43AB" w:rsidP="00DE43AB">
            <w:pPr>
              <w:spacing w:after="0" w:line="240" w:lineRule="auto"/>
              <w:rPr>
                <w:rFonts w:ascii="Times New Roman" w:eastAsia="Times New Roman" w:hAnsi="Times New Roman"/>
              </w:rPr>
            </w:pPr>
            <w:r w:rsidRPr="005412AB">
              <w:rPr>
                <w:rFonts w:ascii="Times New Roman" w:eastAsia="Times New Roman" w:hAnsi="Times New Roman"/>
              </w:rPr>
              <w:t>Sudėtinga situacija veikia ir darbuotojus – jie susiduria su klientų klausimais apie galimą uždarymą ir išreiškia susirūpinimą dėl neaiškios ateities.</w:t>
            </w:r>
          </w:p>
        </w:tc>
        <w:tc>
          <w:tcPr>
            <w:tcW w:w="2268" w:type="dxa"/>
            <w:tcMar>
              <w:top w:w="29" w:type="dxa"/>
              <w:left w:w="115" w:type="dxa"/>
              <w:bottom w:w="29" w:type="dxa"/>
              <w:right w:w="115" w:type="dxa"/>
            </w:tcMar>
          </w:tcPr>
          <w:p w14:paraId="6B5016F5" w14:textId="1B36F4CD" w:rsidR="00DE43AB" w:rsidRPr="00C35A38" w:rsidRDefault="00DE43AB" w:rsidP="00DE43AB">
            <w:pPr>
              <w:spacing w:after="0" w:line="240" w:lineRule="auto"/>
              <w:rPr>
                <w:rFonts w:ascii="Times New Roman" w:hAnsi="Times New Roman"/>
              </w:rPr>
            </w:pPr>
            <w:hyperlink r:id="rId13" w:history="1">
              <w:proofErr w:type="spellStart"/>
              <w:r w:rsidRPr="00C35A38">
                <w:rPr>
                  <w:rStyle w:val="Hyperlink"/>
                  <w:rFonts w:ascii="Times New Roman" w:hAnsi="Times New Roman"/>
                </w:rPr>
                <w:t>Magasin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désert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ventes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au</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plus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bas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mal-être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salariés</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le</w:t>
              </w:r>
              <w:proofErr w:type="spellEnd"/>
              <w:r w:rsidRPr="00C35A38">
                <w:rPr>
                  <w:rStyle w:val="Hyperlink"/>
                  <w:rFonts w:ascii="Times New Roman" w:hAnsi="Times New Roman"/>
                </w:rPr>
                <w:t xml:space="preserve"> BHV Marais </w:t>
              </w:r>
              <w:proofErr w:type="spellStart"/>
              <w:r w:rsidRPr="00C35A38">
                <w:rPr>
                  <w:rStyle w:val="Hyperlink"/>
                  <w:rFonts w:ascii="Times New Roman" w:hAnsi="Times New Roman"/>
                </w:rPr>
                <w:t>en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plein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marasme</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7A8D99EE" w14:textId="2B270B7F" w:rsidR="00DE43AB" w:rsidRPr="00D641DF" w:rsidRDefault="00DE43AB" w:rsidP="00DE43AB">
            <w:pPr>
              <w:spacing w:after="0" w:line="240" w:lineRule="auto"/>
              <w:rPr>
                <w:rFonts w:ascii="Times New Roman" w:hAnsi="Times New Roman"/>
              </w:rPr>
            </w:pPr>
            <w:r w:rsidRPr="005412AB">
              <w:rPr>
                <w:rFonts w:ascii="Times New Roman" w:hAnsi="Times New Roman"/>
              </w:rPr>
              <w:t>Paryžiaus BHV Marais prekybos centras išgyvena gilų nuosmukį</w:t>
            </w:r>
          </w:p>
        </w:tc>
      </w:tr>
      <w:tr w:rsidR="00DE43AB" w:rsidRPr="00640017" w14:paraId="71B30048" w14:textId="77777777" w:rsidTr="00B869D6">
        <w:trPr>
          <w:gridAfter w:val="1"/>
          <w:wAfter w:w="11" w:type="dxa"/>
          <w:trHeight w:val="216"/>
        </w:trPr>
        <w:tc>
          <w:tcPr>
            <w:tcW w:w="1418" w:type="dxa"/>
            <w:tcMar>
              <w:top w:w="29" w:type="dxa"/>
              <w:left w:w="115" w:type="dxa"/>
              <w:bottom w:w="29" w:type="dxa"/>
              <w:right w:w="115" w:type="dxa"/>
            </w:tcMar>
          </w:tcPr>
          <w:p w14:paraId="3A48CA3E" w14:textId="1C380DD9" w:rsidR="00DE43AB" w:rsidRDefault="00DE43AB"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2026-05-11</w:t>
            </w:r>
          </w:p>
        </w:tc>
        <w:tc>
          <w:tcPr>
            <w:tcW w:w="5812" w:type="dxa"/>
            <w:tcMar>
              <w:top w:w="29" w:type="dxa"/>
              <w:left w:w="115" w:type="dxa"/>
              <w:bottom w:w="29" w:type="dxa"/>
              <w:right w:w="115" w:type="dxa"/>
            </w:tcMar>
          </w:tcPr>
          <w:p w14:paraId="2BE3EAE8" w14:textId="77777777" w:rsidR="00DE43AB" w:rsidRPr="00F20EFE" w:rsidRDefault="00DE43AB" w:rsidP="00DE43AB">
            <w:pPr>
              <w:spacing w:after="0" w:line="240" w:lineRule="auto"/>
              <w:rPr>
                <w:rFonts w:ascii="Times New Roman" w:eastAsia="Times New Roman" w:hAnsi="Times New Roman"/>
              </w:rPr>
            </w:pPr>
            <w:r w:rsidRPr="00F20EFE">
              <w:rPr>
                <w:rFonts w:ascii="Times New Roman" w:eastAsia="Times New Roman" w:hAnsi="Times New Roman"/>
              </w:rPr>
              <w:t xml:space="preserve">Kinijos automobilių gamintojai per pastarąjį dešimtmetį sparčiai sustiprino savo pozicijas pasaulinėje rinkoje ir vis aktyviau konkuruoja Europoje. Tokios bendrovės kaip BYD, MG </w:t>
            </w:r>
            <w:proofErr w:type="spellStart"/>
            <w:r w:rsidRPr="00F20EFE">
              <w:rPr>
                <w:rFonts w:ascii="Times New Roman" w:eastAsia="Times New Roman" w:hAnsi="Times New Roman"/>
              </w:rPr>
              <w:t>Motor</w:t>
            </w:r>
            <w:proofErr w:type="spellEnd"/>
            <w:r w:rsidRPr="00F20EFE">
              <w:rPr>
                <w:rFonts w:ascii="Times New Roman" w:eastAsia="Times New Roman" w:hAnsi="Times New Roman"/>
              </w:rPr>
              <w:t xml:space="preserve">, </w:t>
            </w:r>
            <w:proofErr w:type="spellStart"/>
            <w:r w:rsidRPr="00F20EFE">
              <w:rPr>
                <w:rFonts w:ascii="Times New Roman" w:eastAsia="Times New Roman" w:hAnsi="Times New Roman"/>
              </w:rPr>
              <w:t>XPeng</w:t>
            </w:r>
            <w:proofErr w:type="spellEnd"/>
            <w:r w:rsidRPr="00F20EFE">
              <w:rPr>
                <w:rFonts w:ascii="Times New Roman" w:eastAsia="Times New Roman" w:hAnsi="Times New Roman"/>
              </w:rPr>
              <w:t xml:space="preserve">, </w:t>
            </w:r>
            <w:proofErr w:type="spellStart"/>
            <w:r w:rsidRPr="00F20EFE">
              <w:rPr>
                <w:rFonts w:ascii="Times New Roman" w:eastAsia="Times New Roman" w:hAnsi="Times New Roman"/>
              </w:rPr>
              <w:t>Chery</w:t>
            </w:r>
            <w:proofErr w:type="spellEnd"/>
            <w:r w:rsidRPr="00F20EFE">
              <w:rPr>
                <w:rFonts w:ascii="Times New Roman" w:eastAsia="Times New Roman" w:hAnsi="Times New Roman"/>
              </w:rPr>
              <w:t xml:space="preserve"> ir </w:t>
            </w:r>
            <w:proofErr w:type="spellStart"/>
            <w:r w:rsidRPr="00F20EFE">
              <w:rPr>
                <w:rFonts w:ascii="Times New Roman" w:eastAsia="Times New Roman" w:hAnsi="Times New Roman"/>
              </w:rPr>
              <w:t>Geely</w:t>
            </w:r>
            <w:proofErr w:type="spellEnd"/>
            <w:r w:rsidRPr="00F20EFE">
              <w:rPr>
                <w:rFonts w:ascii="Times New Roman" w:eastAsia="Times New Roman" w:hAnsi="Times New Roman"/>
              </w:rPr>
              <w:t xml:space="preserve"> siūlo tiek nebrangius, tiek aukštesnės klasės modelius, pasižyminčius konkurencingomis technologijomis ir kokybe.</w:t>
            </w:r>
          </w:p>
          <w:p w14:paraId="61B79015" w14:textId="77777777" w:rsidR="00DE43AB" w:rsidRPr="00F20EFE" w:rsidRDefault="00DE43AB" w:rsidP="00DE43AB">
            <w:pPr>
              <w:spacing w:after="0" w:line="240" w:lineRule="auto"/>
              <w:rPr>
                <w:rFonts w:ascii="Times New Roman" w:eastAsia="Times New Roman" w:hAnsi="Times New Roman"/>
              </w:rPr>
            </w:pPr>
            <w:r w:rsidRPr="00F20EFE">
              <w:rPr>
                <w:rFonts w:ascii="Times New Roman" w:eastAsia="Times New Roman" w:hAnsi="Times New Roman"/>
              </w:rPr>
              <w:t>Ypač stiprios Kinijos gamintojų pozicijos elektrinių automobilių segmente, kuriame jie sparčiai didina rinkos dalį. Tuo metu Europos automobilių gamintojai baiminasi prarasti technologinį ir kainų konkurencingumą.</w:t>
            </w:r>
          </w:p>
          <w:p w14:paraId="15839101" w14:textId="666B0DBE" w:rsidR="00DE43AB" w:rsidRPr="00D641DF" w:rsidRDefault="00DE43AB" w:rsidP="00DE43AB">
            <w:pPr>
              <w:spacing w:after="0" w:line="240" w:lineRule="auto"/>
              <w:rPr>
                <w:rFonts w:ascii="Times New Roman" w:eastAsia="Times New Roman" w:hAnsi="Times New Roman"/>
              </w:rPr>
            </w:pPr>
            <w:r w:rsidRPr="00F20EFE">
              <w:rPr>
                <w:rFonts w:ascii="Times New Roman" w:eastAsia="Times New Roman" w:hAnsi="Times New Roman"/>
              </w:rPr>
              <w:t>Straipsnyje pabrėžiama, kad požiūris į ženklą „Pagaminta Kinijoje“ iš esmės pasikeitė – nuo pigių gaminių į aukštos kokybės ir pažangių technologijų produktus.</w:t>
            </w:r>
          </w:p>
        </w:tc>
        <w:tc>
          <w:tcPr>
            <w:tcW w:w="2268" w:type="dxa"/>
            <w:tcMar>
              <w:top w:w="29" w:type="dxa"/>
              <w:left w:w="115" w:type="dxa"/>
              <w:bottom w:w="29" w:type="dxa"/>
              <w:right w:w="115" w:type="dxa"/>
            </w:tcMar>
          </w:tcPr>
          <w:p w14:paraId="735E9D17" w14:textId="6A02919C" w:rsidR="00DE43AB" w:rsidRPr="00C35A38" w:rsidRDefault="00DE43AB" w:rsidP="00DE43AB">
            <w:pPr>
              <w:spacing w:after="0" w:line="240" w:lineRule="auto"/>
              <w:rPr>
                <w:rFonts w:ascii="Times New Roman" w:hAnsi="Times New Roman"/>
              </w:rPr>
            </w:pPr>
            <w:hyperlink r:id="rId14" w:history="1">
              <w:proofErr w:type="spellStart"/>
              <w:r w:rsidRPr="00C35A38">
                <w:rPr>
                  <w:rStyle w:val="Hyperlink"/>
                  <w:rFonts w:ascii="Times New Roman" w:hAnsi="Times New Roman"/>
                </w:rPr>
                <w:t>Des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véhicules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bon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marché</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au</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haut</w:t>
              </w:r>
              <w:proofErr w:type="spellEnd"/>
              <w:r w:rsidRPr="00C35A38">
                <w:rPr>
                  <w:rStyle w:val="Hyperlink"/>
                  <w:rFonts w:ascii="Times New Roman" w:hAnsi="Times New Roman"/>
                </w:rPr>
                <w:t xml:space="preserve"> de </w:t>
              </w:r>
              <w:proofErr w:type="spellStart"/>
              <w:r w:rsidRPr="00C35A38">
                <w:rPr>
                  <w:rStyle w:val="Hyperlink"/>
                  <w:rFonts w:ascii="Times New Roman" w:hAnsi="Times New Roman"/>
                </w:rPr>
                <w:t>gamme</w:t>
              </w:r>
              <w:proofErr w:type="spellEnd"/>
              <w:r w:rsidRPr="00C35A38">
                <w:rPr>
                  <w:rStyle w:val="Hyperlink"/>
                  <w:rFonts w:ascii="Times New Roman" w:hAnsi="Times New Roman"/>
                </w:rPr>
                <w:t xml:space="preserve">, les </w:t>
              </w:r>
              <w:proofErr w:type="spellStart"/>
              <w:r w:rsidRPr="00C35A38">
                <w:rPr>
                  <w:rStyle w:val="Hyperlink"/>
                  <w:rFonts w:ascii="Times New Roman" w:hAnsi="Times New Roman"/>
                </w:rPr>
                <w:t>constructeurs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chinois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gagnent</w:t>
              </w:r>
              <w:proofErr w:type="spellEnd"/>
              <w:r w:rsidRPr="00C35A38">
                <w:rPr>
                  <w:rStyle w:val="Hyperlink"/>
                  <w:rFonts w:ascii="Times New Roman" w:hAnsi="Times New Roman"/>
                </w:rPr>
                <w:t xml:space="preserve"> du </w:t>
              </w:r>
              <w:proofErr w:type="spellStart"/>
              <w:r w:rsidRPr="00C35A38">
                <w:rPr>
                  <w:rStyle w:val="Hyperlink"/>
                  <w:rFonts w:ascii="Times New Roman" w:hAnsi="Times New Roman"/>
                </w:rPr>
                <w:t>terrain</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0FBD715F" w14:textId="6575BDED" w:rsidR="00DE43AB" w:rsidRPr="00D641DF" w:rsidRDefault="00DE43AB" w:rsidP="00DE43AB">
            <w:pPr>
              <w:spacing w:after="0" w:line="240" w:lineRule="auto"/>
              <w:rPr>
                <w:rFonts w:ascii="Times New Roman" w:hAnsi="Times New Roman"/>
              </w:rPr>
            </w:pPr>
            <w:r w:rsidRPr="00F20EFE">
              <w:rPr>
                <w:rFonts w:ascii="Times New Roman" w:hAnsi="Times New Roman"/>
              </w:rPr>
              <w:t>Kinijos automobilių gamintojai tampa vis rimtesniais konkurentais Europoje</w:t>
            </w:r>
          </w:p>
        </w:tc>
      </w:tr>
      <w:tr w:rsidR="00DC3E7B" w:rsidRPr="00640017" w14:paraId="0F4BA1E5" w14:textId="77777777" w:rsidTr="00B869D6">
        <w:trPr>
          <w:gridAfter w:val="1"/>
          <w:wAfter w:w="11" w:type="dxa"/>
          <w:trHeight w:val="216"/>
        </w:trPr>
        <w:tc>
          <w:tcPr>
            <w:tcW w:w="1418" w:type="dxa"/>
            <w:tcMar>
              <w:top w:w="29" w:type="dxa"/>
              <w:left w:w="115" w:type="dxa"/>
              <w:bottom w:w="29" w:type="dxa"/>
              <w:right w:w="115" w:type="dxa"/>
            </w:tcMar>
          </w:tcPr>
          <w:p w14:paraId="4E02F78A" w14:textId="397DDFA6" w:rsidR="00DC3E7B" w:rsidRDefault="00DC3E7B"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2026-05-17</w:t>
            </w:r>
          </w:p>
        </w:tc>
        <w:tc>
          <w:tcPr>
            <w:tcW w:w="5812" w:type="dxa"/>
            <w:tcMar>
              <w:top w:w="29" w:type="dxa"/>
              <w:left w:w="115" w:type="dxa"/>
              <w:bottom w:w="29" w:type="dxa"/>
              <w:right w:w="115" w:type="dxa"/>
            </w:tcMar>
          </w:tcPr>
          <w:p w14:paraId="62DF4E95" w14:textId="1862D1A0" w:rsidR="00DC3E7B" w:rsidRPr="00F20EFE" w:rsidRDefault="00DC3E7B" w:rsidP="00DC3E7B">
            <w:pPr>
              <w:spacing w:after="0" w:line="240" w:lineRule="auto"/>
              <w:rPr>
                <w:rFonts w:ascii="Times New Roman" w:eastAsia="Times New Roman" w:hAnsi="Times New Roman"/>
              </w:rPr>
            </w:pPr>
            <w:r w:rsidRPr="00DC3E7B">
              <w:rPr>
                <w:rFonts w:ascii="Times New Roman" w:eastAsia="Times New Roman" w:hAnsi="Times New Roman"/>
              </w:rPr>
              <w:t xml:space="preserve">Didžiausios Prancūzijos darbdavių organizacijos, įskaitant </w:t>
            </w:r>
            <w:proofErr w:type="spellStart"/>
            <w:r w:rsidRPr="00DC3E7B">
              <w:rPr>
                <w:rFonts w:ascii="Times New Roman" w:eastAsia="Times New Roman" w:hAnsi="Times New Roman"/>
              </w:rPr>
              <w:t>Medef</w:t>
            </w:r>
            <w:proofErr w:type="spellEnd"/>
            <w:r w:rsidRPr="00DC3E7B">
              <w:rPr>
                <w:rFonts w:ascii="Times New Roman" w:eastAsia="Times New Roman" w:hAnsi="Times New Roman"/>
              </w:rPr>
              <w:t xml:space="preserve">, ragina vyriausybę nemažinti darbdaviams taikomų socialinių įmokų lengvatų, kompensuojančių dalį darbo kaštų mažesnius atlyginimus gaunantiems darbuotojams. Verslo atstovai perspėja, kad po automatinio minimalaus darbo užmokesčio (SMIC) didinimo toks sprendimas papildomai didintų įmonių išlaidas ir neigiamai paveiktų užimtumą. Vis tik Ekonomikos ministras </w:t>
            </w:r>
            <w:proofErr w:type="spellStart"/>
            <w:r w:rsidRPr="00DC3E7B">
              <w:rPr>
                <w:rFonts w:ascii="Times New Roman" w:eastAsia="Times New Roman" w:hAnsi="Times New Roman"/>
              </w:rPr>
              <w:t>Roland</w:t>
            </w:r>
            <w:proofErr w:type="spellEnd"/>
            <w:r w:rsidRPr="00DC3E7B">
              <w:rPr>
                <w:rFonts w:ascii="Times New Roman" w:eastAsia="Times New Roman" w:hAnsi="Times New Roman"/>
              </w:rPr>
              <w:t xml:space="preserve"> </w:t>
            </w:r>
            <w:proofErr w:type="spellStart"/>
            <w:r w:rsidRPr="00DC3E7B">
              <w:rPr>
                <w:rFonts w:ascii="Times New Roman" w:eastAsia="Times New Roman" w:hAnsi="Times New Roman"/>
              </w:rPr>
              <w:t>Lescure</w:t>
            </w:r>
            <w:proofErr w:type="spellEnd"/>
            <w:r w:rsidRPr="00DC3E7B">
              <w:rPr>
                <w:rFonts w:ascii="Times New Roman" w:eastAsia="Times New Roman" w:hAnsi="Times New Roman"/>
              </w:rPr>
              <w:t xml:space="preserve"> pabrėžia, kad papildoma valstybės parama įmonėms turėtų būti labiau tikslinė ir siejama su atlyginimų didinimu bei realiais įmonių poreikiais.</w:t>
            </w:r>
          </w:p>
        </w:tc>
        <w:tc>
          <w:tcPr>
            <w:tcW w:w="2268" w:type="dxa"/>
            <w:tcMar>
              <w:top w:w="29" w:type="dxa"/>
              <w:left w:w="115" w:type="dxa"/>
              <w:bottom w:w="29" w:type="dxa"/>
              <w:right w:w="115" w:type="dxa"/>
            </w:tcMar>
          </w:tcPr>
          <w:p w14:paraId="2BD6A816" w14:textId="63989FD6" w:rsidR="00DC3E7B" w:rsidRPr="00C35A38" w:rsidRDefault="00DC3E7B" w:rsidP="00DE43AB">
            <w:pPr>
              <w:spacing w:after="0" w:line="240" w:lineRule="auto"/>
              <w:rPr>
                <w:rFonts w:ascii="Times New Roman" w:hAnsi="Times New Roman"/>
              </w:rPr>
            </w:pPr>
            <w:hyperlink r:id="rId15" w:history="1">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Une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double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peine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pour</w:t>
              </w:r>
              <w:proofErr w:type="spellEnd"/>
              <w:r w:rsidRPr="00C35A38">
                <w:rPr>
                  <w:rFonts w:ascii="Times New Roman" w:hAnsi="Times New Roman"/>
                  <w:color w:val="0000FF"/>
                  <w:u w:val="single"/>
                </w:rPr>
                <w:t xml:space="preserve"> les </w:t>
              </w:r>
              <w:proofErr w:type="spellStart"/>
              <w:r w:rsidRPr="00C35A38">
                <w:rPr>
                  <w:rFonts w:ascii="Times New Roman" w:hAnsi="Times New Roman"/>
                  <w:color w:val="0000FF"/>
                  <w:u w:val="single"/>
                </w:rPr>
                <w:t>entreprises</w:t>
              </w:r>
              <w:proofErr w:type="spellEnd"/>
              <w:r w:rsidRPr="00C35A38">
                <w:rPr>
                  <w:rFonts w:ascii="Times New Roman" w:hAnsi="Times New Roman"/>
                  <w:color w:val="0000FF"/>
                  <w:u w:val="single"/>
                </w:rPr>
                <w:t xml:space="preserve"> et </w:t>
              </w:r>
              <w:proofErr w:type="spellStart"/>
              <w:r w:rsidRPr="00C35A38">
                <w:rPr>
                  <w:rFonts w:ascii="Times New Roman" w:hAnsi="Times New Roman"/>
                  <w:color w:val="0000FF"/>
                  <w:u w:val="single"/>
                </w:rPr>
                <w:t>donc</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pour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l'emploi</w:t>
              </w:r>
              <w:proofErr w:type="spellEnd"/>
              <w:r w:rsidRPr="00C35A38">
                <w:rPr>
                  <w:rFonts w:ascii="Times New Roman" w:hAnsi="Times New Roman"/>
                  <w:color w:val="0000FF"/>
                  <w:u w:val="single"/>
                </w:rPr>
                <w:t xml:space="preserve"> » : </w:t>
              </w:r>
              <w:proofErr w:type="spellStart"/>
              <w:r w:rsidRPr="00C35A38">
                <w:rPr>
                  <w:rFonts w:ascii="Times New Roman" w:hAnsi="Times New Roman"/>
                  <w:color w:val="0000FF"/>
                  <w:u w:val="single"/>
                </w:rPr>
                <w:t>le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patronat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fait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monter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pression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sur</w:t>
              </w:r>
              <w:proofErr w:type="spellEnd"/>
              <w:r w:rsidRPr="00C35A38">
                <w:rPr>
                  <w:rFonts w:ascii="Times New Roman" w:hAnsi="Times New Roman"/>
                  <w:color w:val="0000FF"/>
                  <w:u w:val="single"/>
                </w:rPr>
                <w:t xml:space="preserve"> les </w:t>
              </w:r>
              <w:proofErr w:type="spellStart"/>
              <w:r w:rsidRPr="00C35A38">
                <w:rPr>
                  <w:rFonts w:ascii="Times New Roman" w:hAnsi="Times New Roman"/>
                  <w:color w:val="0000FF"/>
                  <w:u w:val="single"/>
                </w:rPr>
                <w:t>allègements</w:t>
              </w:r>
              <w:proofErr w:type="spellEnd"/>
              <w:r w:rsidRPr="00C35A38">
                <w:rPr>
                  <w:rFonts w:ascii="Times New Roman" w:hAnsi="Times New Roman"/>
                  <w:color w:val="0000FF"/>
                  <w:u w:val="single"/>
                </w:rPr>
                <w:t xml:space="preserve"> de </w:t>
              </w:r>
              <w:proofErr w:type="spellStart"/>
              <w:r w:rsidRPr="00C35A38">
                <w:rPr>
                  <w:rFonts w:ascii="Times New Roman" w:hAnsi="Times New Roman"/>
                  <w:color w:val="0000FF"/>
                  <w:u w:val="single"/>
                </w:rPr>
                <w:t>charges</w:t>
              </w:r>
              <w:proofErr w:type="spellEnd"/>
              <w:r w:rsidRPr="00C35A38">
                <w:rPr>
                  <w:rFonts w:ascii="Times New Roman" w:hAnsi="Times New Roman"/>
                  <w:color w:val="0000FF"/>
                  <w:u w:val="single"/>
                </w:rPr>
                <w:t xml:space="preserve"> - Les </w:t>
              </w:r>
              <w:proofErr w:type="spellStart"/>
              <w:r w:rsidRPr="00C35A3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417F901C" w14:textId="77777777" w:rsidR="00DC3E7B" w:rsidRPr="00DC3E7B" w:rsidRDefault="00DC3E7B" w:rsidP="00DC3E7B">
            <w:pPr>
              <w:spacing w:after="0" w:line="240" w:lineRule="auto"/>
              <w:rPr>
                <w:rFonts w:ascii="Times New Roman" w:eastAsia="Times New Roman" w:hAnsi="Times New Roman"/>
              </w:rPr>
            </w:pPr>
            <w:r w:rsidRPr="00DC3E7B">
              <w:rPr>
                <w:rFonts w:ascii="Times New Roman" w:eastAsia="Times New Roman" w:hAnsi="Times New Roman"/>
              </w:rPr>
              <w:t>Prancūzijos darbdavių organizacijos ragina nemažinti darbo kaštus mažinančių socialinių įmokų lengvatų</w:t>
            </w:r>
          </w:p>
          <w:p w14:paraId="64FB146E" w14:textId="77777777" w:rsidR="00DC3E7B" w:rsidRPr="00F20EFE" w:rsidRDefault="00DC3E7B" w:rsidP="00DE43AB">
            <w:pPr>
              <w:spacing w:after="0" w:line="240" w:lineRule="auto"/>
              <w:rPr>
                <w:rFonts w:ascii="Times New Roman" w:hAnsi="Times New Roman"/>
              </w:rPr>
            </w:pPr>
          </w:p>
        </w:tc>
      </w:tr>
      <w:tr w:rsidR="003B37BB" w:rsidRPr="00640017" w14:paraId="635524E8" w14:textId="77777777" w:rsidTr="00B869D6">
        <w:trPr>
          <w:gridAfter w:val="1"/>
          <w:wAfter w:w="11" w:type="dxa"/>
          <w:trHeight w:val="216"/>
        </w:trPr>
        <w:tc>
          <w:tcPr>
            <w:tcW w:w="1418" w:type="dxa"/>
            <w:tcMar>
              <w:top w:w="29" w:type="dxa"/>
              <w:left w:w="115" w:type="dxa"/>
              <w:bottom w:w="29" w:type="dxa"/>
              <w:right w:w="115" w:type="dxa"/>
            </w:tcMar>
          </w:tcPr>
          <w:p w14:paraId="308DE573" w14:textId="3F1211ED" w:rsidR="003B37BB" w:rsidRDefault="00621445"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2026-05-22</w:t>
            </w:r>
          </w:p>
        </w:tc>
        <w:tc>
          <w:tcPr>
            <w:tcW w:w="5812" w:type="dxa"/>
            <w:tcMar>
              <w:top w:w="29" w:type="dxa"/>
              <w:left w:w="115" w:type="dxa"/>
              <w:bottom w:w="29" w:type="dxa"/>
              <w:right w:w="115" w:type="dxa"/>
            </w:tcMar>
          </w:tcPr>
          <w:p w14:paraId="0D83815A" w14:textId="34DA6766" w:rsidR="003B37BB" w:rsidRPr="003B37BB" w:rsidRDefault="003B37BB" w:rsidP="003B37BB">
            <w:pPr>
              <w:spacing w:after="0" w:line="240" w:lineRule="auto"/>
              <w:rPr>
                <w:rFonts w:ascii="Times New Roman" w:eastAsia="Times New Roman" w:hAnsi="Times New Roman"/>
              </w:rPr>
            </w:pPr>
            <w:r w:rsidRPr="003B37BB">
              <w:rPr>
                <w:rFonts w:ascii="Times New Roman" w:eastAsia="Times New Roman" w:hAnsi="Times New Roman"/>
              </w:rPr>
              <w:t>Remiantis tarptautinės konsultacijų bendrovės Ernst &amp; Young 2026 m. investicinio patrauklumo tyrimu, Prancūzija 2025 m. septintus metus iš eilės išliko daugiausia užsienio investicijų projektų pritraukusia Europos valstybe. Šalyje užregistruoti 852 užsienio investicijų projektai, aplenkiant Jungtinę Karalystę (730 projektų) ir Vokietiją (548 projektai).</w:t>
            </w:r>
          </w:p>
          <w:p w14:paraId="4EA82C17" w14:textId="09060695" w:rsidR="003B37BB" w:rsidRPr="00DE43AB" w:rsidRDefault="003B37BB" w:rsidP="003B37BB">
            <w:pPr>
              <w:spacing w:after="0" w:line="240" w:lineRule="auto"/>
              <w:rPr>
                <w:rFonts w:ascii="Times New Roman" w:eastAsia="Times New Roman" w:hAnsi="Times New Roman"/>
              </w:rPr>
            </w:pPr>
            <w:r w:rsidRPr="003B37BB">
              <w:rPr>
                <w:rFonts w:ascii="Times New Roman" w:eastAsia="Times New Roman" w:hAnsi="Times New Roman"/>
              </w:rPr>
              <w:t xml:space="preserve">EY vertinimu, Prancūzijos investicinį patrauklumą lemia per pastarąjį dešimtmetį įgyvendintos ekonominės reformos, didelė vidaus rinka, išvystyta infrastruktūra bei kvalifikuota darbo jėga. Vis dėlto tyrimas atskleidžia ir bendrą investicijų aktyvumo mažėjimą Europoje – 2025 m. užsienio investicijų projektų skaičius žemyne sumažėjo 7 proc., o Europa tapo </w:t>
            </w:r>
            <w:r w:rsidRPr="003B37BB">
              <w:rPr>
                <w:rFonts w:ascii="Times New Roman" w:eastAsia="Times New Roman" w:hAnsi="Times New Roman"/>
              </w:rPr>
              <w:lastRenderedPageBreak/>
              <w:t>regionu, kuriame investicijų mažėjimas buvo vienas ryškiausių pasaulyje.</w:t>
            </w:r>
          </w:p>
        </w:tc>
        <w:tc>
          <w:tcPr>
            <w:tcW w:w="2268" w:type="dxa"/>
            <w:tcMar>
              <w:top w:w="29" w:type="dxa"/>
              <w:left w:w="115" w:type="dxa"/>
              <w:bottom w:w="29" w:type="dxa"/>
              <w:right w:w="115" w:type="dxa"/>
            </w:tcMar>
          </w:tcPr>
          <w:p w14:paraId="24B05ADB" w14:textId="37AF07F3" w:rsidR="003B37BB" w:rsidRPr="00C35A38" w:rsidRDefault="00621445" w:rsidP="00DE43AB">
            <w:pPr>
              <w:spacing w:after="0" w:line="240" w:lineRule="auto"/>
              <w:rPr>
                <w:rFonts w:ascii="Times New Roman" w:hAnsi="Times New Roman"/>
              </w:rPr>
            </w:pPr>
            <w:hyperlink r:id="rId16" w:history="1">
              <w:r w:rsidRPr="00C35A38">
                <w:rPr>
                  <w:rFonts w:ascii="Times New Roman" w:hAnsi="Times New Roman"/>
                  <w:color w:val="0000FF"/>
                  <w:u w:val="single"/>
                </w:rPr>
                <w:t xml:space="preserve">France </w:t>
              </w:r>
              <w:proofErr w:type="spellStart"/>
              <w:r w:rsidRPr="00C35A38">
                <w:rPr>
                  <w:rFonts w:ascii="Times New Roman" w:hAnsi="Times New Roman"/>
                  <w:color w:val="0000FF"/>
                  <w:u w:val="single"/>
                </w:rPr>
                <w:t>remains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top</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destination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for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foreign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investment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as</w:t>
              </w:r>
              <w:proofErr w:type="spellEnd"/>
              <w:r w:rsidRPr="00C35A38">
                <w:rPr>
                  <w:rFonts w:ascii="Times New Roman" w:hAnsi="Times New Roman"/>
                  <w:color w:val="0000FF"/>
                  <w:u w:val="single"/>
                </w:rPr>
                <w:t xml:space="preserve"> Europe </w:t>
              </w:r>
              <w:proofErr w:type="spellStart"/>
              <w:r w:rsidRPr="00C35A38">
                <w:rPr>
                  <w:rFonts w:ascii="Times New Roman" w:hAnsi="Times New Roman"/>
                  <w:color w:val="0000FF"/>
                  <w:u w:val="single"/>
                </w:rPr>
                <w:t>declines</w:t>
              </w:r>
              <w:proofErr w:type="spellEnd"/>
            </w:hyperlink>
          </w:p>
        </w:tc>
        <w:tc>
          <w:tcPr>
            <w:tcW w:w="1436" w:type="dxa"/>
            <w:tcMar>
              <w:top w:w="29" w:type="dxa"/>
              <w:left w:w="115" w:type="dxa"/>
              <w:bottom w:w="29" w:type="dxa"/>
              <w:right w:w="115" w:type="dxa"/>
            </w:tcMar>
          </w:tcPr>
          <w:p w14:paraId="1C9A37A3" w14:textId="5496096F" w:rsidR="003B37BB" w:rsidRPr="00FD4F26" w:rsidRDefault="003B37BB" w:rsidP="00621445">
            <w:pPr>
              <w:spacing w:after="0" w:line="240" w:lineRule="auto"/>
              <w:rPr>
                <w:rFonts w:ascii="Times New Roman" w:hAnsi="Times New Roman"/>
              </w:rPr>
            </w:pPr>
            <w:r w:rsidRPr="003B37BB">
              <w:rPr>
                <w:rFonts w:ascii="Times New Roman" w:eastAsia="Times New Roman" w:hAnsi="Times New Roman"/>
              </w:rPr>
              <w:t xml:space="preserve">Prancūzija septintus metus iš eilės </w:t>
            </w:r>
            <w:r w:rsidR="00621445">
              <w:rPr>
                <w:rFonts w:ascii="Times New Roman" w:eastAsia="Times New Roman" w:hAnsi="Times New Roman"/>
              </w:rPr>
              <w:t xml:space="preserve">pritraukia </w:t>
            </w:r>
            <w:proofErr w:type="spellStart"/>
            <w:r w:rsidR="00621445">
              <w:rPr>
                <w:rFonts w:ascii="Times New Roman" w:eastAsia="Times New Roman" w:hAnsi="Times New Roman"/>
              </w:rPr>
              <w:t>daugiausiais</w:t>
            </w:r>
            <w:proofErr w:type="spellEnd"/>
            <w:r w:rsidR="00621445">
              <w:rPr>
                <w:rFonts w:ascii="Times New Roman" w:eastAsia="Times New Roman" w:hAnsi="Times New Roman"/>
              </w:rPr>
              <w:t xml:space="preserve"> užsienio investicijų Europoje</w:t>
            </w:r>
          </w:p>
        </w:tc>
      </w:tr>
      <w:tr w:rsidR="00DE43AB" w:rsidRPr="00640017" w14:paraId="534ADFED" w14:textId="77777777" w:rsidTr="00B869D6">
        <w:trPr>
          <w:gridAfter w:val="1"/>
          <w:wAfter w:w="11" w:type="dxa"/>
          <w:trHeight w:val="216"/>
        </w:trPr>
        <w:tc>
          <w:tcPr>
            <w:tcW w:w="1418" w:type="dxa"/>
            <w:tcMar>
              <w:top w:w="29" w:type="dxa"/>
              <w:left w:w="115" w:type="dxa"/>
              <w:bottom w:w="29" w:type="dxa"/>
              <w:right w:w="115" w:type="dxa"/>
            </w:tcMar>
          </w:tcPr>
          <w:p w14:paraId="4CFDB16C" w14:textId="1520B56C" w:rsidR="00DE43AB" w:rsidRDefault="00DE43AB"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2026-05-28</w:t>
            </w:r>
          </w:p>
        </w:tc>
        <w:tc>
          <w:tcPr>
            <w:tcW w:w="5812" w:type="dxa"/>
            <w:tcMar>
              <w:top w:w="29" w:type="dxa"/>
              <w:left w:w="115" w:type="dxa"/>
              <w:bottom w:w="29" w:type="dxa"/>
              <w:right w:w="115" w:type="dxa"/>
            </w:tcMar>
          </w:tcPr>
          <w:p w14:paraId="7499D327"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Michelin paskelbė, kad per artimiausius trejus metus Prancūzijoje planuoja panaikinti iki 1 500 darbo vietų, tai sudaro beveik 10 % bendrovės darbuotojų šalyje.</w:t>
            </w:r>
          </w:p>
          <w:p w14:paraId="4C4670D5"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Maždaug du trečdaliai mažinamų pareigybių bus administracinėse ir pagalbinėse funkcijose, o trečdalis – gamyboje. Bendrovė pabrėžia, kad darbuotojų skaičius bus mažinamas savanoriško išėjimo pagrindu, be priverstinių atleidimų.</w:t>
            </w:r>
          </w:p>
          <w:p w14:paraId="45638A59"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„Michelin“ sprendimą aiškina būtinybe mažinti sąnaudas. Pasak bendrovės, Prancūzijoje darbo, energijos ir mokesčių kaštai yra didesni nei daugelyje kitų išsivysčiusių šalių.</w:t>
            </w:r>
          </w:p>
          <w:p w14:paraId="3B8C4F68" w14:textId="1BA59514"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Tai jau antras didelis darbo vietų mažinimo planas šį dešimtmetį – ankstesnio plano metu 2021–2023 m. buvo panaikinta apie 1 600 darbo vietų.</w:t>
            </w:r>
          </w:p>
        </w:tc>
        <w:tc>
          <w:tcPr>
            <w:tcW w:w="2268" w:type="dxa"/>
            <w:tcMar>
              <w:top w:w="29" w:type="dxa"/>
              <w:left w:w="115" w:type="dxa"/>
              <w:bottom w:w="29" w:type="dxa"/>
              <w:right w:w="115" w:type="dxa"/>
            </w:tcMar>
          </w:tcPr>
          <w:p w14:paraId="10CF1416" w14:textId="4D391FB4" w:rsidR="00DE43AB" w:rsidRPr="00C35A38" w:rsidRDefault="00DE43AB" w:rsidP="00DE43AB">
            <w:pPr>
              <w:spacing w:after="0" w:line="240" w:lineRule="auto"/>
              <w:rPr>
                <w:rFonts w:ascii="Times New Roman" w:hAnsi="Times New Roman"/>
              </w:rPr>
            </w:pPr>
            <w:hyperlink r:id="rId17" w:history="1">
              <w:proofErr w:type="spellStart"/>
              <w:r w:rsidRPr="00C35A38">
                <w:rPr>
                  <w:rStyle w:val="Hyperlink"/>
                  <w:rFonts w:ascii="Times New Roman" w:hAnsi="Times New Roman"/>
                </w:rPr>
                <w:t>Le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groupe</w:t>
              </w:r>
              <w:proofErr w:type="spellEnd"/>
              <w:r w:rsidRPr="00C35A38">
                <w:rPr>
                  <w:rStyle w:val="Hyperlink"/>
                  <w:rFonts w:ascii="Times New Roman" w:hAnsi="Times New Roman"/>
                </w:rPr>
                <w:t xml:space="preserve"> Michelin </w:t>
              </w:r>
              <w:proofErr w:type="spellStart"/>
              <w:r w:rsidRPr="00C35A38">
                <w:rPr>
                  <w:rStyle w:val="Hyperlink"/>
                  <w:rFonts w:ascii="Times New Roman" w:hAnsi="Times New Roman"/>
                </w:rPr>
                <w:t>annonce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la</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suppression</w:t>
              </w:r>
              <w:proofErr w:type="spellEnd"/>
              <w:r w:rsidRPr="00C35A38">
                <w:rPr>
                  <w:rStyle w:val="Hyperlink"/>
                  <w:rFonts w:ascii="Times New Roman" w:hAnsi="Times New Roman"/>
                </w:rPr>
                <w:t xml:space="preserve"> de 1 500 </w:t>
              </w:r>
              <w:proofErr w:type="spellStart"/>
              <w:r w:rsidRPr="00C35A38">
                <w:rPr>
                  <w:rStyle w:val="Hyperlink"/>
                  <w:rFonts w:ascii="Times New Roman" w:hAnsi="Times New Roman"/>
                </w:rPr>
                <w:t>postes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en</w:t>
              </w:r>
              <w:proofErr w:type="spellEnd"/>
              <w:r w:rsidRPr="00C35A38">
                <w:rPr>
                  <w:rStyle w:val="Hyperlink"/>
                  <w:rFonts w:ascii="Times New Roman" w:hAnsi="Times New Roman"/>
                </w:rPr>
                <w:t xml:space="preserve"> France </w:t>
              </w:r>
              <w:proofErr w:type="spellStart"/>
              <w:r w:rsidRPr="00C35A38">
                <w:rPr>
                  <w:rStyle w:val="Hyperlink"/>
                  <w:rFonts w:ascii="Times New Roman" w:hAnsi="Times New Roman"/>
                </w:rPr>
                <w:t>d’ici</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trois</w:t>
              </w:r>
              <w:proofErr w:type="spellEnd"/>
              <w:r w:rsidRPr="00C35A38">
                <w:rPr>
                  <w:rStyle w:val="Hyperlink"/>
                  <w:rFonts w:ascii="Times New Roman" w:hAnsi="Times New Roman"/>
                </w:rPr>
                <w:t> </w:t>
              </w:r>
              <w:proofErr w:type="spellStart"/>
              <w:r w:rsidRPr="00C35A38">
                <w:rPr>
                  <w:rStyle w:val="Hyperlink"/>
                  <w:rFonts w:ascii="Times New Roman" w:hAnsi="Times New Roman"/>
                </w:rPr>
                <w:t>ans</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73425885" w14:textId="1EE00751" w:rsidR="00DE43AB" w:rsidRPr="00D641DF" w:rsidRDefault="00DE43AB" w:rsidP="00DE43AB">
            <w:pPr>
              <w:spacing w:after="0" w:line="240" w:lineRule="auto"/>
              <w:rPr>
                <w:rFonts w:ascii="Times New Roman" w:hAnsi="Times New Roman"/>
              </w:rPr>
            </w:pPr>
            <w:r w:rsidRPr="00FD4F26">
              <w:rPr>
                <w:rFonts w:ascii="Times New Roman" w:hAnsi="Times New Roman"/>
              </w:rPr>
              <w:t>„Michelin“ siekia didinti konkurencingumą ir mažinti veiklos kaštus</w:t>
            </w:r>
          </w:p>
        </w:tc>
      </w:tr>
      <w:tr w:rsidR="00DE43AB" w:rsidRPr="00640017" w14:paraId="6D114930" w14:textId="77777777" w:rsidTr="00B869D6">
        <w:trPr>
          <w:gridAfter w:val="1"/>
          <w:wAfter w:w="11" w:type="dxa"/>
          <w:trHeight w:val="216"/>
        </w:trPr>
        <w:tc>
          <w:tcPr>
            <w:tcW w:w="1418" w:type="dxa"/>
            <w:tcMar>
              <w:top w:w="29" w:type="dxa"/>
              <w:left w:w="115" w:type="dxa"/>
              <w:bottom w:w="29" w:type="dxa"/>
              <w:right w:w="115" w:type="dxa"/>
            </w:tcMar>
          </w:tcPr>
          <w:p w14:paraId="4B1A75F9" w14:textId="783E5B57" w:rsidR="00DE43AB" w:rsidRDefault="00DE43AB" w:rsidP="00DE43AB">
            <w:pPr>
              <w:spacing w:after="0" w:line="240" w:lineRule="auto"/>
              <w:rPr>
                <w:rFonts w:ascii="Times New Roman" w:eastAsia="Times New Roman" w:hAnsi="Times New Roman"/>
                <w:lang w:val="fr-FR"/>
              </w:rPr>
            </w:pPr>
            <w:r>
              <w:rPr>
                <w:rFonts w:ascii="Times New Roman" w:eastAsia="Times New Roman" w:hAnsi="Times New Roman"/>
                <w:lang w:val="fr-FR"/>
              </w:rPr>
              <w:t>2026-05-29</w:t>
            </w:r>
          </w:p>
        </w:tc>
        <w:tc>
          <w:tcPr>
            <w:tcW w:w="5812" w:type="dxa"/>
            <w:tcMar>
              <w:top w:w="29" w:type="dxa"/>
              <w:left w:w="115" w:type="dxa"/>
              <w:bottom w:w="29" w:type="dxa"/>
              <w:right w:w="115" w:type="dxa"/>
            </w:tcMar>
          </w:tcPr>
          <w:p w14:paraId="46749F43" w14:textId="15E726A4"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 xml:space="preserve">Per metinį akcininkų susirinkimą </w:t>
            </w:r>
            <w:proofErr w:type="spellStart"/>
            <w:r w:rsidRPr="00DE43AB">
              <w:rPr>
                <w:rFonts w:ascii="Times New Roman" w:eastAsia="Times New Roman" w:hAnsi="Times New Roman"/>
              </w:rPr>
              <w:t>TotalEnergies</w:t>
            </w:r>
            <w:proofErr w:type="spellEnd"/>
            <w:r w:rsidRPr="00DE43AB">
              <w:rPr>
                <w:rFonts w:ascii="Times New Roman" w:eastAsia="Times New Roman" w:hAnsi="Times New Roman"/>
              </w:rPr>
              <w:t xml:space="preserve"> vadovas </w:t>
            </w:r>
            <w:proofErr w:type="spellStart"/>
            <w:r w:rsidRPr="00DE43AB">
              <w:rPr>
                <w:rFonts w:ascii="Times New Roman" w:eastAsia="Times New Roman" w:hAnsi="Times New Roman"/>
              </w:rPr>
              <w:t>Patrick</w:t>
            </w:r>
            <w:proofErr w:type="spellEnd"/>
            <w:r w:rsidRPr="00DE43AB">
              <w:rPr>
                <w:rFonts w:ascii="Times New Roman" w:eastAsia="Times New Roman" w:hAnsi="Times New Roman"/>
              </w:rPr>
              <w:t xml:space="preserve"> </w:t>
            </w:r>
            <w:proofErr w:type="spellStart"/>
            <w:r w:rsidRPr="00DE43AB">
              <w:rPr>
                <w:rFonts w:ascii="Times New Roman" w:eastAsia="Times New Roman" w:hAnsi="Times New Roman"/>
              </w:rPr>
              <w:t>Pouyanné</w:t>
            </w:r>
            <w:proofErr w:type="spellEnd"/>
            <w:r w:rsidRPr="00DE43AB">
              <w:rPr>
                <w:rFonts w:ascii="Times New Roman" w:eastAsia="Times New Roman" w:hAnsi="Times New Roman"/>
              </w:rPr>
              <w:t xml:space="preserve"> gynė bendrovės rekordinius pelnus ir pareiškė, kad įmonė neturi atsiprašinėti už savo sėkmę.</w:t>
            </w:r>
          </w:p>
          <w:p w14:paraId="030EA78F" w14:textId="37D6DD6A"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Bendrovė sulaukia kritikos dėl itin išaugusių pelnų po energijos kainų šuolio, tačiau vadovybė atmeta siūlymus papildomai apmokestinti vadinamuosius viršpelnius. Akcininkams pasiūlyta išmokėti 7,4 mlrd. eurų dividendų, o dividendas vienai akcijai padidintas 5,6 % iki 3,40 euro.</w:t>
            </w:r>
          </w:p>
          <w:p w14:paraId="512CB902" w14:textId="3A54E892"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Tuo metu prie bendrovės būstinės vyko protestai, kuriuose kritikuotas didelis naftos bendrovių pelningumas augančių energijos kainų ir klimato kaitos kontekste.</w:t>
            </w:r>
          </w:p>
        </w:tc>
        <w:tc>
          <w:tcPr>
            <w:tcW w:w="2268" w:type="dxa"/>
            <w:tcMar>
              <w:top w:w="29" w:type="dxa"/>
              <w:left w:w="115" w:type="dxa"/>
              <w:bottom w:w="29" w:type="dxa"/>
              <w:right w:w="115" w:type="dxa"/>
            </w:tcMar>
          </w:tcPr>
          <w:p w14:paraId="3BC25C9D" w14:textId="58C2854D" w:rsidR="00DE43AB" w:rsidRPr="00C35A38" w:rsidRDefault="00DE43AB" w:rsidP="00DE43AB">
            <w:pPr>
              <w:spacing w:after="0" w:line="240" w:lineRule="auto"/>
              <w:rPr>
                <w:rFonts w:ascii="Times New Roman" w:eastAsia="Times New Roman" w:hAnsi="Times New Roman"/>
              </w:rPr>
            </w:pPr>
            <w:hyperlink r:id="rId18" w:history="1">
              <w:r w:rsidRPr="00C35A38">
                <w:rPr>
                  <w:rStyle w:val="Hyperlink"/>
                  <w:rFonts w:ascii="Times New Roman" w:eastAsia="Times New Roman" w:hAnsi="Times New Roman"/>
                </w:rPr>
                <w:t>«</w:t>
              </w:r>
              <w:proofErr w:type="spellStart"/>
              <w:r w:rsidRPr="00C35A38">
                <w:rPr>
                  <w:rStyle w:val="Hyperlink"/>
                  <w:rFonts w:ascii="Times New Roman" w:eastAsia="Times New Roman" w:hAnsi="Times New Roman"/>
                </w:rPr>
                <w:t>TotalEnergies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n’a</w:t>
              </w:r>
              <w:proofErr w:type="spellEnd"/>
              <w:r w:rsidRPr="00C35A38">
                <w:rPr>
                  <w:rStyle w:val="Hyperlink"/>
                  <w:rFonts w:ascii="Times New Roman" w:eastAsia="Times New Roman" w:hAnsi="Times New Roman"/>
                </w:rPr>
                <w:t xml:space="preserve"> pas à </w:t>
              </w:r>
              <w:proofErr w:type="spellStart"/>
              <w:r w:rsidRPr="00C35A38">
                <w:rPr>
                  <w:rStyle w:val="Hyperlink"/>
                  <w:rFonts w:ascii="Times New Roman" w:eastAsia="Times New Roman" w:hAnsi="Times New Roman"/>
                </w:rPr>
                <w:t>s’excuser</w:t>
              </w:r>
              <w:proofErr w:type="spellEnd"/>
              <w:r w:rsidRPr="00C35A38">
                <w:rPr>
                  <w:rStyle w:val="Hyperlink"/>
                  <w:rFonts w:ascii="Times New Roman" w:eastAsia="Times New Roman" w:hAnsi="Times New Roman"/>
                </w:rPr>
                <w:t xml:space="preserve"> de </w:t>
              </w:r>
              <w:proofErr w:type="spellStart"/>
              <w:r w:rsidRPr="00C35A38">
                <w:rPr>
                  <w:rStyle w:val="Hyperlink"/>
                  <w:rFonts w:ascii="Times New Roman" w:eastAsia="Times New Roman" w:hAnsi="Times New Roman"/>
                </w:rPr>
                <w:t>réussir</w:t>
              </w:r>
              <w:proofErr w:type="spellEnd"/>
              <w:r w:rsidRPr="00C35A38">
                <w:rPr>
                  <w:rStyle w:val="Hyperlink"/>
                  <w:rFonts w:ascii="Times New Roman" w:eastAsia="Times New Roman" w:hAnsi="Times New Roman"/>
                </w:rPr>
                <w:t xml:space="preserve">» : </w:t>
              </w:r>
              <w:proofErr w:type="spellStart"/>
              <w:r w:rsidRPr="00C35A38">
                <w:rPr>
                  <w:rStyle w:val="Hyperlink"/>
                  <w:rFonts w:ascii="Times New Roman" w:eastAsia="Times New Roman" w:hAnsi="Times New Roman"/>
                </w:rPr>
                <w:t>devant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ses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actionnaires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Patrick</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Pouyanné</w:t>
              </w:r>
              <w:proofErr w:type="spellEnd"/>
              <w:r w:rsidRPr="00C35A38">
                <w:rPr>
                  <w:rStyle w:val="Hyperlink"/>
                  <w:rFonts w:ascii="Times New Roman" w:eastAsia="Times New Roman" w:hAnsi="Times New Roman"/>
                </w:rPr>
                <w:t xml:space="preserve"> ne </w:t>
              </w:r>
              <w:proofErr w:type="spellStart"/>
              <w:r w:rsidRPr="00C35A38">
                <w:rPr>
                  <w:rStyle w:val="Hyperlink"/>
                  <w:rFonts w:ascii="Times New Roman" w:eastAsia="Times New Roman" w:hAnsi="Times New Roman"/>
                </w:rPr>
                <w:t>rougit</w:t>
              </w:r>
              <w:proofErr w:type="spellEnd"/>
              <w:r w:rsidRPr="00C35A38">
                <w:rPr>
                  <w:rStyle w:val="Hyperlink"/>
                  <w:rFonts w:ascii="Times New Roman" w:eastAsia="Times New Roman" w:hAnsi="Times New Roman"/>
                </w:rPr>
                <w:t xml:space="preserve"> pas de </w:t>
              </w:r>
              <w:proofErr w:type="spellStart"/>
              <w:r w:rsidRPr="00C35A38">
                <w:rPr>
                  <w:rStyle w:val="Hyperlink"/>
                  <w:rFonts w:ascii="Times New Roman" w:eastAsia="Times New Roman" w:hAnsi="Times New Roman"/>
                </w:rPr>
                <w:t>ses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résultats</w:t>
              </w:r>
              <w:proofErr w:type="spellEnd"/>
              <w:r w:rsidRPr="00C35A38">
                <w:rPr>
                  <w:rStyle w:val="Hyperlink"/>
                  <w:rFonts w:ascii="Times New Roman" w:eastAsia="Times New Roman" w:hAnsi="Times New Roman"/>
                </w:rPr>
                <w:t xml:space="preserve"> – </w:t>
              </w:r>
              <w:proofErr w:type="spellStart"/>
              <w:r w:rsidRPr="00C35A38">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2A67D98A" w14:textId="4E96C697" w:rsidR="00DE43AB" w:rsidRPr="00793FE2" w:rsidRDefault="00DE43AB" w:rsidP="00DE43AB">
            <w:pPr>
              <w:spacing w:after="0" w:line="240" w:lineRule="auto"/>
              <w:rPr>
                <w:rFonts w:ascii="Times New Roman" w:hAnsi="Times New Roman"/>
              </w:rPr>
            </w:pPr>
            <w:r>
              <w:rPr>
                <w:rFonts w:ascii="Times New Roman" w:hAnsi="Times New Roman"/>
              </w:rPr>
              <w:t>„</w:t>
            </w:r>
            <w:proofErr w:type="spellStart"/>
            <w:r w:rsidRPr="001509F6">
              <w:rPr>
                <w:rFonts w:ascii="Times New Roman" w:hAnsi="Times New Roman"/>
              </w:rPr>
              <w:t>TotalEnergies</w:t>
            </w:r>
            <w:proofErr w:type="spellEnd"/>
            <w:r>
              <w:rPr>
                <w:rFonts w:ascii="Times New Roman" w:hAnsi="Times New Roman"/>
              </w:rPr>
              <w:t>“</w:t>
            </w:r>
            <w:r w:rsidRPr="001509F6">
              <w:rPr>
                <w:rFonts w:ascii="Times New Roman" w:hAnsi="Times New Roman"/>
              </w:rPr>
              <w:t xml:space="preserve"> išlaiko dividendų didinimo politiką</w:t>
            </w:r>
          </w:p>
        </w:tc>
      </w:tr>
      <w:tr w:rsidR="00DE43AB" w:rsidRPr="00640017" w14:paraId="01A22B1B" w14:textId="77777777" w:rsidTr="00B869D6">
        <w:trPr>
          <w:gridAfter w:val="1"/>
          <w:wAfter w:w="11" w:type="dxa"/>
          <w:trHeight w:val="216"/>
        </w:trPr>
        <w:tc>
          <w:tcPr>
            <w:tcW w:w="1418" w:type="dxa"/>
            <w:tcMar>
              <w:top w:w="29" w:type="dxa"/>
              <w:left w:w="115" w:type="dxa"/>
              <w:bottom w:w="29" w:type="dxa"/>
              <w:right w:w="115" w:type="dxa"/>
            </w:tcMar>
          </w:tcPr>
          <w:p w14:paraId="7DE17BA2" w14:textId="30899BBA" w:rsidR="00DE43AB" w:rsidRPr="004D7557" w:rsidRDefault="00DE43AB" w:rsidP="00DE43AB">
            <w:pPr>
              <w:spacing w:after="0" w:line="240" w:lineRule="auto"/>
              <w:rPr>
                <w:rFonts w:ascii="Times New Roman" w:eastAsia="Times New Roman" w:hAnsi="Times New Roman"/>
                <w:lang w:val="en-US"/>
              </w:rPr>
            </w:pPr>
            <w:r>
              <w:rPr>
                <w:rFonts w:ascii="Times New Roman" w:eastAsia="Times New Roman" w:hAnsi="Times New Roman"/>
                <w:lang w:val="fr-FR"/>
              </w:rPr>
              <w:t>2026-05-29</w:t>
            </w:r>
          </w:p>
        </w:tc>
        <w:tc>
          <w:tcPr>
            <w:tcW w:w="5812" w:type="dxa"/>
            <w:tcMar>
              <w:top w:w="29" w:type="dxa"/>
              <w:left w:w="115" w:type="dxa"/>
              <w:bottom w:w="29" w:type="dxa"/>
              <w:right w:w="115" w:type="dxa"/>
            </w:tcMar>
          </w:tcPr>
          <w:p w14:paraId="70226731"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Prancūzijos ekonomika 2026 m. pirmąjį ketvirtį susitraukė 0,1 %, o metinė infliacija gegužę padidėjo iki 2,4 %, todėl stiprėja nuogąstavimai dėl galimos recesijos.</w:t>
            </w:r>
          </w:p>
          <w:p w14:paraId="72DDAAB9" w14:textId="5FD83643"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 xml:space="preserve">Ekonomikos ministras </w:t>
            </w:r>
            <w:proofErr w:type="spellStart"/>
            <w:r w:rsidRPr="00DE43AB">
              <w:rPr>
                <w:rFonts w:ascii="Times New Roman" w:eastAsia="Times New Roman" w:hAnsi="Times New Roman"/>
              </w:rPr>
              <w:t>Roland</w:t>
            </w:r>
            <w:proofErr w:type="spellEnd"/>
            <w:r w:rsidRPr="00DE43AB">
              <w:rPr>
                <w:rFonts w:ascii="Times New Roman" w:eastAsia="Times New Roman" w:hAnsi="Times New Roman"/>
              </w:rPr>
              <w:t xml:space="preserve"> </w:t>
            </w:r>
            <w:proofErr w:type="spellStart"/>
            <w:r w:rsidRPr="00DE43AB">
              <w:rPr>
                <w:rFonts w:ascii="Times New Roman" w:eastAsia="Times New Roman" w:hAnsi="Times New Roman"/>
              </w:rPr>
              <w:t>Lescure</w:t>
            </w:r>
            <w:proofErr w:type="spellEnd"/>
            <w:r w:rsidRPr="00DE43AB">
              <w:rPr>
                <w:rFonts w:ascii="Times New Roman" w:eastAsia="Times New Roman" w:hAnsi="Times New Roman"/>
              </w:rPr>
              <w:t xml:space="preserve"> pripažino, kad neigiamas BVP augimas nėra gera žinia. Vyriausybė tai </w:t>
            </w:r>
            <w:r>
              <w:rPr>
                <w:rFonts w:ascii="Times New Roman" w:eastAsia="Times New Roman" w:hAnsi="Times New Roman"/>
              </w:rPr>
              <w:t>a</w:t>
            </w:r>
            <w:r w:rsidRPr="00DE43AB">
              <w:rPr>
                <w:rFonts w:ascii="Times New Roman" w:eastAsia="Times New Roman" w:hAnsi="Times New Roman"/>
              </w:rPr>
              <w:t xml:space="preserve">iškina mažesniu energijos vartojimu dėl švelnios žiemos ir silpnesniu nei įprasta </w:t>
            </w:r>
            <w:proofErr w:type="spellStart"/>
            <w:r w:rsidRPr="00DE43AB">
              <w:rPr>
                <w:rFonts w:ascii="Times New Roman" w:eastAsia="Times New Roman" w:hAnsi="Times New Roman"/>
              </w:rPr>
              <w:t>Airbus</w:t>
            </w:r>
            <w:proofErr w:type="spellEnd"/>
            <w:r w:rsidRPr="00DE43AB">
              <w:rPr>
                <w:rFonts w:ascii="Times New Roman" w:eastAsia="Times New Roman" w:hAnsi="Times New Roman"/>
              </w:rPr>
              <w:t xml:space="preserve"> eksportu.</w:t>
            </w:r>
          </w:p>
          <w:p w14:paraId="4E510497" w14:textId="41BAE6AE"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Nepaisant lėtėjančios ekonomikos, Prancūzijos vyriausybė ir toliau siekia mažinti biudžeto deficitą, griežtai kontroliuodama viešąsias išlaidas. Tačiau augant infliacijai ir silpstant ekonominiam aktyvumui, spaudimas viešiesiems finansams didėja.</w:t>
            </w:r>
          </w:p>
        </w:tc>
        <w:tc>
          <w:tcPr>
            <w:tcW w:w="2268" w:type="dxa"/>
            <w:tcMar>
              <w:top w:w="29" w:type="dxa"/>
              <w:left w:w="115" w:type="dxa"/>
              <w:bottom w:w="29" w:type="dxa"/>
              <w:right w:w="115" w:type="dxa"/>
            </w:tcMar>
          </w:tcPr>
          <w:p w14:paraId="1529EFBF" w14:textId="5F893CAF" w:rsidR="00DE43AB" w:rsidRPr="00C35A38" w:rsidRDefault="00DE43AB" w:rsidP="00DE43AB">
            <w:pPr>
              <w:spacing w:after="0" w:line="240" w:lineRule="auto"/>
              <w:rPr>
                <w:rFonts w:ascii="Times New Roman" w:eastAsia="Times New Roman" w:hAnsi="Times New Roman"/>
              </w:rPr>
            </w:pPr>
            <w:hyperlink r:id="rId19" w:history="1">
              <w:proofErr w:type="spellStart"/>
              <w:r w:rsidRPr="00C35A38">
                <w:rPr>
                  <w:rStyle w:val="Hyperlink"/>
                  <w:rFonts w:ascii="Times New Roman" w:eastAsia="Times New Roman" w:hAnsi="Times New Roman"/>
                </w:rPr>
                <w:t>Face</w:t>
              </w:r>
              <w:proofErr w:type="spellEnd"/>
              <w:r w:rsidRPr="00C35A38">
                <w:rPr>
                  <w:rStyle w:val="Hyperlink"/>
                  <w:rFonts w:ascii="Times New Roman" w:eastAsia="Times New Roman" w:hAnsi="Times New Roman"/>
                </w:rPr>
                <w:t xml:space="preserve"> à </w:t>
              </w:r>
              <w:proofErr w:type="spellStart"/>
              <w:r w:rsidRPr="00C35A38">
                <w:rPr>
                  <w:rStyle w:val="Hyperlink"/>
                  <w:rFonts w:ascii="Times New Roman" w:eastAsia="Times New Roman" w:hAnsi="Times New Roman"/>
                </w:rPr>
                <w:t>une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économie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en</w:t>
              </w:r>
              <w:proofErr w:type="spellEnd"/>
              <w:r w:rsidRPr="00C35A38">
                <w:rPr>
                  <w:rStyle w:val="Hyperlink"/>
                  <w:rFonts w:ascii="Times New Roman" w:eastAsia="Times New Roman" w:hAnsi="Times New Roman"/>
                </w:rPr>
                <w:t xml:space="preserve"> berne, </w:t>
              </w:r>
              <w:proofErr w:type="spellStart"/>
              <w:r w:rsidRPr="00C35A38">
                <w:rPr>
                  <w:rStyle w:val="Hyperlink"/>
                  <w:rFonts w:ascii="Times New Roman" w:eastAsia="Times New Roman" w:hAnsi="Times New Roman"/>
                </w:rPr>
                <w:t>le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gouvernement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en</w:t>
              </w:r>
              <w:proofErr w:type="spellEnd"/>
              <w:r w:rsidRPr="00C35A38">
                <w:rPr>
                  <w:rStyle w:val="Hyperlink"/>
                  <w:rFonts w:ascii="Times New Roman" w:eastAsia="Times New Roman" w:hAnsi="Times New Roman"/>
                </w:rPr>
                <w:t> </w:t>
              </w:r>
              <w:proofErr w:type="spellStart"/>
              <w:r w:rsidRPr="00C35A38">
                <w:rPr>
                  <w:rStyle w:val="Hyperlink"/>
                  <w:rFonts w:ascii="Times New Roman" w:eastAsia="Times New Roman" w:hAnsi="Times New Roman"/>
                </w:rPr>
                <w:t>pleine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crise</w:t>
              </w:r>
              <w:proofErr w:type="spellEnd"/>
              <w:r w:rsidRPr="00C35A38">
                <w:rPr>
                  <w:rStyle w:val="Hyperlink"/>
                  <w:rFonts w:ascii="Times New Roman" w:eastAsia="Times New Roman" w:hAnsi="Times New Roman"/>
                </w:rPr>
                <w:t xml:space="preserve"> de </w:t>
              </w:r>
              <w:proofErr w:type="spellStart"/>
              <w:r w:rsidRPr="00C35A38">
                <w:rPr>
                  <w:rStyle w:val="Hyperlink"/>
                  <w:rFonts w:ascii="Times New Roman" w:eastAsia="Times New Roman" w:hAnsi="Times New Roman"/>
                </w:rPr>
                <w:t>croissance</w:t>
              </w:r>
              <w:proofErr w:type="spellEnd"/>
              <w:r w:rsidRPr="00C35A38">
                <w:rPr>
                  <w:rStyle w:val="Hyperlink"/>
                  <w:rFonts w:ascii="Times New Roman" w:eastAsia="Times New Roman" w:hAnsi="Times New Roman"/>
                </w:rPr>
                <w:t xml:space="preserve"> – </w:t>
              </w:r>
              <w:proofErr w:type="spellStart"/>
              <w:r w:rsidRPr="00C35A38">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04DF3287" w14:textId="566C894F" w:rsidR="00DE43AB" w:rsidRPr="002F1AF8" w:rsidRDefault="00DE43AB" w:rsidP="00DE43AB">
            <w:pPr>
              <w:spacing w:after="0" w:line="240" w:lineRule="auto"/>
              <w:rPr>
                <w:rFonts w:ascii="Times New Roman" w:hAnsi="Times New Roman"/>
              </w:rPr>
            </w:pPr>
            <w:r w:rsidRPr="00793FE2">
              <w:rPr>
                <w:rFonts w:ascii="Times New Roman" w:hAnsi="Times New Roman"/>
              </w:rPr>
              <w:t>Prancūzijos ekonomika praranda pagreitį, infliacija vėl kyla, o recesijos rizika tampa vis realesnė</w:t>
            </w:r>
          </w:p>
        </w:tc>
      </w:tr>
      <w:tr w:rsidR="00DE43AB" w:rsidRPr="00640017" w14:paraId="4B5FA96F" w14:textId="77777777" w:rsidTr="00B869D6">
        <w:trPr>
          <w:gridAfter w:val="1"/>
          <w:wAfter w:w="11" w:type="dxa"/>
          <w:trHeight w:val="216"/>
        </w:trPr>
        <w:tc>
          <w:tcPr>
            <w:tcW w:w="1418" w:type="dxa"/>
            <w:tcMar>
              <w:top w:w="29" w:type="dxa"/>
              <w:left w:w="115" w:type="dxa"/>
              <w:bottom w:w="29" w:type="dxa"/>
              <w:right w:w="115" w:type="dxa"/>
            </w:tcMar>
          </w:tcPr>
          <w:p w14:paraId="2AED7403"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2026-05-31</w:t>
            </w:r>
          </w:p>
          <w:p w14:paraId="000EBADF" w14:textId="604BE525" w:rsidR="00DE43AB" w:rsidRPr="00FD176A"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1ACF89FF" w14:textId="37230521"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 xml:space="preserve">Prancūzijos prezidento E. </w:t>
            </w:r>
            <w:proofErr w:type="spellStart"/>
            <w:r w:rsidRPr="00DE43AB">
              <w:rPr>
                <w:rFonts w:ascii="Times New Roman" w:eastAsia="Times New Roman" w:hAnsi="Times New Roman"/>
              </w:rPr>
              <w:t>Macrono</w:t>
            </w:r>
            <w:proofErr w:type="spellEnd"/>
            <w:r w:rsidRPr="00DE43AB">
              <w:rPr>
                <w:rFonts w:ascii="Times New Roman" w:eastAsia="Times New Roman" w:hAnsi="Times New Roman"/>
              </w:rPr>
              <w:t xml:space="preserve"> iniciatyva „</w:t>
            </w:r>
            <w:proofErr w:type="spellStart"/>
            <w:r w:rsidRPr="00DE43AB">
              <w:rPr>
                <w:rFonts w:ascii="Times New Roman" w:eastAsia="Times New Roman" w:hAnsi="Times New Roman"/>
              </w:rPr>
              <w:t>Choose</w:t>
            </w:r>
            <w:proofErr w:type="spellEnd"/>
            <w:r w:rsidRPr="00DE43AB">
              <w:rPr>
                <w:rFonts w:ascii="Times New Roman" w:eastAsia="Times New Roman" w:hAnsi="Times New Roman"/>
              </w:rPr>
              <w:t xml:space="preserve"> France“, pradėta 2018 m. siekiant stiprinti šalies investicinį patrauklumą, per devynerius metus pritraukė 230 investicinių projektų, kurių bendra vertė siekia 87 mlrd. eurų. Projektų dėka sukurta apie 50 tūkst. darbo vietų, o du trečdaliai investicijų nukreipti į mažesnius regionų miestus.</w:t>
            </w:r>
          </w:p>
          <w:p w14:paraId="06F961FF" w14:textId="54DCD6A3"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Didžiausią investicijų dalį sudarė technologijų, dirbtinio intelekto ir duomenų centrų projektai. Tarp reikšmingiausių investuotojų – „</w:t>
            </w:r>
            <w:proofErr w:type="spellStart"/>
            <w:r w:rsidRPr="00DE43AB">
              <w:rPr>
                <w:rFonts w:ascii="Times New Roman" w:eastAsia="Times New Roman" w:hAnsi="Times New Roman"/>
              </w:rPr>
              <w:t>SoftBank</w:t>
            </w:r>
            <w:proofErr w:type="spellEnd"/>
            <w:r w:rsidRPr="00DE43AB">
              <w:rPr>
                <w:rFonts w:ascii="Times New Roman" w:eastAsia="Times New Roman" w:hAnsi="Times New Roman"/>
              </w:rPr>
              <w:t>“, AWS („Amazon“), „Microsoft“, „</w:t>
            </w:r>
            <w:proofErr w:type="spellStart"/>
            <w:r w:rsidRPr="00DE43AB">
              <w:rPr>
                <w:rFonts w:ascii="Times New Roman" w:eastAsia="Times New Roman" w:hAnsi="Times New Roman"/>
              </w:rPr>
              <w:t>Brookfield</w:t>
            </w:r>
            <w:proofErr w:type="spellEnd"/>
            <w:r w:rsidRPr="00DE43AB">
              <w:rPr>
                <w:rFonts w:ascii="Times New Roman" w:eastAsia="Times New Roman" w:hAnsi="Times New Roman"/>
              </w:rPr>
              <w:t>“, „</w:t>
            </w:r>
            <w:proofErr w:type="spellStart"/>
            <w:r w:rsidRPr="00DE43AB">
              <w:rPr>
                <w:rFonts w:ascii="Times New Roman" w:eastAsia="Times New Roman" w:hAnsi="Times New Roman"/>
              </w:rPr>
              <w:t>Prologis</w:t>
            </w:r>
            <w:proofErr w:type="spellEnd"/>
            <w:r w:rsidRPr="00DE43AB">
              <w:rPr>
                <w:rFonts w:ascii="Times New Roman" w:eastAsia="Times New Roman" w:hAnsi="Times New Roman"/>
              </w:rPr>
              <w:t xml:space="preserve">“ ir „Digital </w:t>
            </w:r>
            <w:proofErr w:type="spellStart"/>
            <w:r w:rsidRPr="00DE43AB">
              <w:rPr>
                <w:rFonts w:ascii="Times New Roman" w:eastAsia="Times New Roman" w:hAnsi="Times New Roman"/>
              </w:rPr>
              <w:t>Realty</w:t>
            </w:r>
            <w:proofErr w:type="spellEnd"/>
            <w:r w:rsidRPr="00DE43AB">
              <w:rPr>
                <w:rFonts w:ascii="Times New Roman" w:eastAsia="Times New Roman" w:hAnsi="Times New Roman"/>
              </w:rPr>
              <w:t xml:space="preserve">“. Prancūzija aktyviai </w:t>
            </w:r>
            <w:proofErr w:type="spellStart"/>
            <w:r w:rsidRPr="00DE43AB">
              <w:rPr>
                <w:rFonts w:ascii="Times New Roman" w:eastAsia="Times New Roman" w:hAnsi="Times New Roman"/>
              </w:rPr>
              <w:t>pozicionuoja</w:t>
            </w:r>
            <w:proofErr w:type="spellEnd"/>
            <w:r w:rsidRPr="00DE43AB">
              <w:rPr>
                <w:rFonts w:ascii="Times New Roman" w:eastAsia="Times New Roman" w:hAnsi="Times New Roman"/>
              </w:rPr>
              <w:t xml:space="preserve"> save kaip vieną pagrindinių Europos dirbtinio intelekto ir duomenų centrų infrastruktūros plėtros centrų.</w:t>
            </w:r>
          </w:p>
          <w:p w14:paraId="007FB7AB" w14:textId="302A58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Pramonės sektoriuje svarbią vietą užima elektromobilių baterijų gamyba. Tarp didžiausių projektų</w:t>
            </w:r>
            <w:r w:rsidR="00621445">
              <w:rPr>
                <w:rFonts w:ascii="Times New Roman" w:eastAsia="Times New Roman" w:hAnsi="Times New Roman"/>
              </w:rPr>
              <w:t xml:space="preserve">: </w:t>
            </w:r>
            <w:r w:rsidRPr="00DE43AB">
              <w:rPr>
                <w:rFonts w:ascii="Times New Roman" w:eastAsia="Times New Roman" w:hAnsi="Times New Roman"/>
              </w:rPr>
              <w:t>Taivano bendrovės „</w:t>
            </w:r>
            <w:proofErr w:type="spellStart"/>
            <w:r w:rsidRPr="00DE43AB">
              <w:rPr>
                <w:rFonts w:ascii="Times New Roman" w:eastAsia="Times New Roman" w:hAnsi="Times New Roman"/>
              </w:rPr>
              <w:t>ProLogium</w:t>
            </w:r>
            <w:proofErr w:type="spellEnd"/>
            <w:r w:rsidRPr="00DE43AB">
              <w:rPr>
                <w:rFonts w:ascii="Times New Roman" w:eastAsia="Times New Roman" w:hAnsi="Times New Roman"/>
              </w:rPr>
              <w:t xml:space="preserve">“ 5,2 mlrd. eurų investicija bei „AESC </w:t>
            </w:r>
            <w:proofErr w:type="spellStart"/>
            <w:r w:rsidRPr="00DE43AB">
              <w:rPr>
                <w:rFonts w:ascii="Times New Roman" w:eastAsia="Times New Roman" w:hAnsi="Times New Roman"/>
              </w:rPr>
              <w:t>Envision</w:t>
            </w:r>
            <w:proofErr w:type="spellEnd"/>
            <w:r w:rsidRPr="00DE43AB">
              <w:rPr>
                <w:rFonts w:ascii="Times New Roman" w:eastAsia="Times New Roman" w:hAnsi="Times New Roman"/>
              </w:rPr>
              <w:t xml:space="preserve">“ baterijų gamykla </w:t>
            </w:r>
            <w:proofErr w:type="spellStart"/>
            <w:r w:rsidRPr="00DE43AB">
              <w:rPr>
                <w:rFonts w:ascii="Times New Roman" w:eastAsia="Times New Roman" w:hAnsi="Times New Roman"/>
              </w:rPr>
              <w:t>Douai</w:t>
            </w:r>
            <w:proofErr w:type="spellEnd"/>
            <w:r w:rsidRPr="00DE43AB">
              <w:rPr>
                <w:rFonts w:ascii="Times New Roman" w:eastAsia="Times New Roman" w:hAnsi="Times New Roman"/>
              </w:rPr>
              <w:t xml:space="preserve"> mieste.</w:t>
            </w:r>
          </w:p>
          <w:p w14:paraId="5FEEB350" w14:textId="7B38E448"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lastRenderedPageBreak/>
              <w:t>Po „Brexit“ Prancūzijai taip pat pavyko sustiprinti Paryžiaus, kaip finansų centro, pozicijas. Skaičiuojama, kad iš Londono į Paryžių buvo perkelta apie 5 500 darbo vietų, o didžiųjų JAV bankų („JP Morgan“, „</w:t>
            </w:r>
            <w:proofErr w:type="spellStart"/>
            <w:r w:rsidRPr="00DE43AB">
              <w:rPr>
                <w:rFonts w:ascii="Times New Roman" w:eastAsia="Times New Roman" w:hAnsi="Times New Roman"/>
              </w:rPr>
              <w:t>Goldman</w:t>
            </w:r>
            <w:proofErr w:type="spellEnd"/>
            <w:r w:rsidRPr="00DE43AB">
              <w:rPr>
                <w:rFonts w:ascii="Times New Roman" w:eastAsia="Times New Roman" w:hAnsi="Times New Roman"/>
              </w:rPr>
              <w:t xml:space="preserve"> </w:t>
            </w:r>
            <w:proofErr w:type="spellStart"/>
            <w:r w:rsidRPr="00DE43AB">
              <w:rPr>
                <w:rFonts w:ascii="Times New Roman" w:eastAsia="Times New Roman" w:hAnsi="Times New Roman"/>
              </w:rPr>
              <w:t>Sachs</w:t>
            </w:r>
            <w:proofErr w:type="spellEnd"/>
            <w:r w:rsidRPr="00DE43AB">
              <w:rPr>
                <w:rFonts w:ascii="Times New Roman" w:eastAsia="Times New Roman" w:hAnsi="Times New Roman"/>
              </w:rPr>
              <w:t xml:space="preserve">“, „Morgan </w:t>
            </w:r>
            <w:proofErr w:type="spellStart"/>
            <w:r w:rsidRPr="00DE43AB">
              <w:rPr>
                <w:rFonts w:ascii="Times New Roman" w:eastAsia="Times New Roman" w:hAnsi="Times New Roman"/>
              </w:rPr>
              <w:t>Stanley</w:t>
            </w:r>
            <w:proofErr w:type="spellEnd"/>
            <w:r w:rsidRPr="00DE43AB">
              <w:rPr>
                <w:rFonts w:ascii="Times New Roman" w:eastAsia="Times New Roman" w:hAnsi="Times New Roman"/>
              </w:rPr>
              <w:t>“) darbuotojų skaičius Prancūzijoje ženkliai išaugo.</w:t>
            </w:r>
          </w:p>
          <w:p w14:paraId="5023AE9D" w14:textId="6361F7D3" w:rsidR="00DE43AB" w:rsidRPr="007644BF"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Prancūzijos institucijų duomenimis, apie 95 proc. paskelbtų projektų yra įgyvendinti arba įgyvendinami, tačiau dalis investicijų susiduria su administraciniais vėlavimais, reguliaciniais iššūkiais ir finansavimo problemomis. Investuotojai vis dažniau kaip pagrindinius Prancūzijos privalumus įvardija mažai anglies dioksido išskiriančią branduoline energetika paremtą elektros gamybą, išvystytą infrastruktūrą ir kvalifikuotą darbo jėgą, tačiau kartu atkreipia dėmesį į politinio ir reguliacinio stabilumo svarbą.</w:t>
            </w:r>
          </w:p>
        </w:tc>
        <w:tc>
          <w:tcPr>
            <w:tcW w:w="2268" w:type="dxa"/>
            <w:tcMar>
              <w:top w:w="29" w:type="dxa"/>
              <w:left w:w="115" w:type="dxa"/>
              <w:bottom w:w="29" w:type="dxa"/>
              <w:right w:w="115" w:type="dxa"/>
            </w:tcMar>
          </w:tcPr>
          <w:p w14:paraId="03EEA052" w14:textId="3229F5BE" w:rsidR="00DE43AB" w:rsidRPr="00C35A38" w:rsidRDefault="00DE43AB" w:rsidP="00DE43AB">
            <w:pPr>
              <w:spacing w:after="0" w:line="240" w:lineRule="auto"/>
              <w:rPr>
                <w:rFonts w:ascii="Times New Roman" w:eastAsia="Times New Roman" w:hAnsi="Times New Roman"/>
              </w:rPr>
            </w:pPr>
            <w:hyperlink r:id="rId20" w:history="1">
              <w:r w:rsidRPr="00C35A38">
                <w:rPr>
                  <w:rStyle w:val="Hyperlink"/>
                  <w:rFonts w:ascii="Times New Roman" w:eastAsia="Times New Roman" w:hAnsi="Times New Roman"/>
                </w:rPr>
                <w:t xml:space="preserve">« Les </w:t>
              </w:r>
              <w:proofErr w:type="spellStart"/>
              <w:r w:rsidRPr="00C35A38">
                <w:rPr>
                  <w:rStyle w:val="Hyperlink"/>
                  <w:rFonts w:ascii="Times New Roman" w:eastAsia="Times New Roman" w:hAnsi="Times New Roman"/>
                </w:rPr>
                <w:t>investissements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étrangers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en</w:t>
              </w:r>
              <w:proofErr w:type="spellEnd"/>
              <w:r w:rsidRPr="00C35A38">
                <w:rPr>
                  <w:rStyle w:val="Hyperlink"/>
                  <w:rFonts w:ascii="Times New Roman" w:eastAsia="Times New Roman" w:hAnsi="Times New Roman"/>
                </w:rPr>
                <w:t xml:space="preserve"> France ne </w:t>
              </w:r>
              <w:proofErr w:type="spellStart"/>
              <w:r w:rsidRPr="00C35A38">
                <w:rPr>
                  <w:rStyle w:val="Hyperlink"/>
                  <w:rFonts w:ascii="Times New Roman" w:eastAsia="Times New Roman" w:hAnsi="Times New Roman"/>
                </w:rPr>
                <w:t>sont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plus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un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tabou</w:t>
              </w:r>
              <w:proofErr w:type="spellEnd"/>
              <w:r w:rsidRPr="00C35A38">
                <w:rPr>
                  <w:rStyle w:val="Hyperlink"/>
                  <w:rFonts w:ascii="Times New Roman" w:eastAsia="Times New Roman" w:hAnsi="Times New Roman"/>
                </w:rPr>
                <w:t xml:space="preserve"> » : </w:t>
              </w:r>
              <w:proofErr w:type="spellStart"/>
              <w:r w:rsidRPr="00C35A38">
                <w:rPr>
                  <w:rStyle w:val="Hyperlink"/>
                  <w:rFonts w:ascii="Times New Roman" w:eastAsia="Times New Roman" w:hAnsi="Times New Roman"/>
                </w:rPr>
                <w:t>neuf</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ans</w:t>
              </w:r>
              <w:proofErr w:type="spellEnd"/>
              <w:r w:rsidRPr="00C35A38">
                <w:rPr>
                  <w:rStyle w:val="Hyperlink"/>
                  <w:rFonts w:ascii="Times New Roman" w:eastAsia="Times New Roman" w:hAnsi="Times New Roman"/>
                </w:rPr>
                <w:t xml:space="preserve"> de </w:t>
              </w:r>
              <w:proofErr w:type="spellStart"/>
              <w:r w:rsidRPr="00C35A38">
                <w:rPr>
                  <w:rStyle w:val="Hyperlink"/>
                  <w:rFonts w:ascii="Times New Roman" w:eastAsia="Times New Roman" w:hAnsi="Times New Roman"/>
                </w:rPr>
                <w:t>Choose</w:t>
              </w:r>
              <w:proofErr w:type="spellEnd"/>
              <w:r w:rsidRPr="00C35A38">
                <w:rPr>
                  <w:rStyle w:val="Hyperlink"/>
                  <w:rFonts w:ascii="Times New Roman" w:eastAsia="Times New Roman" w:hAnsi="Times New Roman"/>
                </w:rPr>
                <w:t xml:space="preserve"> France </w:t>
              </w:r>
              <w:proofErr w:type="spellStart"/>
              <w:r w:rsidRPr="00C35A38">
                <w:rPr>
                  <w:rStyle w:val="Hyperlink"/>
                  <w:rFonts w:ascii="Times New Roman" w:eastAsia="Times New Roman" w:hAnsi="Times New Roman"/>
                </w:rPr>
                <w:t>entre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succès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fulgurants</w:t>
              </w:r>
              <w:proofErr w:type="spellEnd"/>
              <w:r w:rsidRPr="00C35A38">
                <w:rPr>
                  <w:rStyle w:val="Hyperlink"/>
                  <w:rFonts w:ascii="Times New Roman" w:eastAsia="Times New Roman" w:hAnsi="Times New Roman"/>
                </w:rPr>
                <w:t xml:space="preserve"> et </w:t>
              </w:r>
              <w:proofErr w:type="spellStart"/>
              <w:r w:rsidRPr="00C35A38">
                <w:rPr>
                  <w:rStyle w:val="Hyperlink"/>
                  <w:rFonts w:ascii="Times New Roman" w:eastAsia="Times New Roman" w:hAnsi="Times New Roman"/>
                </w:rPr>
                <w:t>promesses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en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suspens</w:t>
              </w:r>
              <w:proofErr w:type="spellEnd"/>
              <w:r w:rsidRPr="00C35A38">
                <w:rPr>
                  <w:rStyle w:val="Hyperlink"/>
                  <w:rFonts w:ascii="Times New Roman" w:eastAsia="Times New Roman" w:hAnsi="Times New Roman"/>
                </w:rPr>
                <w:t xml:space="preserve"> - Les </w:t>
              </w:r>
              <w:proofErr w:type="spellStart"/>
              <w:r w:rsidRPr="00C35A38">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677EE644"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w:t>
            </w:r>
            <w:proofErr w:type="spellStart"/>
            <w:r w:rsidRPr="00DE43AB">
              <w:rPr>
                <w:rFonts w:ascii="Times New Roman" w:eastAsia="Times New Roman" w:hAnsi="Times New Roman"/>
              </w:rPr>
              <w:t>Choose</w:t>
            </w:r>
            <w:proofErr w:type="spellEnd"/>
            <w:r w:rsidRPr="00DE43AB">
              <w:rPr>
                <w:rFonts w:ascii="Times New Roman" w:eastAsia="Times New Roman" w:hAnsi="Times New Roman"/>
              </w:rPr>
              <w:t xml:space="preserve"> France“ iniciatyva per 2018–2025 m. pritraukė 87 mlrd. eurų užsienio investicijų</w:t>
            </w:r>
          </w:p>
          <w:p w14:paraId="74891E63" w14:textId="49A2BFC4" w:rsidR="00DE43AB" w:rsidRPr="002F1AF8" w:rsidRDefault="00DE43AB" w:rsidP="00DE43AB">
            <w:pPr>
              <w:spacing w:after="0" w:line="240" w:lineRule="auto"/>
              <w:rPr>
                <w:rFonts w:ascii="Times New Roman" w:hAnsi="Times New Roman"/>
              </w:rPr>
            </w:pPr>
          </w:p>
        </w:tc>
      </w:tr>
      <w:tr w:rsidR="00DE43AB" w:rsidRPr="00640017" w14:paraId="3C3F80D7" w14:textId="77777777" w:rsidTr="00090377">
        <w:trPr>
          <w:trHeight w:val="234"/>
        </w:trPr>
        <w:tc>
          <w:tcPr>
            <w:tcW w:w="10945" w:type="dxa"/>
            <w:gridSpan w:val="5"/>
            <w:tcMar>
              <w:top w:w="29" w:type="dxa"/>
              <w:left w:w="115" w:type="dxa"/>
              <w:bottom w:w="29" w:type="dxa"/>
              <w:right w:w="115" w:type="dxa"/>
            </w:tcMar>
          </w:tcPr>
          <w:p w14:paraId="2FF3EFB3" w14:textId="77777777" w:rsidR="00DE43AB" w:rsidRPr="00C35A38" w:rsidRDefault="00DE43AB" w:rsidP="00DE43AB">
            <w:pPr>
              <w:spacing w:after="0" w:line="240" w:lineRule="auto"/>
              <w:rPr>
                <w:rFonts w:ascii="Times New Roman" w:eastAsia="Times New Roman" w:hAnsi="Times New Roman"/>
                <w:b/>
              </w:rPr>
            </w:pPr>
            <w:r w:rsidRPr="00C35A38">
              <w:rPr>
                <w:rFonts w:ascii="Times New Roman" w:eastAsia="Times New Roman" w:hAnsi="Times New Roman"/>
                <w:b/>
              </w:rPr>
              <w:t>Lietuvos turizmo sektoriui aktuali informacija</w:t>
            </w:r>
          </w:p>
        </w:tc>
      </w:tr>
      <w:tr w:rsidR="00DE43AB" w:rsidRPr="00640017" w14:paraId="16AE9719" w14:textId="77777777" w:rsidTr="00B869D6">
        <w:trPr>
          <w:gridAfter w:val="1"/>
          <w:wAfter w:w="11" w:type="dxa"/>
          <w:trHeight w:val="216"/>
        </w:trPr>
        <w:tc>
          <w:tcPr>
            <w:tcW w:w="1418" w:type="dxa"/>
            <w:tcMar>
              <w:top w:w="29" w:type="dxa"/>
              <w:left w:w="115" w:type="dxa"/>
              <w:bottom w:w="29" w:type="dxa"/>
              <w:right w:w="115" w:type="dxa"/>
            </w:tcMar>
          </w:tcPr>
          <w:p w14:paraId="5FD42237"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2026-05-13</w:t>
            </w:r>
          </w:p>
          <w:p w14:paraId="6B3E97A3" w14:textId="77777777" w:rsidR="00DE43AB" w:rsidRPr="00484E60" w:rsidRDefault="00DE43AB" w:rsidP="00DE43AB">
            <w:pPr>
              <w:pBdr>
                <w:top w:val="nil"/>
                <w:left w:val="nil"/>
                <w:bottom w:val="nil"/>
                <w:right w:val="nil"/>
                <w:between w:val="nil"/>
              </w:pBd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25C6757E" w14:textId="77777777" w:rsidR="00DE43AB" w:rsidRPr="00237285" w:rsidRDefault="00DE43AB" w:rsidP="00DE43AB">
            <w:pPr>
              <w:spacing w:after="0" w:line="240" w:lineRule="auto"/>
              <w:rPr>
                <w:rFonts w:ascii="Times New Roman" w:eastAsia="Times New Roman" w:hAnsi="Times New Roman"/>
              </w:rPr>
            </w:pPr>
            <w:proofErr w:type="spellStart"/>
            <w:r w:rsidRPr="00237285">
              <w:rPr>
                <w:rFonts w:ascii="Times New Roman" w:eastAsia="Times New Roman" w:hAnsi="Times New Roman"/>
              </w:rPr>
              <w:t>European</w:t>
            </w:r>
            <w:proofErr w:type="spellEnd"/>
            <w:r w:rsidRPr="00237285">
              <w:rPr>
                <w:rFonts w:ascii="Times New Roman" w:eastAsia="Times New Roman" w:hAnsi="Times New Roman"/>
              </w:rPr>
              <w:t xml:space="preserve"> </w:t>
            </w:r>
            <w:proofErr w:type="spellStart"/>
            <w:r w:rsidRPr="00237285">
              <w:rPr>
                <w:rFonts w:ascii="Times New Roman" w:eastAsia="Times New Roman" w:hAnsi="Times New Roman"/>
              </w:rPr>
              <w:t>Commission</w:t>
            </w:r>
            <w:proofErr w:type="spellEnd"/>
            <w:r w:rsidRPr="00237285">
              <w:rPr>
                <w:rFonts w:ascii="Times New Roman" w:eastAsia="Times New Roman" w:hAnsi="Times New Roman"/>
              </w:rPr>
              <w:t xml:space="preserve"> pristatė planą, kuriuo siekiama supaprastinti tarptautines keliones traukiniais Europoje. Pagrindinis tikslas – sudaryti galimybę keleiviams visą maršrutą rezervuoti vienoje platformoje ir įsigyti vieną bilietą visai kelionei.</w:t>
            </w:r>
          </w:p>
          <w:p w14:paraId="49961D5E" w14:textId="77777777" w:rsidR="00DE43AB" w:rsidRPr="00237285" w:rsidRDefault="00DE43AB" w:rsidP="00DE43AB">
            <w:pPr>
              <w:spacing w:after="0" w:line="240" w:lineRule="auto"/>
              <w:rPr>
                <w:rFonts w:ascii="Times New Roman" w:eastAsia="Times New Roman" w:hAnsi="Times New Roman"/>
              </w:rPr>
            </w:pPr>
            <w:r w:rsidRPr="00237285">
              <w:rPr>
                <w:rFonts w:ascii="Times New Roman" w:eastAsia="Times New Roman" w:hAnsi="Times New Roman"/>
              </w:rPr>
              <w:t>Pagal siūlomą modelį geležinkelių bendrovės turėtų dalytis bilietų duomenimis ir, galbūt, savo interneto svetainėse siūlyti konkurentų bilietus, kad keleiviai galėtų lengviau palyginti pasiūlymus ir planuoti keliones tarp skirtingų šalių.</w:t>
            </w:r>
          </w:p>
          <w:p w14:paraId="1EF17AA3" w14:textId="77777777" w:rsidR="00DE43AB" w:rsidRPr="00237285" w:rsidRDefault="00DE43AB" w:rsidP="00DE43AB">
            <w:pPr>
              <w:spacing w:after="0" w:line="240" w:lineRule="auto"/>
              <w:rPr>
                <w:rFonts w:ascii="Times New Roman" w:eastAsia="Times New Roman" w:hAnsi="Times New Roman"/>
              </w:rPr>
            </w:pPr>
            <w:r w:rsidRPr="00237285">
              <w:rPr>
                <w:rFonts w:ascii="Times New Roman" w:eastAsia="Times New Roman" w:hAnsi="Times New Roman"/>
              </w:rPr>
              <w:t>Europos Komisija taip pat siekia sustiprinti keleivių teises, ypač dėl kompensacijų ir galimybės tęsti kelionę kitu traukiniu praleidus jungtį.</w:t>
            </w:r>
          </w:p>
          <w:p w14:paraId="5B4C38C1" w14:textId="5C098FF8" w:rsidR="00DE43AB" w:rsidRPr="00983BBC" w:rsidRDefault="00DE43AB" w:rsidP="00DE43AB">
            <w:pPr>
              <w:spacing w:after="0" w:line="240" w:lineRule="auto"/>
              <w:rPr>
                <w:rFonts w:ascii="Times New Roman" w:eastAsia="Times New Roman" w:hAnsi="Times New Roman"/>
              </w:rPr>
            </w:pPr>
            <w:r w:rsidRPr="00237285">
              <w:rPr>
                <w:rFonts w:ascii="Times New Roman" w:eastAsia="Times New Roman" w:hAnsi="Times New Roman"/>
              </w:rPr>
              <w:t>Geležinkelių bendrovės šiam planui priešinasi, teigdamos, kad būtų priverstos reklamuoti konkurentų paslaugas. Tačiau projekto šalininkai mano, kad didesnė konkurencija pagerins paslaugų kokybę ir sumažins kainas.</w:t>
            </w:r>
          </w:p>
        </w:tc>
        <w:tc>
          <w:tcPr>
            <w:tcW w:w="2268" w:type="dxa"/>
            <w:tcMar>
              <w:top w:w="29" w:type="dxa"/>
              <w:left w:w="115" w:type="dxa"/>
              <w:bottom w:w="29" w:type="dxa"/>
              <w:right w:w="115" w:type="dxa"/>
            </w:tcMar>
          </w:tcPr>
          <w:p w14:paraId="162A3DBA" w14:textId="3EEC4133" w:rsidR="00DE43AB" w:rsidRPr="00C35A38" w:rsidRDefault="00DE43AB" w:rsidP="00DE43AB">
            <w:pPr>
              <w:pBdr>
                <w:top w:val="nil"/>
                <w:left w:val="nil"/>
                <w:bottom w:val="nil"/>
                <w:right w:val="nil"/>
                <w:between w:val="nil"/>
              </w:pBdr>
              <w:spacing w:after="0" w:line="240" w:lineRule="auto"/>
              <w:ind w:left="52"/>
              <w:rPr>
                <w:rFonts w:ascii="Times New Roman" w:eastAsia="Times New Roman" w:hAnsi="Times New Roman"/>
              </w:rPr>
            </w:pPr>
            <w:hyperlink r:id="rId21" w:history="1">
              <w:proofErr w:type="spellStart"/>
              <w:r w:rsidRPr="00C35A38">
                <w:rPr>
                  <w:rStyle w:val="Hyperlink"/>
                  <w:rFonts w:ascii="Times New Roman" w:eastAsia="Times New Roman" w:hAnsi="Times New Roman"/>
                </w:rPr>
                <w:t>Un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trajet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un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billet</w:t>
              </w:r>
              <w:proofErr w:type="spellEnd"/>
              <w:r w:rsidRPr="00C35A38">
                <w:rPr>
                  <w:rStyle w:val="Hyperlink"/>
                  <w:rFonts w:ascii="Times New Roman" w:eastAsia="Times New Roman" w:hAnsi="Times New Roman"/>
                </w:rPr>
                <w:t xml:space="preserve"> : </w:t>
              </w:r>
              <w:proofErr w:type="spellStart"/>
              <w:r w:rsidRPr="00C35A38">
                <w:rPr>
                  <w:rStyle w:val="Hyperlink"/>
                  <w:rFonts w:ascii="Times New Roman" w:eastAsia="Times New Roman" w:hAnsi="Times New Roman"/>
                </w:rPr>
                <w:t>l’Europe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dévoile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son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projet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pour</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simplifier</w:t>
              </w:r>
              <w:proofErr w:type="spellEnd"/>
              <w:r w:rsidRPr="00C35A38">
                <w:rPr>
                  <w:rStyle w:val="Hyperlink"/>
                  <w:rFonts w:ascii="Times New Roman" w:eastAsia="Times New Roman" w:hAnsi="Times New Roman"/>
                </w:rPr>
                <w:t xml:space="preserve"> les </w:t>
              </w:r>
              <w:proofErr w:type="spellStart"/>
              <w:r w:rsidRPr="00C35A38">
                <w:rPr>
                  <w:rStyle w:val="Hyperlink"/>
                  <w:rFonts w:ascii="Times New Roman" w:eastAsia="Times New Roman" w:hAnsi="Times New Roman"/>
                </w:rPr>
                <w:t>voyages</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en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train</w:t>
              </w:r>
              <w:proofErr w:type="spellEnd"/>
              <w:r w:rsidRPr="00C35A38">
                <w:rPr>
                  <w:rStyle w:val="Hyperlink"/>
                  <w:rFonts w:ascii="Times New Roman" w:eastAsia="Times New Roman" w:hAnsi="Times New Roman"/>
                </w:rPr>
                <w:t xml:space="preserve"> – </w:t>
              </w:r>
              <w:proofErr w:type="spellStart"/>
              <w:r w:rsidRPr="00C35A38">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6D8EB47A" w14:textId="1B3BD8EB" w:rsidR="00DE43AB" w:rsidRPr="00640017" w:rsidRDefault="00DE43AB" w:rsidP="00DE43AB">
            <w:pPr>
              <w:pBdr>
                <w:top w:val="nil"/>
                <w:left w:val="nil"/>
                <w:bottom w:val="nil"/>
                <w:right w:val="nil"/>
                <w:between w:val="nil"/>
              </w:pBdr>
              <w:spacing w:after="0" w:line="240" w:lineRule="auto"/>
              <w:rPr>
                <w:rFonts w:ascii="Times New Roman" w:eastAsia="Times New Roman" w:hAnsi="Times New Roman"/>
              </w:rPr>
            </w:pPr>
            <w:r w:rsidRPr="00237285">
              <w:rPr>
                <w:rFonts w:ascii="Times New Roman" w:eastAsia="Times New Roman" w:hAnsi="Times New Roman"/>
              </w:rPr>
              <w:t>ES siekia sukurti vientisesnę Europos geležinkelių sistemą</w:t>
            </w:r>
          </w:p>
        </w:tc>
      </w:tr>
      <w:tr w:rsidR="001063F7" w:rsidRPr="00640017" w14:paraId="6C2F777C" w14:textId="77777777" w:rsidTr="00223BC9">
        <w:trPr>
          <w:trHeight w:val="234"/>
        </w:trPr>
        <w:tc>
          <w:tcPr>
            <w:tcW w:w="10945" w:type="dxa"/>
            <w:gridSpan w:val="5"/>
            <w:tcMar>
              <w:top w:w="29" w:type="dxa"/>
              <w:left w:w="115" w:type="dxa"/>
              <w:bottom w:w="29" w:type="dxa"/>
              <w:right w:w="115" w:type="dxa"/>
            </w:tcMar>
          </w:tcPr>
          <w:p w14:paraId="06F47B6B" w14:textId="2DA6D575" w:rsidR="001063F7" w:rsidRPr="00C35A38" w:rsidRDefault="001063F7" w:rsidP="00223BC9">
            <w:pPr>
              <w:spacing w:after="0" w:line="240" w:lineRule="auto"/>
              <w:rPr>
                <w:rFonts w:ascii="Times New Roman" w:eastAsia="Times New Roman" w:hAnsi="Times New Roman"/>
                <w:b/>
              </w:rPr>
            </w:pPr>
            <w:r w:rsidRPr="00C35A38">
              <w:rPr>
                <w:rFonts w:ascii="Times New Roman" w:eastAsia="Times New Roman" w:hAnsi="Times New Roman"/>
                <w:b/>
              </w:rPr>
              <w:t>Lietuvos turizmo sektoriui aktuali informacija</w:t>
            </w:r>
          </w:p>
        </w:tc>
      </w:tr>
      <w:tr w:rsidR="001063F7" w:rsidRPr="00640017" w14:paraId="5ACC81B5" w14:textId="77777777" w:rsidTr="00B869D6">
        <w:trPr>
          <w:gridAfter w:val="1"/>
          <w:wAfter w:w="11" w:type="dxa"/>
          <w:trHeight w:val="216"/>
        </w:trPr>
        <w:tc>
          <w:tcPr>
            <w:tcW w:w="1418" w:type="dxa"/>
            <w:tcMar>
              <w:top w:w="29" w:type="dxa"/>
              <w:left w:w="115" w:type="dxa"/>
              <w:bottom w:w="29" w:type="dxa"/>
              <w:right w:w="115" w:type="dxa"/>
            </w:tcMar>
          </w:tcPr>
          <w:p w14:paraId="160A1B8A" w14:textId="10041CFC" w:rsidR="001063F7" w:rsidRDefault="001063F7" w:rsidP="00DE43AB">
            <w:pPr>
              <w:spacing w:after="0" w:line="240" w:lineRule="auto"/>
              <w:rPr>
                <w:rFonts w:ascii="Times New Roman" w:eastAsia="Times New Roman" w:hAnsi="Times New Roman"/>
              </w:rPr>
            </w:pPr>
            <w:r>
              <w:rPr>
                <w:rFonts w:ascii="Times New Roman" w:eastAsia="Times New Roman" w:hAnsi="Times New Roman"/>
              </w:rPr>
              <w:t>2026-05-16</w:t>
            </w:r>
          </w:p>
        </w:tc>
        <w:tc>
          <w:tcPr>
            <w:tcW w:w="5812" w:type="dxa"/>
            <w:tcMar>
              <w:top w:w="29" w:type="dxa"/>
              <w:left w:w="115" w:type="dxa"/>
              <w:bottom w:w="29" w:type="dxa"/>
              <w:right w:w="115" w:type="dxa"/>
            </w:tcMar>
          </w:tcPr>
          <w:p w14:paraId="0E83049F"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Prancūzijos turizmo sektoriaus atstovai fiksuoja reikšmingą Prancūzijos gyventojų kelionių į užsienį rezervacijų mažėjimą po krizės Artimuosiuose Rytuose pradžios. Kelionių organizatorių duomenimis, kovo–balandžio mėn. naujų rezervacijų apimtys sumažėjo apie 22 %, daugiausia dėl išaugusių aviacinio kuro kainų ir brangstančių skrydžių.</w:t>
            </w:r>
          </w:p>
          <w:p w14:paraId="1CCF37A7" w14:textId="40177EFE" w:rsidR="001063F7" w:rsidRPr="00237285"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Ryškiausias rezervacijų kritimas fiksuojamas tolimųjų atostogų krypčių segmente, ypač kelionėms į Azijos šalis – Tailandą, Vietnamą ir Indoneziją. Tuo metu Prancūzijos turistai dažniau renkasi artimesnes ir mažesnių išlaidų reikalaujančias kryptis, tokias kaip Ispanija, Tunisas ar Marokas, bei trumpesnės trukmės keliones.</w:t>
            </w:r>
          </w:p>
        </w:tc>
        <w:tc>
          <w:tcPr>
            <w:tcW w:w="2268" w:type="dxa"/>
            <w:tcMar>
              <w:top w:w="29" w:type="dxa"/>
              <w:left w:w="115" w:type="dxa"/>
              <w:bottom w:w="29" w:type="dxa"/>
              <w:right w:w="115" w:type="dxa"/>
            </w:tcMar>
          </w:tcPr>
          <w:p w14:paraId="5496D630" w14:textId="2BA917B4" w:rsidR="001063F7" w:rsidRPr="00C35A38" w:rsidRDefault="001063F7" w:rsidP="00DE43AB">
            <w:pPr>
              <w:pBdr>
                <w:top w:val="nil"/>
                <w:left w:val="nil"/>
                <w:bottom w:val="nil"/>
                <w:right w:val="nil"/>
                <w:between w:val="nil"/>
              </w:pBdr>
              <w:spacing w:after="0" w:line="240" w:lineRule="auto"/>
              <w:ind w:left="52"/>
              <w:rPr>
                <w:rFonts w:ascii="Times New Roman" w:hAnsi="Times New Roman"/>
              </w:rPr>
            </w:pPr>
            <w:hyperlink r:id="rId22" w:history="1">
              <w:proofErr w:type="spellStart"/>
              <w:r w:rsidRPr="00C35A38">
                <w:rPr>
                  <w:rFonts w:ascii="Times New Roman" w:hAnsi="Times New Roman"/>
                  <w:color w:val="0000FF"/>
                  <w:u w:val="single"/>
                </w:rPr>
                <w:t>Tourisme</w:t>
              </w:r>
              <w:proofErr w:type="spellEnd"/>
              <w:r w:rsidRPr="00C35A38">
                <w:rPr>
                  <w:rFonts w:ascii="Times New Roman" w:hAnsi="Times New Roman"/>
                  <w:color w:val="0000FF"/>
                  <w:u w:val="single"/>
                </w:rPr>
                <w:t xml:space="preserve"> : les </w:t>
              </w:r>
              <w:proofErr w:type="spellStart"/>
              <w:r w:rsidRPr="00C35A38">
                <w:rPr>
                  <w:rFonts w:ascii="Times New Roman" w:hAnsi="Times New Roman"/>
                  <w:color w:val="0000FF"/>
                  <w:u w:val="single"/>
                </w:rPr>
                <w:t>réservations</w:t>
              </w:r>
              <w:proofErr w:type="spellEnd"/>
              <w:r w:rsidRPr="00C35A38">
                <w:rPr>
                  <w:rFonts w:ascii="Times New Roman" w:hAnsi="Times New Roman"/>
                  <w:color w:val="0000FF"/>
                  <w:u w:val="single"/>
                </w:rPr>
                <w:t xml:space="preserve"> de </w:t>
              </w:r>
              <w:proofErr w:type="spellStart"/>
              <w:r w:rsidRPr="00C35A38">
                <w:rPr>
                  <w:rFonts w:ascii="Times New Roman" w:hAnsi="Times New Roman"/>
                  <w:color w:val="0000FF"/>
                  <w:u w:val="single"/>
                </w:rPr>
                <w:t>voyages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en</w:t>
              </w:r>
              <w:proofErr w:type="spellEnd"/>
              <w:r w:rsidRPr="00C35A38">
                <w:rPr>
                  <w:rFonts w:ascii="Times New Roman" w:hAnsi="Times New Roman"/>
                  <w:color w:val="0000FF"/>
                  <w:u w:val="single"/>
                </w:rPr>
                <w:t xml:space="preserve"> net </w:t>
              </w:r>
              <w:proofErr w:type="spellStart"/>
              <w:r w:rsidRPr="00C35A38">
                <w:rPr>
                  <w:rFonts w:ascii="Times New Roman" w:hAnsi="Times New Roman"/>
                  <w:color w:val="0000FF"/>
                  <w:u w:val="single"/>
                </w:rPr>
                <w:t>recul</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chez</w:t>
              </w:r>
              <w:proofErr w:type="spellEnd"/>
              <w:r w:rsidRPr="00C35A38">
                <w:rPr>
                  <w:rFonts w:ascii="Times New Roman" w:hAnsi="Times New Roman"/>
                  <w:color w:val="0000FF"/>
                  <w:u w:val="single"/>
                </w:rPr>
                <w:t xml:space="preserve"> les </w:t>
              </w:r>
              <w:proofErr w:type="spellStart"/>
              <w:r w:rsidRPr="00C35A38">
                <w:rPr>
                  <w:rFonts w:ascii="Times New Roman" w:hAnsi="Times New Roman"/>
                  <w:color w:val="0000FF"/>
                  <w:u w:val="single"/>
                </w:rPr>
                <w:t>tour-opérateurs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français</w:t>
              </w:r>
              <w:proofErr w:type="spellEnd"/>
            </w:hyperlink>
          </w:p>
        </w:tc>
        <w:tc>
          <w:tcPr>
            <w:tcW w:w="1436" w:type="dxa"/>
            <w:tcMar>
              <w:top w:w="29" w:type="dxa"/>
              <w:left w:w="115" w:type="dxa"/>
              <w:bottom w:w="29" w:type="dxa"/>
              <w:right w:w="115" w:type="dxa"/>
            </w:tcMar>
          </w:tcPr>
          <w:p w14:paraId="1CD5E92D"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Prancūzijos turizmo sektoriuje mažėja tolimųjų kelionių paklausa</w:t>
            </w:r>
          </w:p>
          <w:p w14:paraId="39A3C515" w14:textId="77777777" w:rsidR="001063F7" w:rsidRPr="00237285" w:rsidRDefault="001063F7" w:rsidP="00DE43AB">
            <w:pPr>
              <w:pBdr>
                <w:top w:val="nil"/>
                <w:left w:val="nil"/>
                <w:bottom w:val="nil"/>
                <w:right w:val="nil"/>
                <w:between w:val="nil"/>
              </w:pBdr>
              <w:spacing w:after="0" w:line="240" w:lineRule="auto"/>
              <w:rPr>
                <w:rFonts w:ascii="Times New Roman" w:eastAsia="Times New Roman" w:hAnsi="Times New Roman"/>
              </w:rPr>
            </w:pPr>
          </w:p>
        </w:tc>
      </w:tr>
      <w:tr w:rsidR="00DE43AB" w:rsidRPr="00640017" w14:paraId="3DAB833A" w14:textId="77777777" w:rsidTr="00090377">
        <w:trPr>
          <w:trHeight w:val="234"/>
        </w:trPr>
        <w:tc>
          <w:tcPr>
            <w:tcW w:w="10945" w:type="dxa"/>
            <w:gridSpan w:val="5"/>
            <w:tcMar>
              <w:top w:w="29" w:type="dxa"/>
              <w:left w:w="115" w:type="dxa"/>
              <w:bottom w:w="29" w:type="dxa"/>
              <w:right w:w="115" w:type="dxa"/>
            </w:tcMar>
          </w:tcPr>
          <w:p w14:paraId="42E7476A" w14:textId="77777777" w:rsidR="00DE43AB" w:rsidRPr="00C35A38" w:rsidRDefault="00DE43AB" w:rsidP="00DE43AB">
            <w:pPr>
              <w:spacing w:after="0" w:line="240" w:lineRule="auto"/>
              <w:rPr>
                <w:rFonts w:ascii="Times New Roman" w:eastAsia="Times New Roman" w:hAnsi="Times New Roman"/>
                <w:b/>
              </w:rPr>
            </w:pPr>
            <w:r w:rsidRPr="00C35A38">
              <w:rPr>
                <w:rFonts w:ascii="Times New Roman" w:eastAsia="Times New Roman" w:hAnsi="Times New Roman"/>
                <w:b/>
              </w:rPr>
              <w:t>Bendradarbiavimui MTEPI</w:t>
            </w:r>
            <w:r w:rsidRPr="00C35A38">
              <w:rPr>
                <w:rFonts w:ascii="Times New Roman" w:eastAsia="Times New Roman" w:hAnsi="Times New Roman"/>
                <w:b/>
                <w:vertAlign w:val="superscript"/>
              </w:rPr>
              <w:footnoteReference w:id="1"/>
            </w:r>
            <w:r w:rsidRPr="00C35A38">
              <w:rPr>
                <w:rFonts w:ascii="Times New Roman" w:eastAsia="Times New Roman" w:hAnsi="Times New Roman"/>
                <w:b/>
              </w:rPr>
              <w:t xml:space="preserve"> srityse aktuali informacija</w:t>
            </w:r>
          </w:p>
        </w:tc>
      </w:tr>
      <w:tr w:rsidR="00DE43AB" w:rsidRPr="00640017" w14:paraId="52A2F232"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77D61A1D" w14:textId="3C32B7CF" w:rsidR="00DE43AB" w:rsidRPr="00530B56" w:rsidRDefault="00530B56" w:rsidP="00DE43AB">
            <w:pPr>
              <w:spacing w:after="0" w:line="240" w:lineRule="auto"/>
              <w:rPr>
                <w:rFonts w:ascii="Times New Roman" w:eastAsia="Times New Roman" w:hAnsi="Times New Roman"/>
                <w:lang w:val="en-US"/>
              </w:rPr>
            </w:pPr>
            <w:r>
              <w:rPr>
                <w:rFonts w:ascii="Times New Roman" w:eastAsia="Times New Roman" w:hAnsi="Times New Roman"/>
                <w:lang w:val="en-US"/>
              </w:rPr>
              <w:t>2026-05-29</w:t>
            </w:r>
          </w:p>
        </w:tc>
        <w:tc>
          <w:tcPr>
            <w:tcW w:w="5812" w:type="dxa"/>
            <w:tcMar>
              <w:top w:w="29" w:type="dxa"/>
              <w:left w:w="115" w:type="dxa"/>
              <w:bottom w:w="29" w:type="dxa"/>
              <w:right w:w="115" w:type="dxa"/>
            </w:tcMar>
          </w:tcPr>
          <w:p w14:paraId="6BB4C6C4" w14:textId="7AFB2046" w:rsidR="00DE43AB" w:rsidRPr="00FD1671" w:rsidRDefault="00530B56" w:rsidP="00071B21">
            <w:pPr>
              <w:pBdr>
                <w:top w:val="nil"/>
                <w:left w:val="nil"/>
                <w:bottom w:val="nil"/>
                <w:right w:val="nil"/>
                <w:between w:val="nil"/>
              </w:pBdr>
              <w:spacing w:after="0" w:line="240" w:lineRule="auto"/>
              <w:rPr>
                <w:rFonts w:ascii="Times New Roman" w:eastAsia="Times New Roman" w:hAnsi="Times New Roman"/>
              </w:rPr>
            </w:pPr>
            <w:r w:rsidRPr="00530B56">
              <w:rPr>
                <w:rFonts w:ascii="Times New Roman" w:eastAsia="Times New Roman" w:hAnsi="Times New Roman"/>
              </w:rPr>
              <w:t>Prancūzijos aukštojo mokslo sistema susiduria su augančiu spaudimu dėl 2010 m. gimstamumo piko kartos atėjimo į universitetus. Studentų skaičius šalyje jau viršijo 3 mln., tačiau universitetai perspėja, kad finansavimas, personalo ištekliai ir siūlomų studijų vietų skaičius neauga pakankamai sparčiai. Ekspertų vertinimu, tai gali turėti neigiamos įtakos studijų kokybei, mokslinių tyrimų pajėgumams ir kvalifikuotų specialistų rengimui ateityje.</w:t>
            </w:r>
          </w:p>
        </w:tc>
        <w:tc>
          <w:tcPr>
            <w:tcW w:w="2268" w:type="dxa"/>
            <w:tcBorders>
              <w:bottom w:val="single" w:sz="4" w:space="0" w:color="000000"/>
            </w:tcBorders>
            <w:tcMar>
              <w:top w:w="29" w:type="dxa"/>
              <w:left w:w="115" w:type="dxa"/>
              <w:bottom w:w="29" w:type="dxa"/>
              <w:right w:w="115" w:type="dxa"/>
            </w:tcMar>
          </w:tcPr>
          <w:p w14:paraId="113A2D57" w14:textId="155D2510" w:rsidR="00DE43AB" w:rsidRPr="00C35A38" w:rsidRDefault="00530B56" w:rsidP="00DE43AB">
            <w:pPr>
              <w:spacing w:after="0" w:line="240" w:lineRule="auto"/>
              <w:rPr>
                <w:rFonts w:ascii="Times New Roman" w:eastAsia="Times New Roman" w:hAnsi="Times New Roman"/>
              </w:rPr>
            </w:pPr>
            <w:hyperlink r:id="rId23" w:history="1">
              <w:r w:rsidRPr="00C35A38">
                <w:rPr>
                  <w:rFonts w:ascii="Times New Roman" w:hAnsi="Times New Roman"/>
                  <w:color w:val="0000FF"/>
                  <w:u w:val="single"/>
                </w:rPr>
                <w:t>« </w:t>
              </w:r>
              <w:proofErr w:type="spellStart"/>
              <w:r w:rsidRPr="00C35A38">
                <w:rPr>
                  <w:rFonts w:ascii="Times New Roman" w:hAnsi="Times New Roman"/>
                  <w:color w:val="0000FF"/>
                  <w:u w:val="single"/>
                </w:rPr>
                <w:t>L’Etat</w:t>
              </w:r>
              <w:proofErr w:type="spellEnd"/>
              <w:r w:rsidRPr="00C35A38">
                <w:rPr>
                  <w:rFonts w:ascii="Times New Roman" w:hAnsi="Times New Roman"/>
                  <w:color w:val="0000FF"/>
                  <w:u w:val="single"/>
                </w:rPr>
                <w:t xml:space="preserve"> ne </w:t>
              </w:r>
              <w:proofErr w:type="spellStart"/>
              <w:r w:rsidRPr="00C35A38">
                <w:rPr>
                  <w:rFonts w:ascii="Times New Roman" w:hAnsi="Times New Roman"/>
                  <w:color w:val="0000FF"/>
                  <w:u w:val="single"/>
                </w:rPr>
                <w:t>se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donne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plus</w:t>
              </w:r>
              <w:proofErr w:type="spellEnd"/>
              <w:r w:rsidRPr="00C35A38">
                <w:rPr>
                  <w:rFonts w:ascii="Times New Roman" w:hAnsi="Times New Roman"/>
                  <w:color w:val="0000FF"/>
                  <w:u w:val="single"/>
                </w:rPr>
                <w:t xml:space="preserve"> les </w:t>
              </w:r>
              <w:proofErr w:type="spellStart"/>
              <w:r w:rsidRPr="00C35A38">
                <w:rPr>
                  <w:rFonts w:ascii="Times New Roman" w:hAnsi="Times New Roman"/>
                  <w:color w:val="0000FF"/>
                  <w:u w:val="single"/>
                </w:rPr>
                <w:t>moyens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d’accueillir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toutes</w:t>
              </w:r>
              <w:proofErr w:type="spellEnd"/>
              <w:r w:rsidRPr="00C35A38">
                <w:rPr>
                  <w:rFonts w:ascii="Times New Roman" w:hAnsi="Times New Roman"/>
                  <w:color w:val="0000FF"/>
                  <w:u w:val="single"/>
                </w:rPr>
                <w:t xml:space="preserve"> les </w:t>
              </w:r>
              <w:proofErr w:type="spellStart"/>
              <w:r w:rsidRPr="00C35A38">
                <w:rPr>
                  <w:rFonts w:ascii="Times New Roman" w:hAnsi="Times New Roman"/>
                  <w:color w:val="0000FF"/>
                  <w:u w:val="single"/>
                </w:rPr>
                <w:t>bachelières</w:t>
              </w:r>
              <w:proofErr w:type="spellEnd"/>
              <w:r w:rsidRPr="00C35A38">
                <w:rPr>
                  <w:rFonts w:ascii="Times New Roman" w:hAnsi="Times New Roman"/>
                  <w:color w:val="0000FF"/>
                  <w:u w:val="single"/>
                </w:rPr>
                <w:t xml:space="preserve"> et les </w:t>
              </w:r>
              <w:proofErr w:type="spellStart"/>
              <w:r w:rsidRPr="00C35A38">
                <w:rPr>
                  <w:rFonts w:ascii="Times New Roman" w:hAnsi="Times New Roman"/>
                  <w:color w:val="0000FF"/>
                  <w:u w:val="single"/>
                </w:rPr>
                <w:t>bacheliers</w:t>
              </w:r>
              <w:proofErr w:type="spellEnd"/>
              <w:r w:rsidRPr="00C35A38">
                <w:rPr>
                  <w:rFonts w:ascii="Times New Roman" w:hAnsi="Times New Roman"/>
                  <w:color w:val="0000FF"/>
                  <w:u w:val="single"/>
                </w:rPr>
                <w:t xml:space="preserve"> » : </w:t>
              </w:r>
              <w:proofErr w:type="spellStart"/>
              <w:r w:rsidRPr="00C35A38">
                <w:rPr>
                  <w:rFonts w:ascii="Times New Roman" w:hAnsi="Times New Roman"/>
                  <w:color w:val="0000FF"/>
                  <w:u w:val="single"/>
                </w:rPr>
                <w:t>l’enseignement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supérieur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en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peine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face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lastRenderedPageBreak/>
                <w:t>au</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pic</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démographique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des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étudiants</w:t>
              </w:r>
              <w:proofErr w:type="spellEnd"/>
            </w:hyperlink>
          </w:p>
        </w:tc>
        <w:tc>
          <w:tcPr>
            <w:tcW w:w="1436" w:type="dxa"/>
            <w:tcMar>
              <w:top w:w="29" w:type="dxa"/>
              <w:left w:w="115" w:type="dxa"/>
              <w:bottom w:w="29" w:type="dxa"/>
              <w:right w:w="115" w:type="dxa"/>
            </w:tcMar>
          </w:tcPr>
          <w:p w14:paraId="7FEA17E0" w14:textId="2B70FD62" w:rsidR="00DE43AB" w:rsidRPr="00640017" w:rsidRDefault="00E9739A" w:rsidP="00DE43AB">
            <w:pPr>
              <w:spacing w:after="0" w:line="240" w:lineRule="auto"/>
              <w:rPr>
                <w:rFonts w:ascii="Times New Roman" w:eastAsia="Times New Roman" w:hAnsi="Times New Roman"/>
              </w:rPr>
            </w:pPr>
            <w:r w:rsidRPr="00E9739A">
              <w:rPr>
                <w:rFonts w:ascii="Times New Roman" w:eastAsia="Times New Roman" w:hAnsi="Times New Roman"/>
              </w:rPr>
              <w:lastRenderedPageBreak/>
              <w:t>Didėjantis studentų skaičius apkrauna universitetus</w:t>
            </w:r>
          </w:p>
        </w:tc>
      </w:tr>
      <w:tr w:rsidR="00DE43AB" w:rsidRPr="00640017" w14:paraId="05D39CDE" w14:textId="77777777" w:rsidTr="00090377">
        <w:trPr>
          <w:trHeight w:val="234"/>
        </w:trPr>
        <w:tc>
          <w:tcPr>
            <w:tcW w:w="10945" w:type="dxa"/>
            <w:gridSpan w:val="5"/>
            <w:tcMar>
              <w:top w:w="29" w:type="dxa"/>
              <w:left w:w="115" w:type="dxa"/>
              <w:bottom w:w="29" w:type="dxa"/>
              <w:right w:w="115" w:type="dxa"/>
            </w:tcMar>
          </w:tcPr>
          <w:p w14:paraId="41376968" w14:textId="77777777" w:rsidR="00DE43AB" w:rsidRPr="00C35A38" w:rsidRDefault="00DE43AB" w:rsidP="00DE43AB">
            <w:pPr>
              <w:spacing w:after="0" w:line="240" w:lineRule="auto"/>
              <w:rPr>
                <w:rFonts w:ascii="Times New Roman" w:eastAsia="Times New Roman" w:hAnsi="Times New Roman"/>
                <w:b/>
              </w:rPr>
            </w:pPr>
            <w:r w:rsidRPr="00C35A38">
              <w:rPr>
                <w:rFonts w:ascii="Times New Roman" w:eastAsia="Times New Roman" w:hAnsi="Times New Roman"/>
                <w:b/>
              </w:rPr>
              <w:t xml:space="preserve">Lietuvos ekonominiam saugumui aktuali informacija </w:t>
            </w:r>
          </w:p>
        </w:tc>
      </w:tr>
      <w:tr w:rsidR="00DE43AB" w:rsidRPr="00640017" w14:paraId="2269CFA8" w14:textId="77777777" w:rsidTr="00B869D6">
        <w:trPr>
          <w:gridAfter w:val="1"/>
          <w:wAfter w:w="11" w:type="dxa"/>
          <w:trHeight w:val="234"/>
        </w:trPr>
        <w:tc>
          <w:tcPr>
            <w:tcW w:w="1418" w:type="dxa"/>
            <w:tcMar>
              <w:top w:w="29" w:type="dxa"/>
              <w:left w:w="115" w:type="dxa"/>
              <w:bottom w:w="29" w:type="dxa"/>
              <w:right w:w="115" w:type="dxa"/>
            </w:tcMar>
          </w:tcPr>
          <w:p w14:paraId="22359B36" w14:textId="3C93365B" w:rsidR="00DE43AB" w:rsidRPr="00E9739A" w:rsidRDefault="00E9739A" w:rsidP="00DE43AB">
            <w:pPr>
              <w:spacing w:after="0" w:line="240" w:lineRule="auto"/>
              <w:rPr>
                <w:rFonts w:ascii="Times New Roman" w:eastAsia="Times New Roman" w:hAnsi="Times New Roman"/>
                <w:lang w:val="en-US"/>
              </w:rPr>
            </w:pPr>
            <w:r>
              <w:rPr>
                <w:rFonts w:ascii="Times New Roman" w:eastAsia="Times New Roman" w:hAnsi="Times New Roman"/>
                <w:lang w:val="en-US"/>
              </w:rPr>
              <w:t>2026-05-14</w:t>
            </w:r>
          </w:p>
        </w:tc>
        <w:tc>
          <w:tcPr>
            <w:tcW w:w="5812" w:type="dxa"/>
            <w:tcMar>
              <w:top w:w="29" w:type="dxa"/>
              <w:left w:w="115" w:type="dxa"/>
              <w:bottom w:w="29" w:type="dxa"/>
              <w:right w:w="115" w:type="dxa"/>
            </w:tcMar>
          </w:tcPr>
          <w:p w14:paraId="2192B455" w14:textId="329826E2" w:rsidR="001B0D53" w:rsidRPr="001B0D53" w:rsidRDefault="001B0D53" w:rsidP="001B0D53">
            <w:pPr>
              <w:spacing w:after="0" w:line="240" w:lineRule="auto"/>
              <w:rPr>
                <w:rFonts w:ascii="Times New Roman" w:eastAsia="Times New Roman" w:hAnsi="Times New Roman"/>
              </w:rPr>
            </w:pPr>
            <w:r w:rsidRPr="001B0D53">
              <w:rPr>
                <w:rFonts w:ascii="Times New Roman" w:eastAsia="Times New Roman" w:hAnsi="Times New Roman"/>
              </w:rPr>
              <w:t>Prancūzijos tarptautinių santykių instituto (IFRI) ekspertai atkreipia dėmesį, kad kritinių žaliavų, puslaidininkių ir technologinių vertės grandinių kontrolė tampa vis svarbesniu geopolitinės konkurencijos elementu. Augant elektromobilių, baterijų, dirbtinio intelekto ir gynybos technologijų paklausai, didėja konkurencija dėl strateginių išteklių, o ekonominės priklausomybės vis dažniau naudojamos kaip geopolitinio spaudimo priemonė.</w:t>
            </w:r>
          </w:p>
          <w:p w14:paraId="7D9020AF" w14:textId="1FF97258" w:rsidR="00DE43AB" w:rsidRPr="0009694F" w:rsidRDefault="001B0D53" w:rsidP="001B0D53">
            <w:pPr>
              <w:spacing w:after="0" w:line="240" w:lineRule="auto"/>
              <w:rPr>
                <w:rFonts w:ascii="Times New Roman" w:eastAsia="Times New Roman" w:hAnsi="Times New Roman"/>
              </w:rPr>
            </w:pPr>
            <w:r w:rsidRPr="001B0D53">
              <w:rPr>
                <w:rFonts w:ascii="Times New Roman" w:eastAsia="Times New Roman" w:hAnsi="Times New Roman"/>
              </w:rPr>
              <w:t xml:space="preserve">Ekspertų vertinimu, </w:t>
            </w:r>
            <w:r>
              <w:rPr>
                <w:rFonts w:ascii="Times New Roman" w:eastAsia="Times New Roman" w:hAnsi="Times New Roman"/>
              </w:rPr>
              <w:t>ES</w:t>
            </w:r>
            <w:r w:rsidRPr="001B0D53">
              <w:rPr>
                <w:rFonts w:ascii="Times New Roman" w:eastAsia="Times New Roman" w:hAnsi="Times New Roman"/>
              </w:rPr>
              <w:t xml:space="preserve"> šioje konkurencijoje vis dar atsilieka nuo pagrindinių geopolitinių veikėjų ir turi spartinti veiksmus siekdama mažinti priklausomybę nuo trečiųjų šalių kritinėse srityse</w:t>
            </w:r>
            <w:r>
              <w:rPr>
                <w:rFonts w:ascii="Times New Roman" w:eastAsia="Times New Roman" w:hAnsi="Times New Roman"/>
              </w:rPr>
              <w:t>.</w:t>
            </w:r>
          </w:p>
        </w:tc>
        <w:tc>
          <w:tcPr>
            <w:tcW w:w="2268" w:type="dxa"/>
            <w:tcMar>
              <w:top w:w="29" w:type="dxa"/>
              <w:left w:w="115" w:type="dxa"/>
              <w:bottom w:w="29" w:type="dxa"/>
              <w:right w:w="115" w:type="dxa"/>
            </w:tcMar>
          </w:tcPr>
          <w:p w14:paraId="1D42D103" w14:textId="6E7BA5C2" w:rsidR="00DE43AB" w:rsidRPr="00C35A38" w:rsidRDefault="00E9739A" w:rsidP="00DE43AB">
            <w:pPr>
              <w:spacing w:after="0" w:line="240" w:lineRule="auto"/>
              <w:rPr>
                <w:rFonts w:ascii="Times New Roman" w:eastAsia="Times New Roman" w:hAnsi="Times New Roman"/>
              </w:rPr>
            </w:pPr>
            <w:hyperlink r:id="rId24" w:history="1">
              <w:proofErr w:type="spellStart"/>
              <w:r w:rsidRPr="00C35A38">
                <w:rPr>
                  <w:rFonts w:ascii="Times New Roman" w:hAnsi="Times New Roman"/>
                  <w:color w:val="0000FF"/>
                  <w:u w:val="single"/>
                </w:rPr>
                <w:t>Métamorphose</w:t>
              </w:r>
              <w:proofErr w:type="spellEnd"/>
              <w:r w:rsidRPr="00C35A38">
                <w:rPr>
                  <w:rFonts w:ascii="Times New Roman" w:hAnsi="Times New Roman"/>
                  <w:color w:val="0000FF"/>
                  <w:u w:val="single"/>
                </w:rPr>
                <w:t xml:space="preserve"> de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guerre</w:t>
              </w:r>
              <w:proofErr w:type="spellEnd"/>
              <w:r w:rsidRPr="00C35A38">
                <w:rPr>
                  <w:rFonts w:ascii="Times New Roman" w:hAnsi="Times New Roman"/>
                  <w:color w:val="0000FF"/>
                  <w:u w:val="single"/>
                </w:rPr>
                <w:t xml:space="preserve"> : « </w:t>
              </w:r>
              <w:proofErr w:type="spellStart"/>
              <w:r w:rsidRPr="00C35A38">
                <w:rPr>
                  <w:rFonts w:ascii="Times New Roman" w:hAnsi="Times New Roman"/>
                  <w:color w:val="0000FF"/>
                  <w:u w:val="single"/>
                </w:rPr>
                <w:t>Toutes</w:t>
              </w:r>
              <w:proofErr w:type="spellEnd"/>
              <w:r w:rsidRPr="00C35A38">
                <w:rPr>
                  <w:rFonts w:ascii="Times New Roman" w:hAnsi="Times New Roman"/>
                  <w:color w:val="0000FF"/>
                  <w:u w:val="single"/>
                </w:rPr>
                <w:t xml:space="preserve"> les </w:t>
              </w:r>
              <w:proofErr w:type="spellStart"/>
              <w:r w:rsidRPr="00C35A38">
                <w:rPr>
                  <w:rFonts w:ascii="Times New Roman" w:hAnsi="Times New Roman"/>
                  <w:color w:val="0000FF"/>
                  <w:u w:val="single"/>
                </w:rPr>
                <w:t>dépendances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des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minerais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aux</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monnaies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en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passant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par</w:t>
              </w:r>
              <w:proofErr w:type="spellEnd"/>
              <w:r w:rsidRPr="00C35A38">
                <w:rPr>
                  <w:rFonts w:ascii="Times New Roman" w:hAnsi="Times New Roman"/>
                  <w:color w:val="0000FF"/>
                  <w:u w:val="single"/>
                </w:rPr>
                <w:t xml:space="preserve"> les semi-</w:t>
              </w:r>
              <w:proofErr w:type="spellStart"/>
              <w:r w:rsidRPr="00C35A38">
                <w:rPr>
                  <w:rFonts w:ascii="Times New Roman" w:hAnsi="Times New Roman"/>
                  <w:color w:val="0000FF"/>
                  <w:u w:val="single"/>
                </w:rPr>
                <w:t>conducteurs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sont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désormais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arsenalisées</w:t>
              </w:r>
              <w:proofErr w:type="spellEnd"/>
              <w:r w:rsidRPr="00C35A38">
                <w:rPr>
                  <w:rFonts w:ascii="Times New Roman" w:hAnsi="Times New Roman"/>
                  <w:color w:val="0000FF"/>
                  <w:u w:val="single"/>
                </w:rPr>
                <w:t> »</w:t>
              </w:r>
            </w:hyperlink>
          </w:p>
        </w:tc>
        <w:tc>
          <w:tcPr>
            <w:tcW w:w="1436" w:type="dxa"/>
            <w:tcMar>
              <w:top w:w="29" w:type="dxa"/>
              <w:left w:w="115" w:type="dxa"/>
              <w:bottom w:w="29" w:type="dxa"/>
              <w:right w:w="115" w:type="dxa"/>
            </w:tcMar>
          </w:tcPr>
          <w:p w14:paraId="2759283F" w14:textId="5D76EF49" w:rsidR="00DE43AB" w:rsidRPr="00640017" w:rsidRDefault="00E9739A" w:rsidP="00DE43AB">
            <w:pPr>
              <w:rPr>
                <w:rFonts w:ascii="Times New Roman" w:eastAsia="Times New Roman" w:hAnsi="Times New Roman"/>
              </w:rPr>
            </w:pPr>
            <w:r w:rsidRPr="00E9739A">
              <w:rPr>
                <w:rFonts w:ascii="Times New Roman" w:eastAsia="Times New Roman" w:hAnsi="Times New Roman"/>
              </w:rPr>
              <w:t>Prancūzijos ekspertai perspėja dėl augančių priklausomybių nuo kritinių žaliavų ir technologijų</w:t>
            </w:r>
          </w:p>
        </w:tc>
      </w:tr>
      <w:tr w:rsidR="006859C1" w:rsidRPr="00530B56" w14:paraId="792C5589" w14:textId="77777777" w:rsidTr="00F01705">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7A5B54D4" w14:textId="77777777" w:rsidR="006859C1" w:rsidRDefault="006859C1" w:rsidP="00F01705">
            <w:pPr>
              <w:spacing w:after="0" w:line="240" w:lineRule="auto"/>
              <w:rPr>
                <w:rFonts w:ascii="Times New Roman" w:eastAsia="Times New Roman" w:hAnsi="Times New Roman"/>
                <w:lang w:val="en-US"/>
              </w:rPr>
            </w:pPr>
            <w:r>
              <w:rPr>
                <w:rFonts w:ascii="Times New Roman" w:eastAsia="Times New Roman" w:hAnsi="Times New Roman"/>
                <w:lang w:val="en-US"/>
              </w:rPr>
              <w:t>2026-05-22</w:t>
            </w:r>
          </w:p>
        </w:tc>
        <w:tc>
          <w:tcPr>
            <w:tcW w:w="5812" w:type="dxa"/>
            <w:tcMar>
              <w:top w:w="29" w:type="dxa"/>
              <w:left w:w="115" w:type="dxa"/>
              <w:bottom w:w="29" w:type="dxa"/>
              <w:right w:w="115" w:type="dxa"/>
            </w:tcMar>
          </w:tcPr>
          <w:p w14:paraId="1CD242DA" w14:textId="77777777" w:rsidR="006859C1" w:rsidRPr="001B0D53" w:rsidRDefault="006859C1" w:rsidP="00F01705">
            <w:pPr>
              <w:pBdr>
                <w:top w:val="nil"/>
                <w:left w:val="nil"/>
                <w:bottom w:val="nil"/>
                <w:right w:val="nil"/>
                <w:between w:val="nil"/>
              </w:pBdr>
              <w:spacing w:after="0" w:line="240" w:lineRule="auto"/>
              <w:rPr>
                <w:rFonts w:ascii="Times New Roman" w:eastAsia="Times New Roman" w:hAnsi="Times New Roman"/>
              </w:rPr>
            </w:pPr>
            <w:r w:rsidRPr="001B0D53">
              <w:rPr>
                <w:rFonts w:ascii="Times New Roman" w:eastAsia="Times New Roman" w:hAnsi="Times New Roman"/>
              </w:rPr>
              <w:t xml:space="preserve">Prancūzijos </w:t>
            </w:r>
            <w:r>
              <w:rPr>
                <w:rFonts w:ascii="Times New Roman" w:eastAsia="Times New Roman" w:hAnsi="Times New Roman"/>
              </w:rPr>
              <w:t>P</w:t>
            </w:r>
            <w:r w:rsidRPr="001B0D53">
              <w:rPr>
                <w:rFonts w:ascii="Times New Roman" w:eastAsia="Times New Roman" w:hAnsi="Times New Roman"/>
              </w:rPr>
              <w:t xml:space="preserve">rezidentas </w:t>
            </w:r>
            <w:r>
              <w:rPr>
                <w:rFonts w:ascii="Times New Roman" w:eastAsia="Times New Roman" w:hAnsi="Times New Roman"/>
              </w:rPr>
              <w:t>E.</w:t>
            </w:r>
            <w:r w:rsidRPr="001B0D53">
              <w:rPr>
                <w:rFonts w:ascii="Times New Roman" w:eastAsia="Times New Roman" w:hAnsi="Times New Roman"/>
              </w:rPr>
              <w:t xml:space="preserve"> </w:t>
            </w:r>
            <w:proofErr w:type="spellStart"/>
            <w:r w:rsidRPr="001B0D53">
              <w:rPr>
                <w:rFonts w:ascii="Times New Roman" w:eastAsia="Times New Roman" w:hAnsi="Times New Roman"/>
              </w:rPr>
              <w:t>Macronas</w:t>
            </w:r>
            <w:proofErr w:type="spellEnd"/>
            <w:r w:rsidRPr="001B0D53">
              <w:rPr>
                <w:rFonts w:ascii="Times New Roman" w:eastAsia="Times New Roman" w:hAnsi="Times New Roman"/>
              </w:rPr>
              <w:t xml:space="preserve"> paskelbė apie papildomas 1,55 mlrd. eurų investicijas į kvantinių technologijų ir puslaidininkių sektorius. Iš jų 1 mlrd. eurų bus skirtas nacionaliniam kvantinių technologijų planui, o 550 mln. eurų – būsimai </w:t>
            </w:r>
            <w:r>
              <w:rPr>
                <w:rFonts w:ascii="Times New Roman" w:eastAsia="Times New Roman" w:hAnsi="Times New Roman"/>
              </w:rPr>
              <w:t>ES</w:t>
            </w:r>
            <w:r w:rsidRPr="001B0D53">
              <w:rPr>
                <w:rFonts w:ascii="Times New Roman" w:eastAsia="Times New Roman" w:hAnsi="Times New Roman"/>
              </w:rPr>
              <w:t xml:space="preserve"> puslaidininkių programai. Investicijomis siekiama stiprinti Prancūzijos ir </w:t>
            </w:r>
            <w:r>
              <w:rPr>
                <w:rFonts w:ascii="Times New Roman" w:eastAsia="Times New Roman" w:hAnsi="Times New Roman"/>
              </w:rPr>
              <w:t xml:space="preserve">ES </w:t>
            </w:r>
            <w:r w:rsidRPr="001B0D53">
              <w:rPr>
                <w:rFonts w:ascii="Times New Roman" w:eastAsia="Times New Roman" w:hAnsi="Times New Roman"/>
              </w:rPr>
              <w:t>technologinį savarankiškumą dirbtinio intelekto, didelio našumo skaičiavimo ir duomenų centrų srityse.</w:t>
            </w:r>
          </w:p>
          <w:p w14:paraId="495B6628" w14:textId="77777777" w:rsidR="006859C1" w:rsidRPr="00530B56" w:rsidRDefault="006859C1" w:rsidP="00F01705">
            <w:pPr>
              <w:pBdr>
                <w:top w:val="nil"/>
                <w:left w:val="nil"/>
                <w:bottom w:val="nil"/>
                <w:right w:val="nil"/>
                <w:between w:val="nil"/>
              </w:pBdr>
              <w:spacing w:after="0" w:line="240" w:lineRule="auto"/>
              <w:rPr>
                <w:rFonts w:ascii="Times New Roman" w:eastAsia="Times New Roman" w:hAnsi="Times New Roman"/>
              </w:rPr>
            </w:pPr>
            <w:r w:rsidRPr="001B0D53">
              <w:rPr>
                <w:rFonts w:ascii="Times New Roman" w:eastAsia="Times New Roman" w:hAnsi="Times New Roman"/>
              </w:rPr>
              <w:t>Naujos lėšos papildys jau vykdomas programas: 2021–2025 m. kvantinių technologijų planui buvo skirta 1,8 mlrd. eurų, o puslaidininkių strategijai nuo 2022 m. – 5,5 mlrd. eurų. Prancūzija taip pat siekia stiprinti europinį bendradarbiavimą, skatindama bendras mokslinių tyrimų ir technologijų iniciatyvas tarp pagrindinių E</w:t>
            </w:r>
            <w:r>
              <w:rPr>
                <w:rFonts w:ascii="Times New Roman" w:eastAsia="Times New Roman" w:hAnsi="Times New Roman"/>
              </w:rPr>
              <w:t>S</w:t>
            </w:r>
            <w:r w:rsidRPr="001B0D53">
              <w:rPr>
                <w:rFonts w:ascii="Times New Roman" w:eastAsia="Times New Roman" w:hAnsi="Times New Roman"/>
              </w:rPr>
              <w:t xml:space="preserve"> mokslinių tyrimų institucijų.</w:t>
            </w:r>
          </w:p>
        </w:tc>
        <w:tc>
          <w:tcPr>
            <w:tcW w:w="2268" w:type="dxa"/>
            <w:tcBorders>
              <w:bottom w:val="single" w:sz="4" w:space="0" w:color="000000"/>
            </w:tcBorders>
            <w:tcMar>
              <w:top w:w="29" w:type="dxa"/>
              <w:left w:w="115" w:type="dxa"/>
              <w:bottom w:w="29" w:type="dxa"/>
              <w:right w:w="115" w:type="dxa"/>
            </w:tcMar>
          </w:tcPr>
          <w:p w14:paraId="526AF8E0" w14:textId="77777777" w:rsidR="006859C1" w:rsidRPr="00C35A38" w:rsidRDefault="006859C1" w:rsidP="00F01705">
            <w:pPr>
              <w:jc w:val="center"/>
              <w:rPr>
                <w:rFonts w:ascii="Times New Roman" w:hAnsi="Times New Roman"/>
              </w:rPr>
            </w:pPr>
            <w:hyperlink r:id="rId25" w:history="1">
              <w:r w:rsidRPr="00C35A38">
                <w:rPr>
                  <w:rFonts w:ascii="Times New Roman" w:hAnsi="Times New Roman"/>
                  <w:color w:val="0000FF"/>
                  <w:u w:val="single"/>
                </w:rPr>
                <w:t xml:space="preserve">Emmanuel </w:t>
              </w:r>
              <w:proofErr w:type="spellStart"/>
              <w:r w:rsidRPr="00C35A38">
                <w:rPr>
                  <w:rFonts w:ascii="Times New Roman" w:hAnsi="Times New Roman"/>
                  <w:color w:val="0000FF"/>
                  <w:u w:val="single"/>
                </w:rPr>
                <w:t>Macron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annonce</w:t>
              </w:r>
              <w:proofErr w:type="spellEnd"/>
              <w:r w:rsidRPr="00C35A38">
                <w:rPr>
                  <w:rFonts w:ascii="Times New Roman" w:hAnsi="Times New Roman"/>
                  <w:color w:val="0000FF"/>
                  <w:u w:val="single"/>
                </w:rPr>
                <w:t xml:space="preserve"> 1,55 </w:t>
              </w:r>
              <w:proofErr w:type="spellStart"/>
              <w:r w:rsidRPr="00C35A38">
                <w:rPr>
                  <w:rFonts w:ascii="Times New Roman" w:hAnsi="Times New Roman"/>
                  <w:color w:val="0000FF"/>
                  <w:u w:val="single"/>
                </w:rPr>
                <w:t>milliard</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d’euros</w:t>
              </w:r>
              <w:proofErr w:type="spellEnd"/>
              <w:r w:rsidRPr="00C35A38">
                <w:rPr>
                  <w:rFonts w:ascii="Times New Roman" w:hAnsi="Times New Roman"/>
                  <w:color w:val="0000FF"/>
                  <w:u w:val="single"/>
                </w:rPr>
                <w:t xml:space="preserve"> de </w:t>
              </w:r>
              <w:proofErr w:type="spellStart"/>
              <w:r w:rsidRPr="00C35A38">
                <w:rPr>
                  <w:rFonts w:ascii="Times New Roman" w:hAnsi="Times New Roman"/>
                  <w:color w:val="0000FF"/>
                  <w:u w:val="single"/>
                </w:rPr>
                <w:t>plus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pour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filière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quantique</w:t>
              </w:r>
              <w:proofErr w:type="spellEnd"/>
              <w:r w:rsidRPr="00C35A38">
                <w:rPr>
                  <w:rFonts w:ascii="Times New Roman" w:hAnsi="Times New Roman"/>
                  <w:color w:val="0000FF"/>
                  <w:u w:val="single"/>
                </w:rPr>
                <w:t xml:space="preserve"> et les semi-</w:t>
              </w:r>
              <w:proofErr w:type="spellStart"/>
              <w:r w:rsidRPr="00C35A38">
                <w:rPr>
                  <w:rFonts w:ascii="Times New Roman" w:hAnsi="Times New Roman"/>
                  <w:color w:val="0000FF"/>
                  <w:u w:val="single"/>
                </w:rPr>
                <w:t>conducteurs</w:t>
              </w:r>
              <w:proofErr w:type="spellEnd"/>
            </w:hyperlink>
          </w:p>
        </w:tc>
        <w:tc>
          <w:tcPr>
            <w:tcW w:w="1436" w:type="dxa"/>
            <w:tcMar>
              <w:top w:w="29" w:type="dxa"/>
              <w:left w:w="115" w:type="dxa"/>
              <w:bottom w:w="29" w:type="dxa"/>
              <w:right w:w="115" w:type="dxa"/>
            </w:tcMar>
          </w:tcPr>
          <w:p w14:paraId="6CDA9C3D" w14:textId="77777777" w:rsidR="006859C1" w:rsidRPr="001B0D53" w:rsidRDefault="006859C1" w:rsidP="00F01705">
            <w:pPr>
              <w:pBdr>
                <w:top w:val="nil"/>
                <w:left w:val="nil"/>
                <w:bottom w:val="nil"/>
                <w:right w:val="nil"/>
                <w:between w:val="nil"/>
              </w:pBdr>
              <w:spacing w:after="0" w:line="240" w:lineRule="auto"/>
              <w:rPr>
                <w:rFonts w:ascii="Times New Roman" w:eastAsia="Times New Roman" w:hAnsi="Times New Roman"/>
              </w:rPr>
            </w:pPr>
            <w:r w:rsidRPr="001B0D53">
              <w:rPr>
                <w:rFonts w:ascii="Times New Roman" w:eastAsia="Times New Roman" w:hAnsi="Times New Roman"/>
              </w:rPr>
              <w:t>Prancūzija didina investicijas į kvantines technologijas ir puslaidininkius</w:t>
            </w:r>
          </w:p>
          <w:p w14:paraId="19A8BB76" w14:textId="77777777" w:rsidR="006859C1" w:rsidRPr="00530B56" w:rsidRDefault="006859C1" w:rsidP="00F01705">
            <w:pPr>
              <w:spacing w:after="0" w:line="240" w:lineRule="auto"/>
              <w:rPr>
                <w:rFonts w:ascii="Times New Roman" w:eastAsia="Times New Roman" w:hAnsi="Times New Roman"/>
              </w:rPr>
            </w:pPr>
          </w:p>
        </w:tc>
      </w:tr>
      <w:tr w:rsidR="00DE43AB" w:rsidRPr="00640017"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DE43AB" w:rsidRPr="00C35A38" w:rsidRDefault="00DE43AB" w:rsidP="00DE43AB">
            <w:pPr>
              <w:spacing w:after="0" w:line="240" w:lineRule="auto"/>
              <w:rPr>
                <w:rFonts w:ascii="Times New Roman" w:eastAsia="Times New Roman" w:hAnsi="Times New Roman"/>
                <w:b/>
              </w:rPr>
            </w:pPr>
            <w:r w:rsidRPr="00C35A38">
              <w:rPr>
                <w:rFonts w:ascii="Times New Roman" w:eastAsia="Times New Roman" w:hAnsi="Times New Roman"/>
                <w:b/>
              </w:rPr>
              <w:t>Bendra ekonominė informacija</w:t>
            </w:r>
          </w:p>
        </w:tc>
      </w:tr>
      <w:tr w:rsidR="001063F7" w:rsidRPr="00640017" w14:paraId="5C7DD605" w14:textId="77777777" w:rsidTr="00B869D6">
        <w:trPr>
          <w:gridAfter w:val="1"/>
          <w:wAfter w:w="11" w:type="dxa"/>
          <w:trHeight w:val="216"/>
        </w:trPr>
        <w:tc>
          <w:tcPr>
            <w:tcW w:w="1418" w:type="dxa"/>
            <w:tcMar>
              <w:top w:w="29" w:type="dxa"/>
              <w:left w:w="115" w:type="dxa"/>
              <w:bottom w:w="29" w:type="dxa"/>
              <w:right w:w="115" w:type="dxa"/>
            </w:tcMar>
          </w:tcPr>
          <w:p w14:paraId="7B797A05" w14:textId="00B33DE2" w:rsidR="001063F7" w:rsidRDefault="001063F7" w:rsidP="00DE43AB">
            <w:pPr>
              <w:spacing w:after="0" w:line="240" w:lineRule="auto"/>
              <w:rPr>
                <w:rFonts w:ascii="Times New Roman" w:eastAsia="Times New Roman" w:hAnsi="Times New Roman"/>
                <w:lang w:val="en-US"/>
              </w:rPr>
            </w:pPr>
            <w:r>
              <w:rPr>
                <w:rFonts w:ascii="Times New Roman" w:eastAsia="Times New Roman" w:hAnsi="Times New Roman"/>
                <w:lang w:val="en-US"/>
              </w:rPr>
              <w:t>2026-05-07</w:t>
            </w:r>
          </w:p>
        </w:tc>
        <w:tc>
          <w:tcPr>
            <w:tcW w:w="5812" w:type="dxa"/>
            <w:tcMar>
              <w:top w:w="29" w:type="dxa"/>
              <w:left w:w="115" w:type="dxa"/>
              <w:bottom w:w="29" w:type="dxa"/>
              <w:right w:w="115" w:type="dxa"/>
            </w:tcMar>
          </w:tcPr>
          <w:p w14:paraId="338AB981"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 xml:space="preserve">2026 m. pirmąjį ketvirtį Prancūzijos prekybos deficitas padidėjo iki 14,1 mlrd. eurų, </w:t>
            </w:r>
            <w:proofErr w:type="spellStart"/>
            <w:r w:rsidRPr="001063F7">
              <w:rPr>
                <w:rFonts w:ascii="Times New Roman" w:eastAsia="Times New Roman" w:hAnsi="Times New Roman"/>
              </w:rPr>
              <w:t>t.y</w:t>
            </w:r>
            <w:proofErr w:type="spellEnd"/>
            <w:r w:rsidRPr="001063F7">
              <w:rPr>
                <w:rFonts w:ascii="Times New Roman" w:eastAsia="Times New Roman" w:hAnsi="Times New Roman"/>
              </w:rPr>
              <w:t>. 2,8 mlrd. eurų daugiau nei ankstesnį ketvirtį. Padėtį labiausiai pablogino išaugusios energijos importo išlaidos dėl karo Artimuosiuose Rytuose. Energijos importo vertė per metus išaugo daugiau kaip 11 %.</w:t>
            </w:r>
          </w:p>
          <w:p w14:paraId="7E4B0B92" w14:textId="6BFB558A"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 xml:space="preserve">Prancūzijos eksportas iš esmės </w:t>
            </w:r>
            <w:proofErr w:type="spellStart"/>
            <w:r w:rsidRPr="001063F7">
              <w:rPr>
                <w:rFonts w:ascii="Times New Roman" w:eastAsia="Times New Roman" w:hAnsi="Times New Roman"/>
              </w:rPr>
              <w:t>stagnavo</w:t>
            </w:r>
            <w:proofErr w:type="spellEnd"/>
            <w:r w:rsidRPr="001063F7">
              <w:rPr>
                <w:rFonts w:ascii="Times New Roman" w:eastAsia="Times New Roman" w:hAnsi="Times New Roman"/>
              </w:rPr>
              <w:t>, mažėjant orlaivių ir laivų tiekimams, eksportas į JAV pirmąjį ketvirtį sumažėjo 5 % dėl augančios prekybinės įtampos ir JAV muitų politikos. Prancūzijos muitinė pažymi, kad po pozityvių 2025-ųjų, šalis pirmąjį 2026 m. ketvirtį vėl pradėjo prarasti eksporto rinkos dalį.</w:t>
            </w:r>
          </w:p>
        </w:tc>
        <w:tc>
          <w:tcPr>
            <w:tcW w:w="2268" w:type="dxa"/>
            <w:tcMar>
              <w:top w:w="29" w:type="dxa"/>
              <w:left w:w="115" w:type="dxa"/>
              <w:bottom w:w="29" w:type="dxa"/>
              <w:right w:w="115" w:type="dxa"/>
            </w:tcMar>
          </w:tcPr>
          <w:p w14:paraId="2007E6B0" w14:textId="5AB110A3" w:rsidR="001063F7" w:rsidRPr="00C35A38" w:rsidRDefault="001063F7" w:rsidP="001063F7">
            <w:pPr>
              <w:rPr>
                <w:rFonts w:ascii="Times New Roman" w:hAnsi="Times New Roman"/>
              </w:rPr>
            </w:pPr>
            <w:hyperlink r:id="rId26" w:history="1">
              <w:proofErr w:type="spellStart"/>
              <w:r w:rsidRPr="00C35A38">
                <w:rPr>
                  <w:rFonts w:ascii="Times New Roman" w:hAnsi="Times New Roman"/>
                  <w:color w:val="0000FF"/>
                  <w:u w:val="single"/>
                </w:rPr>
                <w:t>Guerre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au</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Moyen-Orient</w:t>
              </w:r>
              <w:proofErr w:type="spellEnd"/>
              <w:r w:rsidRPr="00C35A38">
                <w:rPr>
                  <w:rFonts w:ascii="Times New Roman" w:hAnsi="Times New Roman"/>
                  <w:color w:val="0000FF"/>
                  <w:u w:val="single"/>
                </w:rPr>
                <w:t xml:space="preserve"> :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facture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énergétique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creuse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le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déficit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commercial</w:t>
              </w:r>
              <w:proofErr w:type="spellEnd"/>
              <w:r w:rsidRPr="00C35A38">
                <w:rPr>
                  <w:rFonts w:ascii="Times New Roman" w:hAnsi="Times New Roman"/>
                  <w:color w:val="0000FF"/>
                  <w:u w:val="single"/>
                </w:rPr>
                <w:t xml:space="preserve"> de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France - Les </w:t>
              </w:r>
              <w:proofErr w:type="spellStart"/>
              <w:r w:rsidRPr="00C35A3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49B3B5A"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Dėl energijos kainų augimo didėja Prancūzijos prekybos deficitas</w:t>
            </w:r>
          </w:p>
          <w:p w14:paraId="6A29B125" w14:textId="77777777" w:rsidR="001063F7" w:rsidRPr="001063F7" w:rsidRDefault="001063F7" w:rsidP="001063F7">
            <w:pPr>
              <w:spacing w:after="0" w:line="240" w:lineRule="auto"/>
              <w:rPr>
                <w:rFonts w:ascii="Times New Roman" w:eastAsia="Times New Roman" w:hAnsi="Times New Roman"/>
              </w:rPr>
            </w:pPr>
          </w:p>
        </w:tc>
      </w:tr>
      <w:tr w:rsidR="001063F7" w:rsidRPr="00640017" w14:paraId="2AE79051" w14:textId="77777777" w:rsidTr="00B869D6">
        <w:trPr>
          <w:gridAfter w:val="1"/>
          <w:wAfter w:w="11" w:type="dxa"/>
          <w:trHeight w:val="216"/>
        </w:trPr>
        <w:tc>
          <w:tcPr>
            <w:tcW w:w="1418" w:type="dxa"/>
            <w:tcMar>
              <w:top w:w="29" w:type="dxa"/>
              <w:left w:w="115" w:type="dxa"/>
              <w:bottom w:w="29" w:type="dxa"/>
              <w:right w:w="115" w:type="dxa"/>
            </w:tcMar>
          </w:tcPr>
          <w:p w14:paraId="170626B4" w14:textId="3EF01B91" w:rsidR="001063F7" w:rsidRPr="001063F7" w:rsidRDefault="001063F7" w:rsidP="00DE43AB">
            <w:pPr>
              <w:spacing w:after="0" w:line="240" w:lineRule="auto"/>
              <w:rPr>
                <w:rFonts w:ascii="Times New Roman" w:eastAsia="Times New Roman" w:hAnsi="Times New Roman"/>
                <w:lang w:val="en-US"/>
              </w:rPr>
            </w:pPr>
            <w:r>
              <w:rPr>
                <w:rFonts w:ascii="Times New Roman" w:eastAsia="Times New Roman" w:hAnsi="Times New Roman"/>
                <w:lang w:val="en-US"/>
              </w:rPr>
              <w:t>2026-05-12</w:t>
            </w:r>
          </w:p>
        </w:tc>
        <w:tc>
          <w:tcPr>
            <w:tcW w:w="5812" w:type="dxa"/>
            <w:tcMar>
              <w:top w:w="29" w:type="dxa"/>
              <w:left w:w="115" w:type="dxa"/>
              <w:bottom w:w="29" w:type="dxa"/>
              <w:right w:w="115" w:type="dxa"/>
            </w:tcMar>
          </w:tcPr>
          <w:p w14:paraId="73791F16"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Nepaisant išaugusių degalų kainų, Prancūzijos biudžeto pajamos iš kuro mokesčių pradėjo mažėti dėl sumažėjusio vartojimo. Karo Irane pradžioje valstybė kovą–balandį papildomai surinko apie 200 mln. eurų PVM pajamų iš pabrangusių degalų, tačiau vėliau gyventojams pradėjus mažiau naudotis automobiliais degalų vartojimas smarkiai sumažėjo. Vyriausybės duomenimis, pirmosiomis 2026 m. gegužės dienomis degalų vartojimas buvo apie 30 % mažesnis nei prieš metus, o vien gegužės pradžioje biudžetas neteko apie 300 mln. eurų pajamų. Nuo krizės pradžios bendros valstybės pajamos iš degalų mokesčių jau buvo apie 105 mln. eurų mažesnės nei tuo pačiu laikotarpiu pernai.</w:t>
            </w:r>
          </w:p>
          <w:p w14:paraId="62077A44" w14:textId="08AA8EC0" w:rsidR="001063F7" w:rsidRPr="00DE43AB"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 xml:space="preserve">Atsižvelgdama į ribotas biudžeto galimybes, </w:t>
            </w:r>
            <w:proofErr w:type="spellStart"/>
            <w:r w:rsidRPr="001063F7">
              <w:rPr>
                <w:rFonts w:ascii="Times New Roman" w:eastAsia="Times New Roman" w:hAnsi="Times New Roman"/>
              </w:rPr>
              <w:t>Sébastien</w:t>
            </w:r>
            <w:proofErr w:type="spellEnd"/>
            <w:r w:rsidRPr="001063F7">
              <w:rPr>
                <w:rFonts w:ascii="Times New Roman" w:eastAsia="Times New Roman" w:hAnsi="Times New Roman"/>
              </w:rPr>
              <w:t xml:space="preserve"> </w:t>
            </w:r>
            <w:proofErr w:type="spellStart"/>
            <w:r w:rsidRPr="001063F7">
              <w:rPr>
                <w:rFonts w:ascii="Times New Roman" w:eastAsia="Times New Roman" w:hAnsi="Times New Roman"/>
              </w:rPr>
              <w:t>Lecornu</w:t>
            </w:r>
            <w:proofErr w:type="spellEnd"/>
            <w:r w:rsidRPr="001063F7">
              <w:rPr>
                <w:rFonts w:ascii="Times New Roman" w:eastAsia="Times New Roman" w:hAnsi="Times New Roman"/>
              </w:rPr>
              <w:t xml:space="preserve"> Vyriausybė kol kas atideda sprendimus dėl naujų </w:t>
            </w:r>
            <w:r w:rsidRPr="001063F7">
              <w:rPr>
                <w:rFonts w:ascii="Times New Roman" w:eastAsia="Times New Roman" w:hAnsi="Times New Roman"/>
              </w:rPr>
              <w:lastRenderedPageBreak/>
              <w:t>pagalbos priemonių daug kuro naudojantiems gyventojams ir profesijoms, labiau akcentuoja ilgalaikes priemones: transporto elektrifikaciją ir vartojimo įpročių pokyčius.</w:t>
            </w:r>
          </w:p>
        </w:tc>
        <w:tc>
          <w:tcPr>
            <w:tcW w:w="2268" w:type="dxa"/>
            <w:tcMar>
              <w:top w:w="29" w:type="dxa"/>
              <w:left w:w="115" w:type="dxa"/>
              <w:bottom w:w="29" w:type="dxa"/>
              <w:right w:w="115" w:type="dxa"/>
            </w:tcMar>
          </w:tcPr>
          <w:p w14:paraId="30C89C8A" w14:textId="77777777" w:rsidR="001063F7" w:rsidRPr="00C35A38" w:rsidRDefault="001063F7" w:rsidP="001063F7">
            <w:pPr>
              <w:rPr>
                <w:rFonts w:ascii="Times New Roman" w:hAnsi="Times New Roman"/>
              </w:rPr>
            </w:pPr>
            <w:hyperlink r:id="rId27" w:history="1">
              <w:proofErr w:type="spellStart"/>
              <w:r w:rsidRPr="00C35A38">
                <w:rPr>
                  <w:rStyle w:val="Hyperlink"/>
                  <w:rFonts w:ascii="Times New Roman" w:hAnsi="Times New Roman"/>
                </w:rPr>
                <w:t>Prix</w:t>
              </w:r>
              <w:proofErr w:type="spellEnd"/>
              <w:r w:rsidRPr="00C35A38">
                <w:rPr>
                  <w:rStyle w:val="Hyperlink"/>
                  <w:rFonts w:ascii="Times New Roman" w:hAnsi="Times New Roman"/>
                </w:rPr>
                <w:t xml:space="preserve"> de </w:t>
              </w:r>
              <w:proofErr w:type="spellStart"/>
              <w:r w:rsidRPr="00C35A38">
                <w:rPr>
                  <w:rStyle w:val="Hyperlink"/>
                  <w:rFonts w:ascii="Times New Roman" w:hAnsi="Times New Roman"/>
                </w:rPr>
                <w:t>l'essence</w:t>
              </w:r>
              <w:proofErr w:type="spellEnd"/>
              <w:r w:rsidRPr="00C35A38">
                <w:rPr>
                  <w:rStyle w:val="Hyperlink"/>
                  <w:rFonts w:ascii="Times New Roman" w:hAnsi="Times New Roman"/>
                </w:rPr>
                <w:t xml:space="preserve"> : les </w:t>
              </w:r>
              <w:proofErr w:type="spellStart"/>
              <w:r w:rsidRPr="00C35A38">
                <w:rPr>
                  <w:rStyle w:val="Hyperlink"/>
                  <w:rFonts w:ascii="Times New Roman" w:hAnsi="Times New Roman"/>
                </w:rPr>
                <w:t>recettes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fiscales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s'effondrent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Lecornu</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temporise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sur</w:t>
              </w:r>
              <w:proofErr w:type="spellEnd"/>
              <w:r w:rsidRPr="00C35A38">
                <w:rPr>
                  <w:rStyle w:val="Hyperlink"/>
                  <w:rFonts w:ascii="Times New Roman" w:hAnsi="Times New Roman"/>
                </w:rPr>
                <w:t xml:space="preserve"> les </w:t>
              </w:r>
              <w:proofErr w:type="spellStart"/>
              <w:r w:rsidRPr="00C35A38">
                <w:rPr>
                  <w:rStyle w:val="Hyperlink"/>
                  <w:rFonts w:ascii="Times New Roman" w:hAnsi="Times New Roman"/>
                </w:rPr>
                <w:t>aides</w:t>
              </w:r>
              <w:proofErr w:type="spellEnd"/>
              <w:r w:rsidRPr="00C35A38">
                <w:rPr>
                  <w:rStyle w:val="Hyperlink"/>
                  <w:rFonts w:ascii="Times New Roman" w:hAnsi="Times New Roman"/>
                </w:rPr>
                <w:t xml:space="preserve"> - Les </w:t>
              </w:r>
              <w:proofErr w:type="spellStart"/>
              <w:r w:rsidRPr="00C35A38">
                <w:rPr>
                  <w:rStyle w:val="Hyperlink"/>
                  <w:rFonts w:ascii="Times New Roman" w:hAnsi="Times New Roman"/>
                </w:rPr>
                <w:t>Echos</w:t>
              </w:r>
              <w:proofErr w:type="spellEnd"/>
            </w:hyperlink>
          </w:p>
          <w:p w14:paraId="53EA695B" w14:textId="77777777" w:rsidR="001063F7" w:rsidRPr="00C35A38" w:rsidRDefault="001063F7" w:rsidP="00DE43AB">
            <w:pPr>
              <w:spacing w:after="0" w:line="240" w:lineRule="auto"/>
              <w:rPr>
                <w:rFonts w:ascii="Times New Roman" w:hAnsi="Times New Roman"/>
              </w:rPr>
            </w:pPr>
          </w:p>
        </w:tc>
        <w:tc>
          <w:tcPr>
            <w:tcW w:w="1436" w:type="dxa"/>
            <w:tcMar>
              <w:top w:w="29" w:type="dxa"/>
              <w:left w:w="115" w:type="dxa"/>
              <w:bottom w:w="29" w:type="dxa"/>
              <w:right w:w="115" w:type="dxa"/>
            </w:tcMar>
          </w:tcPr>
          <w:p w14:paraId="348152F4"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Brangstant degalams, Prancūzijoje mažėja kuro vartojimas ir biudžeto pajamos</w:t>
            </w:r>
          </w:p>
          <w:p w14:paraId="62D89C0D" w14:textId="77777777" w:rsidR="001063F7" w:rsidRPr="00166EC6" w:rsidRDefault="001063F7" w:rsidP="00DE43AB">
            <w:pPr>
              <w:spacing w:line="240" w:lineRule="auto"/>
              <w:rPr>
                <w:rFonts w:ascii="Times New Roman" w:eastAsia="Times New Roman" w:hAnsi="Times New Roman"/>
              </w:rPr>
            </w:pPr>
          </w:p>
        </w:tc>
      </w:tr>
      <w:tr w:rsidR="00DE43AB" w:rsidRPr="00640017" w14:paraId="5678DE71" w14:textId="77777777" w:rsidTr="00B869D6">
        <w:trPr>
          <w:gridAfter w:val="1"/>
          <w:wAfter w:w="11" w:type="dxa"/>
          <w:trHeight w:val="216"/>
        </w:trPr>
        <w:tc>
          <w:tcPr>
            <w:tcW w:w="1418" w:type="dxa"/>
            <w:tcMar>
              <w:top w:w="29" w:type="dxa"/>
              <w:left w:w="115" w:type="dxa"/>
              <w:bottom w:w="29" w:type="dxa"/>
              <w:right w:w="115" w:type="dxa"/>
            </w:tcMar>
          </w:tcPr>
          <w:p w14:paraId="6EC76698"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2026-05-13</w:t>
            </w:r>
          </w:p>
          <w:p w14:paraId="43DD260D" w14:textId="77777777" w:rsidR="00DE43AB"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48F3C82B" w14:textId="77777777" w:rsidR="00DE43AB" w:rsidRPr="00DE43AB" w:rsidRDefault="00DE43AB" w:rsidP="006859C1">
            <w:pPr>
              <w:spacing w:after="0" w:line="240" w:lineRule="auto"/>
              <w:rPr>
                <w:rFonts w:ascii="Times New Roman" w:eastAsia="Times New Roman" w:hAnsi="Times New Roman"/>
              </w:rPr>
            </w:pPr>
            <w:r w:rsidRPr="00DE43AB">
              <w:rPr>
                <w:rFonts w:ascii="Times New Roman" w:eastAsia="Times New Roman" w:hAnsi="Times New Roman"/>
              </w:rPr>
              <w:t>Prancūzijoje nedarbo lygis 2026 m. pirmąjį ketvirtį padidėjo iki 8,1 % – aukščiausio lygio nuo 2021 metų. Per ketvirtį jis išaugo 0,2 procentinio punkto, o per metus – 0,7 punkto.</w:t>
            </w:r>
          </w:p>
          <w:p w14:paraId="4B52F63B" w14:textId="77777777" w:rsidR="00DE43AB" w:rsidRPr="00DE43AB" w:rsidRDefault="00DE43AB" w:rsidP="006859C1">
            <w:pPr>
              <w:spacing w:after="0" w:line="240" w:lineRule="auto"/>
              <w:rPr>
                <w:rFonts w:ascii="Times New Roman" w:eastAsia="Times New Roman" w:hAnsi="Times New Roman"/>
              </w:rPr>
            </w:pPr>
            <w:r w:rsidRPr="00DE43AB">
              <w:rPr>
                <w:rFonts w:ascii="Times New Roman" w:eastAsia="Times New Roman" w:hAnsi="Times New Roman"/>
              </w:rPr>
              <w:t>Remiantis INSEE duomenimis, aktyviai darbo ieško apie 2,6 mln. žmonių, t. y. 68 tūkst. daugiau nei ankstesnį ketvirtį.</w:t>
            </w:r>
          </w:p>
          <w:p w14:paraId="1609AB93" w14:textId="3A307F65" w:rsidR="00DE43AB" w:rsidRPr="00DE43AB" w:rsidRDefault="00DE43AB" w:rsidP="006859C1">
            <w:pPr>
              <w:spacing w:after="0" w:line="240" w:lineRule="auto"/>
              <w:rPr>
                <w:rFonts w:ascii="Times New Roman" w:eastAsia="Times New Roman" w:hAnsi="Times New Roman"/>
              </w:rPr>
            </w:pPr>
            <w:r w:rsidRPr="00DE43AB">
              <w:rPr>
                <w:rFonts w:ascii="Times New Roman" w:eastAsia="Times New Roman" w:hAnsi="Times New Roman"/>
              </w:rPr>
              <w:t>Nedarbas šiek tiek sumažėjo tarp 15–24 metų jaunimo, tačiau padidėjo tarp 25–49 metų gyventojų. Prie statistikos augimo prisidėjo ir 2025 m. įsigaliojusi reforma, pagal kurią dalis socialinių išmokų gavėjų automatiškai registruojami darbo ieškančiais asmenimis.</w:t>
            </w:r>
          </w:p>
        </w:tc>
        <w:tc>
          <w:tcPr>
            <w:tcW w:w="2268" w:type="dxa"/>
            <w:tcMar>
              <w:top w:w="29" w:type="dxa"/>
              <w:left w:w="115" w:type="dxa"/>
              <w:bottom w:w="29" w:type="dxa"/>
              <w:right w:w="115" w:type="dxa"/>
            </w:tcMar>
          </w:tcPr>
          <w:p w14:paraId="0C07DAA2" w14:textId="61690879" w:rsidR="00DE43AB" w:rsidRPr="00C35A38" w:rsidRDefault="00DE43AB" w:rsidP="006859C1">
            <w:pPr>
              <w:spacing w:after="0" w:line="240" w:lineRule="auto"/>
              <w:rPr>
                <w:rFonts w:ascii="Times New Roman" w:hAnsi="Times New Roman"/>
              </w:rPr>
            </w:pPr>
            <w:hyperlink r:id="rId28" w:history="1">
              <w:proofErr w:type="spellStart"/>
              <w:r w:rsidRPr="00C35A38">
                <w:rPr>
                  <w:rStyle w:val="Hyperlink"/>
                  <w:rFonts w:ascii="Times New Roman" w:hAnsi="Times New Roman"/>
                </w:rPr>
                <w:t>Le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taux</w:t>
              </w:r>
              <w:proofErr w:type="spellEnd"/>
              <w:r w:rsidRPr="00C35A38">
                <w:rPr>
                  <w:rStyle w:val="Hyperlink"/>
                  <w:rFonts w:ascii="Times New Roman" w:hAnsi="Times New Roman"/>
                </w:rPr>
                <w:t xml:space="preserve"> de </w:t>
              </w:r>
              <w:proofErr w:type="spellStart"/>
              <w:r w:rsidRPr="00C35A38">
                <w:rPr>
                  <w:rStyle w:val="Hyperlink"/>
                  <w:rFonts w:ascii="Times New Roman" w:hAnsi="Times New Roman"/>
                </w:rPr>
                <w:t>chômage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atteint</w:t>
              </w:r>
              <w:proofErr w:type="spellEnd"/>
              <w:r w:rsidRPr="00C35A38">
                <w:rPr>
                  <w:rStyle w:val="Hyperlink"/>
                  <w:rFonts w:ascii="Times New Roman" w:hAnsi="Times New Roman"/>
                </w:rPr>
                <w:t xml:space="preserve"> 8,1 % </w:t>
              </w:r>
              <w:proofErr w:type="spellStart"/>
              <w:r w:rsidRPr="00C35A38">
                <w:rPr>
                  <w:rStyle w:val="Hyperlink"/>
                  <w:rFonts w:ascii="Times New Roman" w:hAnsi="Times New Roman"/>
                </w:rPr>
                <w:t>au</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premier</w:t>
              </w:r>
              <w:proofErr w:type="spellEnd"/>
              <w:r w:rsidRPr="00C35A38">
                <w:rPr>
                  <w:rStyle w:val="Hyperlink"/>
                  <w:rFonts w:ascii="Times New Roman" w:hAnsi="Times New Roman"/>
                </w:rPr>
                <w:t xml:space="preserve"> trimestre, </w:t>
              </w:r>
              <w:proofErr w:type="spellStart"/>
              <w:r w:rsidRPr="00C35A38">
                <w:rPr>
                  <w:rStyle w:val="Hyperlink"/>
                  <w:rFonts w:ascii="Times New Roman" w:hAnsi="Times New Roman"/>
                </w:rPr>
                <w:t>une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première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depuis</w:t>
              </w:r>
              <w:proofErr w:type="spellEnd"/>
              <w:r w:rsidRPr="00C35A38">
                <w:rPr>
                  <w:rStyle w:val="Hyperlink"/>
                  <w:rFonts w:ascii="Times New Roman" w:hAnsi="Times New Roman"/>
                </w:rPr>
                <w:t xml:space="preserve"> 2021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245B1D1E" w14:textId="4840071B" w:rsidR="00DE43AB" w:rsidRPr="00450642" w:rsidRDefault="00DE43AB" w:rsidP="006859C1">
            <w:pPr>
              <w:spacing w:after="0" w:line="240" w:lineRule="auto"/>
              <w:rPr>
                <w:rFonts w:ascii="Times New Roman" w:eastAsia="Times New Roman" w:hAnsi="Times New Roman"/>
              </w:rPr>
            </w:pPr>
            <w:r w:rsidRPr="00166EC6">
              <w:rPr>
                <w:rFonts w:ascii="Times New Roman" w:eastAsia="Times New Roman" w:hAnsi="Times New Roman"/>
              </w:rPr>
              <w:t>Prancūzijos darbo rinkos padėtis blogėja – nedarbo lygis pasiekė aukščiausią tašką per penkerius metus</w:t>
            </w:r>
          </w:p>
        </w:tc>
      </w:tr>
      <w:tr w:rsidR="00DE43AB" w:rsidRPr="00640017" w14:paraId="617CD35B" w14:textId="77777777" w:rsidTr="00B869D6">
        <w:trPr>
          <w:gridAfter w:val="1"/>
          <w:wAfter w:w="11" w:type="dxa"/>
          <w:trHeight w:val="216"/>
        </w:trPr>
        <w:tc>
          <w:tcPr>
            <w:tcW w:w="1418" w:type="dxa"/>
            <w:tcMar>
              <w:top w:w="29" w:type="dxa"/>
              <w:left w:w="115" w:type="dxa"/>
              <w:bottom w:w="29" w:type="dxa"/>
              <w:right w:w="115" w:type="dxa"/>
            </w:tcMar>
          </w:tcPr>
          <w:p w14:paraId="508D170F"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2026-05-13</w:t>
            </w:r>
          </w:p>
          <w:p w14:paraId="666F18C4" w14:textId="77777777" w:rsidR="00DE43AB"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094A432C" w14:textId="77777777" w:rsidR="00DE43AB" w:rsidRPr="00DE43AB" w:rsidRDefault="00DE43AB" w:rsidP="00DE43AB">
            <w:pPr>
              <w:spacing w:after="0" w:line="240" w:lineRule="auto"/>
              <w:rPr>
                <w:rFonts w:ascii="Times New Roman" w:eastAsia="Times New Roman" w:hAnsi="Times New Roman"/>
              </w:rPr>
            </w:pPr>
            <w:proofErr w:type="spellStart"/>
            <w:r w:rsidRPr="00DE43AB">
              <w:rPr>
                <w:rFonts w:ascii="Times New Roman" w:eastAsia="Times New Roman" w:hAnsi="Times New Roman"/>
              </w:rPr>
              <w:t>Minelli</w:t>
            </w:r>
            <w:proofErr w:type="spellEnd"/>
            <w:r w:rsidRPr="00DE43AB">
              <w:rPr>
                <w:rFonts w:ascii="Times New Roman" w:eastAsia="Times New Roman" w:hAnsi="Times New Roman"/>
              </w:rPr>
              <w:t xml:space="preserve"> paskelbė, kad po daugelio finansinių sunkumų ir nesėkmingų bandymų rasti investuotoją galutinai nutrauks veiklą 2026 m. gegužės 30 d.</w:t>
            </w:r>
          </w:p>
          <w:p w14:paraId="00FFB5B9"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1973 m. įkurta avalynės ir aksesuarų bendrovė, kurioje dirba 86 darbuotojai, šiemet antrą kartą per trejus metus buvo pradėjusi restruktūrizavimo procedūrą. Potencialių pirkėjų pasiūlymai buvo labai riboti ir neapėmė viso verslo bei darbuotojų išsaugojimo.</w:t>
            </w:r>
          </w:p>
          <w:p w14:paraId="4F15F4F0" w14:textId="55889BA1"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w:t>
            </w:r>
            <w:proofErr w:type="spellStart"/>
            <w:r w:rsidRPr="00DE43AB">
              <w:rPr>
                <w:rFonts w:ascii="Times New Roman" w:eastAsia="Times New Roman" w:hAnsi="Times New Roman"/>
              </w:rPr>
              <w:t>Minelli</w:t>
            </w:r>
            <w:proofErr w:type="spellEnd"/>
            <w:r w:rsidRPr="00DE43AB">
              <w:rPr>
                <w:rFonts w:ascii="Times New Roman" w:eastAsia="Times New Roman" w:hAnsi="Times New Roman"/>
              </w:rPr>
              <w:t>“ pastaraisiais metais patyrė nuostolių ir susidūrė su stipria konkurencija iš itin pigių internetinės prekybos ir greitosios mados (</w:t>
            </w:r>
            <w:proofErr w:type="spellStart"/>
            <w:r w:rsidRPr="00DE43AB">
              <w:rPr>
                <w:rFonts w:ascii="Times New Roman" w:eastAsia="Times New Roman" w:hAnsi="Times New Roman"/>
              </w:rPr>
              <w:t>fast</w:t>
            </w:r>
            <w:proofErr w:type="spellEnd"/>
            <w:r w:rsidRPr="00DE43AB">
              <w:rPr>
                <w:rFonts w:ascii="Times New Roman" w:eastAsia="Times New Roman" w:hAnsi="Times New Roman"/>
              </w:rPr>
              <w:t xml:space="preserve"> </w:t>
            </w:r>
            <w:proofErr w:type="spellStart"/>
            <w:r w:rsidRPr="00DE43AB">
              <w:rPr>
                <w:rFonts w:ascii="Times New Roman" w:eastAsia="Times New Roman" w:hAnsi="Times New Roman"/>
              </w:rPr>
              <w:t>fashion</w:t>
            </w:r>
            <w:proofErr w:type="spellEnd"/>
            <w:r w:rsidRPr="00DE43AB">
              <w:rPr>
                <w:rFonts w:ascii="Times New Roman" w:eastAsia="Times New Roman" w:hAnsi="Times New Roman"/>
              </w:rPr>
              <w:t>) platformų. Ankstesnio gelbėjimo metu darbuotojų skaičius jau buvo sumažintas nuo maždaug 600 iki mažiau nei 200.</w:t>
            </w:r>
          </w:p>
        </w:tc>
        <w:tc>
          <w:tcPr>
            <w:tcW w:w="2268" w:type="dxa"/>
            <w:tcMar>
              <w:top w:w="29" w:type="dxa"/>
              <w:left w:w="115" w:type="dxa"/>
              <w:bottom w:w="29" w:type="dxa"/>
              <w:right w:w="115" w:type="dxa"/>
            </w:tcMar>
          </w:tcPr>
          <w:p w14:paraId="18627DF2" w14:textId="6D933635" w:rsidR="00DE43AB" w:rsidRPr="00C35A38" w:rsidRDefault="00DE43AB" w:rsidP="00DE43AB">
            <w:pPr>
              <w:spacing w:after="0" w:line="240" w:lineRule="auto"/>
              <w:rPr>
                <w:rFonts w:ascii="Times New Roman" w:hAnsi="Times New Roman"/>
              </w:rPr>
            </w:pPr>
            <w:hyperlink r:id="rId29" w:history="1">
              <w:proofErr w:type="spellStart"/>
              <w:r w:rsidRPr="00C35A38">
                <w:rPr>
                  <w:rStyle w:val="Hyperlink"/>
                  <w:rFonts w:ascii="Times New Roman" w:hAnsi="Times New Roman"/>
                </w:rPr>
                <w:t>Le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chausseur</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Minelli</w:t>
              </w:r>
              <w:proofErr w:type="spellEnd"/>
              <w:r w:rsidRPr="00C35A38">
                <w:rPr>
                  <w:rStyle w:val="Hyperlink"/>
                  <w:rFonts w:ascii="Times New Roman" w:hAnsi="Times New Roman"/>
                </w:rPr>
                <w:t xml:space="preserve"> va «</w:t>
              </w:r>
              <w:proofErr w:type="spellStart"/>
              <w:r w:rsidRPr="00C35A38">
                <w:rPr>
                  <w:rStyle w:val="Hyperlink"/>
                  <w:rFonts w:ascii="Times New Roman" w:hAnsi="Times New Roman"/>
                </w:rPr>
                <w:t>définitivement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fermer</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le</w:t>
              </w:r>
              <w:proofErr w:type="spellEnd"/>
              <w:r w:rsidRPr="00C35A38">
                <w:rPr>
                  <w:rStyle w:val="Hyperlink"/>
                  <w:rFonts w:ascii="Times New Roman" w:hAnsi="Times New Roman"/>
                </w:rPr>
                <w:t xml:space="preserve"> 30 </w:t>
              </w:r>
              <w:proofErr w:type="spellStart"/>
              <w:r w:rsidRPr="00C35A38">
                <w:rPr>
                  <w:rStyle w:val="Hyperlink"/>
                  <w:rFonts w:ascii="Times New Roman" w:hAnsi="Times New Roman"/>
                </w:rPr>
                <w:t>mai</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15866FD4" w14:textId="1CDC8D98" w:rsidR="00DE43AB" w:rsidRPr="00AF13EE" w:rsidRDefault="00DE43AB" w:rsidP="00DE43AB">
            <w:pPr>
              <w:spacing w:line="240" w:lineRule="auto"/>
              <w:rPr>
                <w:rFonts w:ascii="Times New Roman" w:eastAsia="Times New Roman" w:hAnsi="Times New Roman"/>
              </w:rPr>
            </w:pPr>
            <w:r w:rsidRPr="00450642">
              <w:rPr>
                <w:rFonts w:ascii="Times New Roman" w:eastAsia="Times New Roman" w:hAnsi="Times New Roman"/>
              </w:rPr>
              <w:t>„</w:t>
            </w:r>
            <w:proofErr w:type="spellStart"/>
            <w:r w:rsidRPr="00450642">
              <w:rPr>
                <w:rFonts w:ascii="Times New Roman" w:eastAsia="Times New Roman" w:hAnsi="Times New Roman"/>
              </w:rPr>
              <w:t>Minelli</w:t>
            </w:r>
            <w:proofErr w:type="spellEnd"/>
            <w:r w:rsidRPr="00450642">
              <w:rPr>
                <w:rFonts w:ascii="Times New Roman" w:eastAsia="Times New Roman" w:hAnsi="Times New Roman"/>
              </w:rPr>
              <w:t xml:space="preserve">“ </w:t>
            </w:r>
            <w:r w:rsidRPr="001509F6">
              <w:rPr>
                <w:rFonts w:ascii="Times New Roman" w:eastAsia="Times New Roman" w:hAnsi="Times New Roman"/>
              </w:rPr>
              <w:t>veiklos nutraukimas atspindi didėjančius iššūkius tradiciniams mažmeninės prekybos tinklams</w:t>
            </w:r>
          </w:p>
        </w:tc>
      </w:tr>
      <w:tr w:rsidR="00DE43AB" w:rsidRPr="00640017" w14:paraId="210F6D3F" w14:textId="77777777" w:rsidTr="00B869D6">
        <w:trPr>
          <w:gridAfter w:val="1"/>
          <w:wAfter w:w="11" w:type="dxa"/>
          <w:trHeight w:val="216"/>
        </w:trPr>
        <w:tc>
          <w:tcPr>
            <w:tcW w:w="1418" w:type="dxa"/>
            <w:tcMar>
              <w:top w:w="29" w:type="dxa"/>
              <w:left w:w="115" w:type="dxa"/>
              <w:bottom w:w="29" w:type="dxa"/>
              <w:right w:w="115" w:type="dxa"/>
            </w:tcMar>
          </w:tcPr>
          <w:p w14:paraId="3EF536DC" w14:textId="16414B5A"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2026-05-13</w:t>
            </w:r>
          </w:p>
          <w:p w14:paraId="5A4DC514" w14:textId="77777777" w:rsidR="00DE43AB"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31C826F6" w14:textId="77777777" w:rsidR="00DE43AB" w:rsidRPr="00AF13EE" w:rsidRDefault="00DE43AB" w:rsidP="00DE43AB">
            <w:pPr>
              <w:spacing w:after="0" w:line="240" w:lineRule="auto"/>
              <w:rPr>
                <w:rFonts w:ascii="Times New Roman" w:eastAsia="Times New Roman" w:hAnsi="Times New Roman"/>
              </w:rPr>
            </w:pPr>
            <w:r w:rsidRPr="00AF13EE">
              <w:rPr>
                <w:rFonts w:ascii="Times New Roman" w:eastAsia="Times New Roman" w:hAnsi="Times New Roman"/>
              </w:rPr>
              <w:t xml:space="preserve">Prancūzijoje kilo ginčas dėl Emmanuel </w:t>
            </w:r>
            <w:proofErr w:type="spellStart"/>
            <w:r w:rsidRPr="00AF13EE">
              <w:rPr>
                <w:rFonts w:ascii="Times New Roman" w:eastAsia="Times New Roman" w:hAnsi="Times New Roman"/>
              </w:rPr>
              <w:t>Moulin</w:t>
            </w:r>
            <w:proofErr w:type="spellEnd"/>
            <w:r w:rsidRPr="00AF13EE">
              <w:rPr>
                <w:rFonts w:ascii="Times New Roman" w:eastAsia="Times New Roman" w:hAnsi="Times New Roman"/>
              </w:rPr>
              <w:t xml:space="preserve"> kandidatūros į </w:t>
            </w:r>
            <w:proofErr w:type="spellStart"/>
            <w:r w:rsidRPr="00AF13EE">
              <w:rPr>
                <w:rFonts w:ascii="Times New Roman" w:eastAsia="Times New Roman" w:hAnsi="Times New Roman"/>
              </w:rPr>
              <w:t>Banque</w:t>
            </w:r>
            <w:proofErr w:type="spellEnd"/>
            <w:r w:rsidRPr="00AF13EE">
              <w:rPr>
                <w:rFonts w:ascii="Times New Roman" w:eastAsia="Times New Roman" w:hAnsi="Times New Roman"/>
              </w:rPr>
              <w:t xml:space="preserve"> de France vadovo postą. Kritikai teigia, kad prieš parlamento klausymus jis gavo institucijos darbuotojų parengtas pažymas, kurios galėjo suteikti jam pranašumą.</w:t>
            </w:r>
          </w:p>
          <w:p w14:paraId="668B80DC" w14:textId="77777777" w:rsidR="00DE43AB" w:rsidRPr="00AF13EE" w:rsidRDefault="00DE43AB" w:rsidP="00DE43AB">
            <w:pPr>
              <w:spacing w:after="0" w:line="240" w:lineRule="auto"/>
              <w:rPr>
                <w:rFonts w:ascii="Times New Roman" w:eastAsia="Times New Roman" w:hAnsi="Times New Roman"/>
              </w:rPr>
            </w:pPr>
            <w:r w:rsidRPr="00AF13EE">
              <w:rPr>
                <w:rFonts w:ascii="Times New Roman" w:eastAsia="Times New Roman" w:hAnsi="Times New Roman"/>
              </w:rPr>
              <w:t xml:space="preserve">Kai kurie centrinio banko darbuotojai ir profesinės sąjungos mano, kad tai gali kelti klausimų dėl institucijos nepriklausomumo. Tuo tarpu dabartinis vadovas </w:t>
            </w:r>
            <w:proofErr w:type="spellStart"/>
            <w:r w:rsidRPr="00AF13EE">
              <w:rPr>
                <w:rFonts w:ascii="Times New Roman" w:eastAsia="Times New Roman" w:hAnsi="Times New Roman"/>
              </w:rPr>
              <w:t>François</w:t>
            </w:r>
            <w:proofErr w:type="spellEnd"/>
            <w:r w:rsidRPr="00AF13EE">
              <w:rPr>
                <w:rFonts w:ascii="Times New Roman" w:eastAsia="Times New Roman" w:hAnsi="Times New Roman"/>
              </w:rPr>
              <w:t xml:space="preserve"> </w:t>
            </w:r>
            <w:proofErr w:type="spellStart"/>
            <w:r w:rsidRPr="00AF13EE">
              <w:rPr>
                <w:rFonts w:ascii="Times New Roman" w:eastAsia="Times New Roman" w:hAnsi="Times New Roman"/>
              </w:rPr>
              <w:t>Villeroy</w:t>
            </w:r>
            <w:proofErr w:type="spellEnd"/>
            <w:r w:rsidRPr="00AF13EE">
              <w:rPr>
                <w:rFonts w:ascii="Times New Roman" w:eastAsia="Times New Roman" w:hAnsi="Times New Roman"/>
              </w:rPr>
              <w:t xml:space="preserve"> de </w:t>
            </w:r>
            <w:proofErr w:type="spellStart"/>
            <w:r w:rsidRPr="00AF13EE">
              <w:rPr>
                <w:rFonts w:ascii="Times New Roman" w:eastAsia="Times New Roman" w:hAnsi="Times New Roman"/>
              </w:rPr>
              <w:t>Galhau</w:t>
            </w:r>
            <w:proofErr w:type="spellEnd"/>
            <w:r w:rsidRPr="00AF13EE">
              <w:rPr>
                <w:rFonts w:ascii="Times New Roman" w:eastAsia="Times New Roman" w:hAnsi="Times New Roman"/>
              </w:rPr>
              <w:t xml:space="preserve"> ir E. </w:t>
            </w:r>
            <w:proofErr w:type="spellStart"/>
            <w:r w:rsidRPr="00AF13EE">
              <w:rPr>
                <w:rFonts w:ascii="Times New Roman" w:eastAsia="Times New Roman" w:hAnsi="Times New Roman"/>
              </w:rPr>
              <w:t>Moulino</w:t>
            </w:r>
            <w:proofErr w:type="spellEnd"/>
            <w:r w:rsidRPr="00AF13EE">
              <w:rPr>
                <w:rFonts w:ascii="Times New Roman" w:eastAsia="Times New Roman" w:hAnsi="Times New Roman"/>
              </w:rPr>
              <w:t xml:space="preserve"> aplinka atmeta kaltinimus, teigdami, kad tokios informacinės pažymos yra įprasta praktika ruošiantis vadovų pasikeitimui.</w:t>
            </w:r>
          </w:p>
          <w:p w14:paraId="10DB5B6E" w14:textId="77777777" w:rsidR="00DE43AB" w:rsidRPr="00AF13EE" w:rsidRDefault="00DE43AB" w:rsidP="00DE43AB">
            <w:pPr>
              <w:spacing w:after="0" w:line="240" w:lineRule="auto"/>
              <w:rPr>
                <w:rFonts w:ascii="Times New Roman" w:eastAsia="Times New Roman" w:hAnsi="Times New Roman"/>
              </w:rPr>
            </w:pPr>
            <w:r w:rsidRPr="00AF13EE">
              <w:rPr>
                <w:rFonts w:ascii="Times New Roman" w:eastAsia="Times New Roman" w:hAnsi="Times New Roman"/>
              </w:rPr>
              <w:t>Dėl kandidatūros turi balsuoti Prancūzijos parlamento finansų komitetai. Opozicinės partijos jau paskelbė nepritariančios šiam paskyrimui, todėl galutinis rezultatas išlieka neaiškus.</w:t>
            </w:r>
          </w:p>
          <w:p w14:paraId="748E847A" w14:textId="77777777" w:rsidR="00DE43AB" w:rsidRPr="001730F1" w:rsidRDefault="00DE43AB" w:rsidP="00DE43AB">
            <w:pPr>
              <w:spacing w:after="0" w:line="240" w:lineRule="auto"/>
              <w:rPr>
                <w:rFonts w:ascii="Times New Roman" w:eastAsia="Times New Roman" w:hAnsi="Times New Roman"/>
              </w:rPr>
            </w:pPr>
          </w:p>
        </w:tc>
        <w:tc>
          <w:tcPr>
            <w:tcW w:w="2268" w:type="dxa"/>
            <w:tcMar>
              <w:top w:w="29" w:type="dxa"/>
              <w:left w:w="115" w:type="dxa"/>
              <w:bottom w:w="29" w:type="dxa"/>
              <w:right w:w="115" w:type="dxa"/>
            </w:tcMar>
          </w:tcPr>
          <w:p w14:paraId="1A7D31F6" w14:textId="4E8BEE41" w:rsidR="00DE43AB" w:rsidRPr="00C35A38" w:rsidRDefault="00DE43AB" w:rsidP="00DE43AB">
            <w:pPr>
              <w:spacing w:after="0" w:line="240" w:lineRule="auto"/>
              <w:rPr>
                <w:rFonts w:ascii="Times New Roman" w:hAnsi="Times New Roman"/>
              </w:rPr>
            </w:pPr>
            <w:hyperlink r:id="rId30" w:history="1">
              <w:proofErr w:type="spellStart"/>
              <w:r w:rsidRPr="00C35A38">
                <w:rPr>
                  <w:rStyle w:val="Hyperlink"/>
                  <w:rFonts w:ascii="Times New Roman" w:hAnsi="Times New Roman"/>
                </w:rPr>
                <w:t>Banque</w:t>
              </w:r>
              <w:proofErr w:type="spellEnd"/>
              <w:r w:rsidRPr="00C35A38">
                <w:rPr>
                  <w:rStyle w:val="Hyperlink"/>
                  <w:rFonts w:ascii="Times New Roman" w:hAnsi="Times New Roman"/>
                </w:rPr>
                <w:t xml:space="preserve"> de France : </w:t>
              </w:r>
              <w:proofErr w:type="spellStart"/>
              <w:r w:rsidRPr="00C35A38">
                <w:rPr>
                  <w:rStyle w:val="Hyperlink"/>
                  <w:rFonts w:ascii="Times New Roman" w:hAnsi="Times New Roman"/>
                </w:rPr>
                <w:t>la</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nomination</w:t>
              </w:r>
              <w:proofErr w:type="spellEnd"/>
              <w:r w:rsidRPr="00C35A38">
                <w:rPr>
                  <w:rStyle w:val="Hyperlink"/>
                  <w:rFonts w:ascii="Times New Roman" w:hAnsi="Times New Roman"/>
                </w:rPr>
                <w:t xml:space="preserve"> du </w:t>
              </w:r>
              <w:proofErr w:type="spellStart"/>
              <w:r w:rsidRPr="00C35A38">
                <w:rPr>
                  <w:rStyle w:val="Hyperlink"/>
                  <w:rFonts w:ascii="Times New Roman" w:hAnsi="Times New Roman"/>
                </w:rPr>
                <w:t>candidat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d’Emmanuel</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Macron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contestée</w:t>
              </w:r>
              <w:proofErr w:type="spellEnd"/>
              <w:r w:rsidRPr="00C35A38">
                <w:rPr>
                  <w:rStyle w:val="Hyperlink"/>
                  <w:rFonts w:ascii="Times New Roman" w:hAnsi="Times New Roman"/>
                </w:rPr>
                <w:t xml:space="preserve"> à </w:t>
              </w:r>
              <w:proofErr w:type="spellStart"/>
              <w:r w:rsidRPr="00C35A38">
                <w:rPr>
                  <w:rStyle w:val="Hyperlink"/>
                  <w:rFonts w:ascii="Times New Roman" w:hAnsi="Times New Roman"/>
                </w:rPr>
                <w:t>cause</w:t>
              </w:r>
              <w:proofErr w:type="spellEnd"/>
              <w:r w:rsidRPr="00C35A38">
                <w:rPr>
                  <w:rStyle w:val="Hyperlink"/>
                  <w:rFonts w:ascii="Times New Roman" w:hAnsi="Times New Roman"/>
                </w:rPr>
                <w:t xml:space="preserve"> de </w:t>
              </w:r>
              <w:proofErr w:type="spellStart"/>
              <w:r w:rsidRPr="00C35A38">
                <w:rPr>
                  <w:rStyle w:val="Hyperlink"/>
                  <w:rFonts w:ascii="Times New Roman" w:hAnsi="Times New Roman"/>
                </w:rPr>
                <w:t>notes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préparées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par</w:t>
              </w:r>
              <w:proofErr w:type="spellEnd"/>
              <w:r w:rsidRPr="00C35A38">
                <w:rPr>
                  <w:rStyle w:val="Hyperlink"/>
                  <w:rFonts w:ascii="Times New Roman" w:hAnsi="Times New Roman"/>
                </w:rPr>
                <w:t xml:space="preserve"> les </w:t>
              </w:r>
              <w:proofErr w:type="spellStart"/>
              <w:r w:rsidRPr="00C35A38">
                <w:rPr>
                  <w:rStyle w:val="Hyperlink"/>
                  <w:rFonts w:ascii="Times New Roman" w:hAnsi="Times New Roman"/>
                </w:rPr>
                <w:t>services</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4FF264BC" w14:textId="07522BA3" w:rsidR="00DE43AB" w:rsidRDefault="00DE43AB" w:rsidP="00DE43AB">
            <w:pPr>
              <w:spacing w:line="240" w:lineRule="auto"/>
              <w:rPr>
                <w:rFonts w:ascii="Times New Roman" w:eastAsia="Times New Roman" w:hAnsi="Times New Roman"/>
              </w:rPr>
            </w:pPr>
            <w:r w:rsidRPr="00AF13EE">
              <w:rPr>
                <w:rFonts w:ascii="Times New Roman" w:eastAsia="Times New Roman" w:hAnsi="Times New Roman"/>
              </w:rPr>
              <w:t xml:space="preserve">E. </w:t>
            </w:r>
            <w:proofErr w:type="spellStart"/>
            <w:r w:rsidRPr="00AF13EE">
              <w:rPr>
                <w:rFonts w:ascii="Times New Roman" w:eastAsia="Times New Roman" w:hAnsi="Times New Roman"/>
              </w:rPr>
              <w:t>Macrono</w:t>
            </w:r>
            <w:proofErr w:type="spellEnd"/>
            <w:r w:rsidRPr="00AF13EE">
              <w:rPr>
                <w:rFonts w:ascii="Times New Roman" w:eastAsia="Times New Roman" w:hAnsi="Times New Roman"/>
              </w:rPr>
              <w:t xml:space="preserve"> siūloma kandidatūra į Prancūzijos centrinio banko vadovus susidūrė su politine ir institucine kritika</w:t>
            </w:r>
          </w:p>
        </w:tc>
      </w:tr>
      <w:tr w:rsidR="00DE43AB" w:rsidRPr="00640017" w14:paraId="1702524E" w14:textId="77777777" w:rsidTr="00B869D6">
        <w:trPr>
          <w:gridAfter w:val="1"/>
          <w:wAfter w:w="11" w:type="dxa"/>
          <w:trHeight w:val="216"/>
        </w:trPr>
        <w:tc>
          <w:tcPr>
            <w:tcW w:w="1418" w:type="dxa"/>
            <w:tcMar>
              <w:top w:w="29" w:type="dxa"/>
              <w:left w:w="115" w:type="dxa"/>
              <w:bottom w:w="29" w:type="dxa"/>
              <w:right w:w="115" w:type="dxa"/>
            </w:tcMar>
          </w:tcPr>
          <w:p w14:paraId="051E2964"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2026-05-27</w:t>
            </w:r>
          </w:p>
          <w:p w14:paraId="0FD36F16" w14:textId="77777777" w:rsidR="00DE43AB"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7AACAFB3" w14:textId="77777777" w:rsidR="00DE43AB" w:rsidRPr="00DE43AB" w:rsidRDefault="00DE43AB" w:rsidP="00DE43AB">
            <w:pPr>
              <w:spacing w:after="0" w:line="240" w:lineRule="auto"/>
              <w:rPr>
                <w:rFonts w:ascii="Times New Roman" w:eastAsia="Times New Roman" w:hAnsi="Times New Roman"/>
              </w:rPr>
            </w:pPr>
            <w:r w:rsidRPr="001730F1">
              <w:rPr>
                <w:rFonts w:ascii="Times New Roman" w:eastAsia="Times New Roman" w:hAnsi="Times New Roman"/>
              </w:rPr>
              <w:t>Nuo 2026 m. birželio 1 d. Prancūzijoje minimalus atlyginimas (</w:t>
            </w:r>
            <w:r w:rsidRPr="00DE43AB">
              <w:rPr>
                <w:rFonts w:ascii="Times New Roman" w:eastAsia="Times New Roman" w:hAnsi="Times New Roman"/>
              </w:rPr>
              <w:t>SMIC) didėja 2,41 %, arba beveik 35 eurais „į rankas“ per mėnesį. Po šio padidinimo net 70 % profesinių šakų minimalių atlyginimų lentelės prasidės žemiau už nacionalinį minimalų atlyginimą.</w:t>
            </w:r>
          </w:p>
          <w:p w14:paraId="4DDD53A6" w14:textId="77777777" w:rsidR="00DE43AB" w:rsidRPr="001730F1"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Iš 179 valstybės stebimų profesinių šakų net 126 turės peržiūrėti savo atlyginimų sistemas ir per 45 dienas pradėti derybas su socialiniais partneriais</w:t>
            </w:r>
            <w:r w:rsidRPr="001730F1">
              <w:rPr>
                <w:rFonts w:ascii="Times New Roman" w:eastAsia="Times New Roman" w:hAnsi="Times New Roman"/>
              </w:rPr>
              <w:t>, kad jos atitiktų teisės aktų reikalavimus.</w:t>
            </w:r>
          </w:p>
          <w:p w14:paraId="3D595C36" w14:textId="34DFA630" w:rsidR="00DE43AB" w:rsidRPr="00B47ABC" w:rsidRDefault="00DE43AB" w:rsidP="00DE43AB">
            <w:pPr>
              <w:spacing w:after="0" w:line="240" w:lineRule="auto"/>
              <w:rPr>
                <w:rFonts w:ascii="Times New Roman" w:eastAsia="Times New Roman" w:hAnsi="Times New Roman"/>
              </w:rPr>
            </w:pPr>
            <w:r w:rsidRPr="001730F1">
              <w:rPr>
                <w:rFonts w:ascii="Times New Roman" w:eastAsia="Times New Roman" w:hAnsi="Times New Roman"/>
              </w:rPr>
              <w:t>Profesinės sąjungos kritikuoja situaciją, teigdamos, kad vis daugiau darbuotojų lieka prie minimalaus atlyginimo ribos, nepaisant darbo stažo ar kvalifikacijos augimo. Jos ragina sparčiau didinti atlyginimus ir plačiau taikyti jų indeksavimą pagal infliaciją.</w:t>
            </w:r>
          </w:p>
        </w:tc>
        <w:tc>
          <w:tcPr>
            <w:tcW w:w="2268" w:type="dxa"/>
            <w:tcMar>
              <w:top w:w="29" w:type="dxa"/>
              <w:left w:w="115" w:type="dxa"/>
              <w:bottom w:w="29" w:type="dxa"/>
              <w:right w:w="115" w:type="dxa"/>
            </w:tcMar>
          </w:tcPr>
          <w:p w14:paraId="28334674" w14:textId="2C8B4130" w:rsidR="00DE43AB" w:rsidRPr="00C35A38" w:rsidRDefault="00DE43AB" w:rsidP="00DE43AB">
            <w:pPr>
              <w:spacing w:after="0" w:line="240" w:lineRule="auto"/>
              <w:rPr>
                <w:rFonts w:ascii="Times New Roman" w:hAnsi="Times New Roman"/>
              </w:rPr>
            </w:pPr>
            <w:hyperlink r:id="rId31" w:history="1">
              <w:proofErr w:type="spellStart"/>
              <w:r w:rsidRPr="00C35A38">
                <w:rPr>
                  <w:rStyle w:val="Hyperlink"/>
                  <w:rFonts w:ascii="Times New Roman" w:hAnsi="Times New Roman"/>
                </w:rPr>
                <w:t>Après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la</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revalorisation</w:t>
              </w:r>
              <w:proofErr w:type="spellEnd"/>
              <w:r w:rsidRPr="00C35A38">
                <w:rPr>
                  <w:rStyle w:val="Hyperlink"/>
                  <w:rFonts w:ascii="Times New Roman" w:hAnsi="Times New Roman"/>
                </w:rPr>
                <w:t xml:space="preserve"> du </w:t>
              </w:r>
              <w:proofErr w:type="spellStart"/>
              <w:r w:rsidRPr="00C35A38">
                <w:rPr>
                  <w:rStyle w:val="Hyperlink"/>
                  <w:rFonts w:ascii="Times New Roman" w:hAnsi="Times New Roman"/>
                </w:rPr>
                <w:t>Smic</w:t>
              </w:r>
              <w:proofErr w:type="spellEnd"/>
              <w:r w:rsidRPr="00C35A38">
                <w:rPr>
                  <w:rStyle w:val="Hyperlink"/>
                  <w:rFonts w:ascii="Times New Roman" w:hAnsi="Times New Roman"/>
                </w:rPr>
                <w:t xml:space="preserve">, 70 % </w:t>
              </w:r>
              <w:proofErr w:type="spellStart"/>
              <w:r w:rsidRPr="00C35A38">
                <w:rPr>
                  <w:rStyle w:val="Hyperlink"/>
                  <w:rFonts w:ascii="Times New Roman" w:hAnsi="Times New Roman"/>
                </w:rPr>
                <w:t>des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branches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auront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une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grille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salariale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débutant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sous</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le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salaire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minimum</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5222AAE1" w14:textId="15563A2A" w:rsidR="00DE43AB" w:rsidRPr="00AF13EE" w:rsidRDefault="00DE43AB" w:rsidP="00DE43AB">
            <w:pPr>
              <w:spacing w:line="240" w:lineRule="auto"/>
              <w:rPr>
                <w:rFonts w:ascii="Times New Roman" w:eastAsia="Times New Roman" w:hAnsi="Times New Roman"/>
                <w:lang w:val="en-US"/>
              </w:rPr>
            </w:pPr>
            <w:r>
              <w:rPr>
                <w:rFonts w:ascii="Times New Roman" w:eastAsia="Times New Roman" w:hAnsi="Times New Roman"/>
              </w:rPr>
              <w:t>Minimalaus atlyginimo didėjimas</w:t>
            </w:r>
          </w:p>
        </w:tc>
      </w:tr>
      <w:tr w:rsidR="00DE43AB" w:rsidRPr="00640017" w14:paraId="103217EB" w14:textId="77777777" w:rsidTr="00B869D6">
        <w:trPr>
          <w:gridAfter w:val="1"/>
          <w:wAfter w:w="11" w:type="dxa"/>
          <w:trHeight w:val="216"/>
        </w:trPr>
        <w:tc>
          <w:tcPr>
            <w:tcW w:w="1418" w:type="dxa"/>
            <w:tcMar>
              <w:top w:w="29" w:type="dxa"/>
              <w:left w:w="115" w:type="dxa"/>
              <w:bottom w:w="29" w:type="dxa"/>
              <w:right w:w="115" w:type="dxa"/>
            </w:tcMar>
          </w:tcPr>
          <w:p w14:paraId="3E2E6DC4" w14:textId="27D7410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lastRenderedPageBreak/>
              <w:t>2025-05-28</w:t>
            </w:r>
          </w:p>
        </w:tc>
        <w:tc>
          <w:tcPr>
            <w:tcW w:w="5812" w:type="dxa"/>
            <w:tcMar>
              <w:top w:w="29" w:type="dxa"/>
              <w:left w:w="115" w:type="dxa"/>
              <w:bottom w:w="29" w:type="dxa"/>
              <w:right w:w="115" w:type="dxa"/>
            </w:tcMar>
          </w:tcPr>
          <w:p w14:paraId="6403E2A6"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Dėl užsitęsusio konflikto Artimuosiuose Rytuose, lėtėjančios ekonomikos ir didėjančio spaudimo viešiesiems finansams Prancūzijos vyriausybė paskelbė pirmąjį papildomų biudžeto taupymo priemonių paketą. Siekiant išlaikyti 2026 m. biudžeto deficitą ne didesnį kaip 5 proc. BVP, nuspręsta panaikinti arba įšaldyti valstybės išlaidas už 6 mlrd. eurų.</w:t>
            </w:r>
          </w:p>
          <w:p w14:paraId="1831B41C"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Numatoma panaikinti 847 mln. eurų asignavimų daugumoje ministerijų bei laikinai įšaldyti dar 3,2 mlrd. eurų biudžeto lėšų. Papildomai apie 2,2 mlrd. eurų planuojama sutaupyti įšaldant dalį darbdaviams taikomų socialinių įmokų lengvatų.</w:t>
            </w:r>
          </w:p>
          <w:p w14:paraId="72AC4EE2" w14:textId="77777777" w:rsidR="00DE43AB" w:rsidRPr="00DE43AB"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Prancūzijos vyriausybė pripažįsta, kad dėl užsitęsusio konflikto ekonominės pasekmės gali būti didesnės nei prognozuota anksčiau, todėl neatmetama galimybė artimiausiais mėnesiais taikyti papildomas išlaidų mažinimo priemones. Augančios energijos kainos, didesnės valstybės paramos išlaidos bei lėtėjantis ekonomikos augimas neigiamai veikia biudžeto pajamas ir didina viešųjų finansų rizikas.</w:t>
            </w:r>
          </w:p>
          <w:p w14:paraId="1635C9F4" w14:textId="5F267AC6" w:rsidR="00DE43AB" w:rsidRPr="00F82852" w:rsidRDefault="00DE43AB" w:rsidP="00DE43AB">
            <w:pPr>
              <w:spacing w:after="0" w:line="240" w:lineRule="auto"/>
              <w:rPr>
                <w:rFonts w:ascii="Times New Roman" w:eastAsia="Times New Roman" w:hAnsi="Times New Roman"/>
              </w:rPr>
            </w:pPr>
            <w:r w:rsidRPr="00DE43AB">
              <w:rPr>
                <w:rFonts w:ascii="Times New Roman" w:eastAsia="Times New Roman" w:hAnsi="Times New Roman"/>
              </w:rPr>
              <w:t xml:space="preserve">Tarptautinis valiutos fondas (TVF) jau sumažino 2026 m. Prancūzijos ekonomikos augimo prognozę nuo 0,9 proc. iki 0,7 proc., perspėdamas, kad tolesnė konflikto </w:t>
            </w:r>
            <w:proofErr w:type="spellStart"/>
            <w:r w:rsidRPr="00DE43AB">
              <w:rPr>
                <w:rFonts w:ascii="Times New Roman" w:eastAsia="Times New Roman" w:hAnsi="Times New Roman"/>
              </w:rPr>
              <w:t>eskalacija</w:t>
            </w:r>
            <w:proofErr w:type="spellEnd"/>
            <w:r w:rsidRPr="00DE43AB">
              <w:rPr>
                <w:rFonts w:ascii="Times New Roman" w:eastAsia="Times New Roman" w:hAnsi="Times New Roman"/>
              </w:rPr>
              <w:t xml:space="preserve"> galėtų dar labiau apsunkinti ekonominę situaciją.</w:t>
            </w:r>
          </w:p>
        </w:tc>
        <w:tc>
          <w:tcPr>
            <w:tcW w:w="2268" w:type="dxa"/>
            <w:tcMar>
              <w:top w:w="29" w:type="dxa"/>
              <w:left w:w="115" w:type="dxa"/>
              <w:bottom w:w="29" w:type="dxa"/>
              <w:right w:w="115" w:type="dxa"/>
            </w:tcMar>
          </w:tcPr>
          <w:p w14:paraId="28914FA3" w14:textId="1AF6F6F7" w:rsidR="00DE43AB" w:rsidRPr="00C35A38" w:rsidRDefault="00DE43AB" w:rsidP="00DE43AB">
            <w:pPr>
              <w:spacing w:after="0" w:line="240" w:lineRule="auto"/>
              <w:rPr>
                <w:rFonts w:ascii="Times New Roman" w:eastAsia="Times New Roman" w:hAnsi="Times New Roman"/>
              </w:rPr>
            </w:pPr>
            <w:hyperlink r:id="rId32" w:history="1">
              <w:proofErr w:type="spellStart"/>
              <w:r w:rsidRPr="00C35A38">
                <w:rPr>
                  <w:rStyle w:val="Hyperlink"/>
                  <w:rFonts w:ascii="Times New Roman" w:eastAsia="Times New Roman" w:hAnsi="Times New Roman"/>
                </w:rPr>
                <w:t>Guerre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au</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Moyen-Orient</w:t>
              </w:r>
              <w:proofErr w:type="spellEnd"/>
              <w:r w:rsidRPr="00C35A38">
                <w:rPr>
                  <w:rStyle w:val="Hyperlink"/>
                  <w:rFonts w:ascii="Times New Roman" w:eastAsia="Times New Roman" w:hAnsi="Times New Roman"/>
                </w:rPr>
                <w:t xml:space="preserve"> : </w:t>
              </w:r>
              <w:proofErr w:type="spellStart"/>
              <w:r w:rsidRPr="00C35A38">
                <w:rPr>
                  <w:rStyle w:val="Hyperlink"/>
                  <w:rFonts w:ascii="Times New Roman" w:eastAsia="Times New Roman" w:hAnsi="Times New Roman"/>
                </w:rPr>
                <w:t>le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gouvernement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annonce</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un</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coup</w:t>
              </w:r>
              <w:proofErr w:type="spellEnd"/>
              <w:r w:rsidRPr="00C35A38">
                <w:rPr>
                  <w:rStyle w:val="Hyperlink"/>
                  <w:rFonts w:ascii="Times New Roman" w:eastAsia="Times New Roman" w:hAnsi="Times New Roman"/>
                </w:rPr>
                <w:t xml:space="preserve"> de </w:t>
              </w:r>
              <w:proofErr w:type="spellStart"/>
              <w:r w:rsidRPr="00C35A38">
                <w:rPr>
                  <w:rStyle w:val="Hyperlink"/>
                  <w:rFonts w:ascii="Times New Roman" w:eastAsia="Times New Roman" w:hAnsi="Times New Roman"/>
                </w:rPr>
                <w:t>rabot</w:t>
              </w:r>
              <w:proofErr w:type="spellEnd"/>
              <w:r w:rsidRPr="00C35A38">
                <w:rPr>
                  <w:rStyle w:val="Hyperlink"/>
                  <w:rFonts w:ascii="Times New Roman" w:eastAsia="Times New Roman" w:hAnsi="Times New Roman"/>
                </w:rPr>
                <w:t xml:space="preserve"> </w:t>
              </w:r>
              <w:proofErr w:type="spellStart"/>
              <w:r w:rsidRPr="00C35A38">
                <w:rPr>
                  <w:rStyle w:val="Hyperlink"/>
                  <w:rFonts w:ascii="Times New Roman" w:eastAsia="Times New Roman" w:hAnsi="Times New Roman"/>
                </w:rPr>
                <w:t>dans</w:t>
              </w:r>
              <w:proofErr w:type="spellEnd"/>
              <w:r w:rsidRPr="00C35A38">
                <w:rPr>
                  <w:rStyle w:val="Hyperlink"/>
                  <w:rFonts w:ascii="Times New Roman" w:eastAsia="Times New Roman" w:hAnsi="Times New Roman"/>
                </w:rPr>
                <w:t xml:space="preserve"> les </w:t>
              </w:r>
              <w:proofErr w:type="spellStart"/>
              <w:r w:rsidRPr="00C35A38">
                <w:rPr>
                  <w:rStyle w:val="Hyperlink"/>
                  <w:rFonts w:ascii="Times New Roman" w:eastAsia="Times New Roman" w:hAnsi="Times New Roman"/>
                </w:rPr>
                <w:t>dépenses</w:t>
              </w:r>
              <w:proofErr w:type="spellEnd"/>
              <w:r w:rsidRPr="00C35A38">
                <w:rPr>
                  <w:rStyle w:val="Hyperlink"/>
                  <w:rFonts w:ascii="Times New Roman" w:eastAsia="Times New Roman" w:hAnsi="Times New Roman"/>
                </w:rPr>
                <w:t xml:space="preserve"> de </w:t>
              </w:r>
              <w:proofErr w:type="spellStart"/>
              <w:r w:rsidRPr="00C35A38">
                <w:rPr>
                  <w:rStyle w:val="Hyperlink"/>
                  <w:rFonts w:ascii="Times New Roman" w:eastAsia="Times New Roman" w:hAnsi="Times New Roman"/>
                </w:rPr>
                <w:t>l'Etat</w:t>
              </w:r>
              <w:proofErr w:type="spellEnd"/>
              <w:r w:rsidRPr="00C35A38">
                <w:rPr>
                  <w:rStyle w:val="Hyperlink"/>
                  <w:rFonts w:ascii="Times New Roman" w:eastAsia="Times New Roman" w:hAnsi="Times New Roman"/>
                </w:rPr>
                <w:t xml:space="preserve"> - Les </w:t>
              </w:r>
              <w:proofErr w:type="spellStart"/>
              <w:r w:rsidRPr="00C35A38">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69A8EA51" w14:textId="3BBF35CA" w:rsidR="00DE43AB" w:rsidRPr="00640017" w:rsidRDefault="00DE43AB" w:rsidP="00DE43AB">
            <w:pPr>
              <w:spacing w:line="240" w:lineRule="auto"/>
              <w:rPr>
                <w:rFonts w:ascii="Times New Roman" w:eastAsia="Times New Roman" w:hAnsi="Times New Roman"/>
              </w:rPr>
            </w:pPr>
            <w:r w:rsidRPr="001509F6">
              <w:rPr>
                <w:rFonts w:ascii="Times New Roman" w:eastAsia="Times New Roman" w:hAnsi="Times New Roman"/>
              </w:rPr>
              <w:t>Vyriausybė paskelbė papildomas biudžeto konsolidavimo priemones</w:t>
            </w:r>
          </w:p>
        </w:tc>
      </w:tr>
      <w:tr w:rsidR="00DE43AB" w:rsidRPr="00640017" w14:paraId="53686C05" w14:textId="77777777" w:rsidTr="00090377">
        <w:trPr>
          <w:trHeight w:val="216"/>
        </w:trPr>
        <w:tc>
          <w:tcPr>
            <w:tcW w:w="10945" w:type="dxa"/>
            <w:gridSpan w:val="5"/>
            <w:tcMar>
              <w:top w:w="29" w:type="dxa"/>
              <w:left w:w="115" w:type="dxa"/>
              <w:bottom w:w="29" w:type="dxa"/>
              <w:right w:w="115" w:type="dxa"/>
            </w:tcMar>
          </w:tcPr>
          <w:p w14:paraId="494E142A" w14:textId="5EC2B793" w:rsidR="00DE43AB" w:rsidRPr="00C35A38" w:rsidRDefault="00DE43AB" w:rsidP="00DE43AB">
            <w:pPr>
              <w:spacing w:after="0" w:line="240" w:lineRule="auto"/>
              <w:rPr>
                <w:rFonts w:ascii="Times New Roman" w:eastAsia="Times New Roman" w:hAnsi="Times New Roman"/>
                <w:b/>
              </w:rPr>
            </w:pPr>
            <w:bookmarkStart w:id="0" w:name="_heading=h.3ewnitgxijcj" w:colFirst="0" w:colLast="0"/>
            <w:bookmarkEnd w:id="0"/>
            <w:r w:rsidRPr="00C35A38">
              <w:rPr>
                <w:rFonts w:ascii="Times New Roman" w:eastAsia="Times New Roman" w:hAnsi="Times New Roman"/>
                <w:b/>
              </w:rPr>
              <w:t>Kita ekonominiam bendradarbiavimui aktuali informacija</w:t>
            </w:r>
          </w:p>
        </w:tc>
      </w:tr>
      <w:tr w:rsidR="00DE43AB" w:rsidRPr="00640017" w14:paraId="11C5CE81" w14:textId="77777777" w:rsidTr="00B869D6">
        <w:trPr>
          <w:gridAfter w:val="1"/>
          <w:wAfter w:w="11" w:type="dxa"/>
          <w:trHeight w:val="216"/>
        </w:trPr>
        <w:tc>
          <w:tcPr>
            <w:tcW w:w="1418" w:type="dxa"/>
            <w:tcMar>
              <w:top w:w="29" w:type="dxa"/>
              <w:left w:w="115" w:type="dxa"/>
              <w:bottom w:w="29" w:type="dxa"/>
              <w:right w:w="115" w:type="dxa"/>
            </w:tcMar>
          </w:tcPr>
          <w:p w14:paraId="6804D0B5" w14:textId="23A895E9" w:rsidR="00DE43AB" w:rsidRDefault="001063F7" w:rsidP="00DE43AB">
            <w:pPr>
              <w:spacing w:after="0" w:line="240" w:lineRule="auto"/>
              <w:rPr>
                <w:rFonts w:ascii="Times New Roman" w:eastAsia="Times New Roman" w:hAnsi="Times New Roman"/>
              </w:rPr>
            </w:pPr>
            <w:r>
              <w:rPr>
                <w:rFonts w:ascii="Times New Roman" w:eastAsia="Times New Roman" w:hAnsi="Times New Roman"/>
              </w:rPr>
              <w:t>2026-05-14</w:t>
            </w:r>
          </w:p>
        </w:tc>
        <w:tc>
          <w:tcPr>
            <w:tcW w:w="5812" w:type="dxa"/>
            <w:tcMar>
              <w:top w:w="29" w:type="dxa"/>
              <w:left w:w="115" w:type="dxa"/>
              <w:bottom w:w="29" w:type="dxa"/>
              <w:right w:w="115" w:type="dxa"/>
            </w:tcMar>
          </w:tcPr>
          <w:p w14:paraId="7CB414D1"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Prancūzijoje daugėjant dirbtinio intelekto plėtrai skirtų duomenų apdorojimo centrų (data centrų) projektų, stiprėja ir vietos bendruomenių bei aplinkosaugos organizacijų pasipriešinimas. Kritikai atkreipia dėmesį į didelį tokių infrastruktūros projektų energijos ir vandens poreikį, žemės naudojimo klausimus bei ribotą ekonominę naudą vietos gyventojams.</w:t>
            </w:r>
          </w:p>
          <w:p w14:paraId="1BC7A83E" w14:textId="4A9A8DF7" w:rsidR="00DE43AB" w:rsidRPr="00F82852"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 xml:space="preserve">Prancūzijoje jau veikia daugiau kaip 350 duomenų apdorojimo centrų, iš jų apie 160 – </w:t>
            </w:r>
            <w:proofErr w:type="spellStart"/>
            <w:r w:rsidRPr="001063F7">
              <w:rPr>
                <w:rFonts w:ascii="Times New Roman" w:eastAsia="Times New Roman" w:hAnsi="Times New Roman"/>
              </w:rPr>
              <w:t>Île</w:t>
            </w:r>
            <w:proofErr w:type="spellEnd"/>
            <w:r w:rsidRPr="001063F7">
              <w:rPr>
                <w:rFonts w:ascii="Times New Roman" w:eastAsia="Times New Roman" w:hAnsi="Times New Roman"/>
              </w:rPr>
              <w:t xml:space="preserve">-de-France regione, tačiau naujų projektų mastas, energijos ir vandens poreikis vis dažniau sulaukia vietos bendruomenių bei aplinkosaugos organizacijų pasipriešinimo. Pavyzdžiui, šalia Paryžiaus esančiame </w:t>
            </w:r>
            <w:proofErr w:type="spellStart"/>
            <w:r w:rsidRPr="001063F7">
              <w:rPr>
                <w:rFonts w:ascii="Times New Roman" w:eastAsia="Times New Roman" w:hAnsi="Times New Roman"/>
              </w:rPr>
              <w:t>Seine</w:t>
            </w:r>
            <w:proofErr w:type="spellEnd"/>
            <w:r w:rsidRPr="001063F7">
              <w:rPr>
                <w:rFonts w:ascii="Times New Roman" w:eastAsia="Times New Roman" w:hAnsi="Times New Roman"/>
              </w:rPr>
              <w:t>-et-</w:t>
            </w:r>
            <w:proofErr w:type="spellStart"/>
            <w:r w:rsidRPr="001063F7">
              <w:rPr>
                <w:rFonts w:ascii="Times New Roman" w:eastAsia="Times New Roman" w:hAnsi="Times New Roman"/>
              </w:rPr>
              <w:t>Marne</w:t>
            </w:r>
            <w:proofErr w:type="spellEnd"/>
            <w:r w:rsidRPr="001063F7">
              <w:rPr>
                <w:rFonts w:ascii="Times New Roman" w:eastAsia="Times New Roman" w:hAnsi="Times New Roman"/>
              </w:rPr>
              <w:t xml:space="preserve"> planuojamas „</w:t>
            </w:r>
            <w:proofErr w:type="spellStart"/>
            <w:r w:rsidRPr="001063F7">
              <w:rPr>
                <w:rFonts w:ascii="Times New Roman" w:eastAsia="Times New Roman" w:hAnsi="Times New Roman"/>
              </w:rPr>
              <w:t>Campus</w:t>
            </w:r>
            <w:proofErr w:type="spellEnd"/>
            <w:r w:rsidRPr="001063F7">
              <w:rPr>
                <w:rFonts w:ascii="Times New Roman" w:eastAsia="Times New Roman" w:hAnsi="Times New Roman"/>
              </w:rPr>
              <w:t xml:space="preserve"> IA“ projektas apimtų apie 90 ha teritoriją ir iki 1,4 GW galios infrastruktūrą.</w:t>
            </w:r>
          </w:p>
        </w:tc>
        <w:tc>
          <w:tcPr>
            <w:tcW w:w="2268" w:type="dxa"/>
            <w:tcMar>
              <w:top w:w="29" w:type="dxa"/>
              <w:left w:w="115" w:type="dxa"/>
              <w:bottom w:w="29" w:type="dxa"/>
              <w:right w:w="115" w:type="dxa"/>
            </w:tcMar>
          </w:tcPr>
          <w:p w14:paraId="558E08FF" w14:textId="3E52E259" w:rsidR="00DE43AB" w:rsidRPr="00C35A38" w:rsidRDefault="001063F7" w:rsidP="00DE43AB">
            <w:pPr>
              <w:spacing w:after="0" w:line="240" w:lineRule="auto"/>
              <w:rPr>
                <w:rFonts w:ascii="Times New Roman" w:eastAsia="Times New Roman" w:hAnsi="Times New Roman"/>
              </w:rPr>
            </w:pPr>
            <w:hyperlink r:id="rId33" w:history="1">
              <w:proofErr w:type="spellStart"/>
              <w:r w:rsidRPr="00C35A38">
                <w:rPr>
                  <w:rFonts w:ascii="Times New Roman" w:hAnsi="Times New Roman"/>
                  <w:color w:val="0000FF"/>
                  <w:u w:val="single"/>
                </w:rPr>
                <w:t>Face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aux</w:t>
              </w:r>
              <w:proofErr w:type="spellEnd"/>
              <w:r w:rsidRPr="00C35A38">
                <w:rPr>
                  <w:rFonts w:ascii="Times New Roman" w:hAnsi="Times New Roman"/>
                  <w:color w:val="0000FF"/>
                  <w:u w:val="single"/>
                </w:rPr>
                <w:t xml:space="preserve"> data </w:t>
              </w:r>
              <w:proofErr w:type="spellStart"/>
              <w:r w:rsidRPr="00C35A38">
                <w:rPr>
                  <w:rFonts w:ascii="Times New Roman" w:hAnsi="Times New Roman"/>
                  <w:color w:val="0000FF"/>
                  <w:u w:val="single"/>
                </w:rPr>
                <w:t>centers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contestation</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cherche</w:t>
              </w:r>
              <w:proofErr w:type="spellEnd"/>
              <w:r w:rsidRPr="00C35A38">
                <w:rPr>
                  <w:rFonts w:ascii="Times New Roman" w:hAnsi="Times New Roman"/>
                  <w:color w:val="0000FF"/>
                  <w:u w:val="single"/>
                </w:rPr>
                <w:t xml:space="preserve"> à </w:t>
              </w:r>
              <w:proofErr w:type="spellStart"/>
              <w:r w:rsidRPr="00C35A38">
                <w:rPr>
                  <w:rFonts w:ascii="Times New Roman" w:hAnsi="Times New Roman"/>
                  <w:color w:val="0000FF"/>
                  <w:u w:val="single"/>
                </w:rPr>
                <w:t>se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faire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entendre</w:t>
              </w:r>
              <w:proofErr w:type="spellEnd"/>
              <w:r w:rsidRPr="00C35A38">
                <w:rPr>
                  <w:rFonts w:ascii="Times New Roman" w:hAnsi="Times New Roman"/>
                  <w:color w:val="0000FF"/>
                  <w:u w:val="single"/>
                </w:rPr>
                <w:t> : « </w:t>
              </w:r>
              <w:proofErr w:type="spellStart"/>
              <w:r w:rsidRPr="00C35A38">
                <w:rPr>
                  <w:rFonts w:ascii="Times New Roman" w:hAnsi="Times New Roman"/>
                  <w:color w:val="0000FF"/>
                  <w:u w:val="single"/>
                </w:rPr>
                <w:t>C’est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difficile</w:t>
              </w:r>
              <w:proofErr w:type="spellEnd"/>
              <w:r w:rsidRPr="00C35A38">
                <w:rPr>
                  <w:rFonts w:ascii="Times New Roman" w:hAnsi="Times New Roman"/>
                  <w:color w:val="0000FF"/>
                  <w:u w:val="single"/>
                </w:rPr>
                <w:t xml:space="preserve"> de </w:t>
              </w:r>
              <w:proofErr w:type="spellStart"/>
              <w:r w:rsidRPr="00C35A38">
                <w:rPr>
                  <w:rFonts w:ascii="Times New Roman" w:hAnsi="Times New Roman"/>
                  <w:color w:val="0000FF"/>
                  <w:u w:val="single"/>
                </w:rPr>
                <w:t>s’opposer</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la</w:t>
              </w:r>
              <w:proofErr w:type="spellEnd"/>
              <w:r w:rsidRPr="00C35A38">
                <w:rPr>
                  <w:rFonts w:ascii="Times New Roman" w:hAnsi="Times New Roman"/>
                  <w:color w:val="0000FF"/>
                  <w:u w:val="single"/>
                </w:rPr>
                <w:t xml:space="preserve"> force de </w:t>
              </w:r>
              <w:proofErr w:type="spellStart"/>
              <w:r w:rsidRPr="00C35A38">
                <w:rPr>
                  <w:rFonts w:ascii="Times New Roman" w:hAnsi="Times New Roman"/>
                  <w:color w:val="0000FF"/>
                  <w:u w:val="single"/>
                </w:rPr>
                <w:t>propagande</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des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promoteurs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est</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très</w:t>
              </w:r>
              <w:proofErr w:type="spellEnd"/>
              <w:r w:rsidRPr="00C35A38">
                <w:rPr>
                  <w:rFonts w:ascii="Times New Roman" w:hAnsi="Times New Roman"/>
                  <w:color w:val="0000FF"/>
                  <w:u w:val="single"/>
                </w:rPr>
                <w:t xml:space="preserve"> </w:t>
              </w:r>
              <w:proofErr w:type="spellStart"/>
              <w:r w:rsidRPr="00C35A38">
                <w:rPr>
                  <w:rFonts w:ascii="Times New Roman" w:hAnsi="Times New Roman"/>
                  <w:color w:val="0000FF"/>
                  <w:u w:val="single"/>
                </w:rPr>
                <w:t>importante</w:t>
              </w:r>
              <w:proofErr w:type="spellEnd"/>
              <w:r w:rsidRPr="00C35A38">
                <w:rPr>
                  <w:rFonts w:ascii="Times New Roman" w:hAnsi="Times New Roman"/>
                  <w:color w:val="0000FF"/>
                  <w:u w:val="single"/>
                </w:rPr>
                <w:t> »</w:t>
              </w:r>
            </w:hyperlink>
          </w:p>
        </w:tc>
        <w:tc>
          <w:tcPr>
            <w:tcW w:w="1436" w:type="dxa"/>
            <w:tcMar>
              <w:top w:w="29" w:type="dxa"/>
              <w:left w:w="115" w:type="dxa"/>
              <w:bottom w:w="29" w:type="dxa"/>
              <w:right w:w="115" w:type="dxa"/>
            </w:tcMar>
          </w:tcPr>
          <w:p w14:paraId="68BA48A4" w14:textId="77777777" w:rsidR="001063F7" w:rsidRPr="001063F7" w:rsidRDefault="001063F7" w:rsidP="001063F7">
            <w:pPr>
              <w:spacing w:after="0" w:line="240" w:lineRule="auto"/>
              <w:rPr>
                <w:rFonts w:ascii="Times New Roman" w:eastAsia="Times New Roman" w:hAnsi="Times New Roman"/>
              </w:rPr>
            </w:pPr>
            <w:r w:rsidRPr="001063F7">
              <w:rPr>
                <w:rFonts w:ascii="Times New Roman" w:eastAsia="Times New Roman" w:hAnsi="Times New Roman"/>
              </w:rPr>
              <w:t>Prancūzijoje stiprėja vietos bendruomenių pasipriešinimas dirbtinio intelekto duomenų apdorojimo centrų plėtrai</w:t>
            </w:r>
          </w:p>
          <w:p w14:paraId="44FBFA80" w14:textId="77777777" w:rsidR="00DE43AB" w:rsidRPr="00640017" w:rsidRDefault="00DE43AB" w:rsidP="00DE43AB">
            <w:pPr>
              <w:spacing w:line="240" w:lineRule="auto"/>
              <w:rPr>
                <w:rFonts w:ascii="Times New Roman" w:eastAsia="Times New Roman" w:hAnsi="Times New Roman"/>
              </w:rPr>
            </w:pPr>
          </w:p>
        </w:tc>
      </w:tr>
      <w:tr w:rsidR="00DE43AB" w:rsidRPr="00640017" w14:paraId="793CC289" w14:textId="77777777" w:rsidTr="00B869D6">
        <w:trPr>
          <w:gridAfter w:val="1"/>
          <w:wAfter w:w="11" w:type="dxa"/>
          <w:trHeight w:val="216"/>
        </w:trPr>
        <w:tc>
          <w:tcPr>
            <w:tcW w:w="1418" w:type="dxa"/>
            <w:tcMar>
              <w:top w:w="29" w:type="dxa"/>
              <w:left w:w="115" w:type="dxa"/>
              <w:bottom w:w="29" w:type="dxa"/>
              <w:right w:w="115" w:type="dxa"/>
            </w:tcMar>
          </w:tcPr>
          <w:p w14:paraId="748025C7" w14:textId="77777777"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2026-05-27</w:t>
            </w:r>
          </w:p>
          <w:p w14:paraId="6C8FE1B5" w14:textId="77777777" w:rsidR="00DE43AB" w:rsidRDefault="00DE43AB" w:rsidP="00DE43AB">
            <w:pPr>
              <w:spacing w:after="0" w:line="240" w:lineRule="auto"/>
              <w:rPr>
                <w:rFonts w:ascii="Times New Roman" w:eastAsia="Times New Roman" w:hAnsi="Times New Roman"/>
              </w:rPr>
            </w:pPr>
          </w:p>
        </w:tc>
        <w:tc>
          <w:tcPr>
            <w:tcW w:w="5812" w:type="dxa"/>
            <w:tcMar>
              <w:top w:w="29" w:type="dxa"/>
              <w:left w:w="115" w:type="dxa"/>
              <w:bottom w:w="29" w:type="dxa"/>
              <w:right w:w="115" w:type="dxa"/>
            </w:tcMar>
          </w:tcPr>
          <w:p w14:paraId="733641FE" w14:textId="77777777" w:rsidR="00DE43AB" w:rsidRPr="00B47ABC" w:rsidRDefault="00DE43AB" w:rsidP="00DE43AB">
            <w:pPr>
              <w:spacing w:after="0" w:line="240" w:lineRule="auto"/>
              <w:rPr>
                <w:rFonts w:ascii="Times New Roman" w:eastAsia="Times New Roman" w:hAnsi="Times New Roman"/>
              </w:rPr>
            </w:pPr>
            <w:proofErr w:type="spellStart"/>
            <w:r w:rsidRPr="00B47ABC">
              <w:rPr>
                <w:rFonts w:ascii="Times New Roman" w:eastAsia="Times New Roman" w:hAnsi="Times New Roman"/>
              </w:rPr>
              <w:t>Duralex</w:t>
            </w:r>
            <w:proofErr w:type="spellEnd"/>
            <w:r w:rsidRPr="00B47ABC">
              <w:rPr>
                <w:rFonts w:ascii="Times New Roman" w:eastAsia="Times New Roman" w:hAnsi="Times New Roman"/>
              </w:rPr>
              <w:t>, garsėjanti visame pasaulyje savo grūdinto stiklo gaminiais, ruošiasi kreiptis dėl teisinės apsaugos nuo kreditorių (</w:t>
            </w:r>
            <w:proofErr w:type="spellStart"/>
            <w:r w:rsidRPr="00B47ABC">
              <w:rPr>
                <w:rFonts w:ascii="Times New Roman" w:eastAsia="Times New Roman" w:hAnsi="Times New Roman"/>
              </w:rPr>
              <w:t>redressement</w:t>
            </w:r>
            <w:proofErr w:type="spellEnd"/>
            <w:r w:rsidRPr="00B47ABC">
              <w:rPr>
                <w:rFonts w:ascii="Times New Roman" w:eastAsia="Times New Roman" w:hAnsi="Times New Roman"/>
              </w:rPr>
              <w:t xml:space="preserve"> </w:t>
            </w:r>
            <w:proofErr w:type="spellStart"/>
            <w:r w:rsidRPr="00B47ABC">
              <w:rPr>
                <w:rFonts w:ascii="Times New Roman" w:eastAsia="Times New Roman" w:hAnsi="Times New Roman"/>
              </w:rPr>
              <w:t>judiciaire</w:t>
            </w:r>
            <w:proofErr w:type="spellEnd"/>
            <w:r w:rsidRPr="00B47ABC">
              <w:rPr>
                <w:rFonts w:ascii="Times New Roman" w:eastAsia="Times New Roman" w:hAnsi="Times New Roman"/>
              </w:rPr>
              <w:t>) po to, kai vėl susidūrė su rimtais finansiniais sunkumais.</w:t>
            </w:r>
          </w:p>
          <w:p w14:paraId="038EB379" w14:textId="77777777" w:rsidR="00DE43AB" w:rsidRPr="00B47ABC" w:rsidRDefault="00DE43AB" w:rsidP="00DE43AB">
            <w:pPr>
              <w:spacing w:after="0" w:line="240" w:lineRule="auto"/>
              <w:rPr>
                <w:rFonts w:ascii="Times New Roman" w:eastAsia="Times New Roman" w:hAnsi="Times New Roman"/>
              </w:rPr>
            </w:pPr>
            <w:r w:rsidRPr="00B47ABC">
              <w:rPr>
                <w:rFonts w:ascii="Times New Roman" w:eastAsia="Times New Roman" w:hAnsi="Times New Roman"/>
              </w:rPr>
              <w:t>Bendrovė, kurią 2024 m. perėmė darbuotojų kooperatyvas (SCOP), šiuo metu turi 243 darbuotojus. Pranešama, kad įmonės lėšos beveik išseko, o darbuotojams gegužę buvo išmokėta tik pusė atlyginimų.</w:t>
            </w:r>
          </w:p>
          <w:p w14:paraId="1487E8B9" w14:textId="77777777" w:rsidR="00DE43AB" w:rsidRPr="00B47ABC" w:rsidRDefault="00DE43AB" w:rsidP="00DE43AB">
            <w:pPr>
              <w:spacing w:after="0" w:line="240" w:lineRule="auto"/>
              <w:rPr>
                <w:rFonts w:ascii="Times New Roman" w:eastAsia="Times New Roman" w:hAnsi="Times New Roman"/>
              </w:rPr>
            </w:pPr>
            <w:r w:rsidRPr="00B47ABC">
              <w:rPr>
                <w:rFonts w:ascii="Times New Roman" w:eastAsia="Times New Roman" w:hAnsi="Times New Roman"/>
              </w:rPr>
              <w:t>Nepaisant didelio visuomenės palaikymo ir sėkmingos kapitalo pritraukimo kampanijos, bendrovė nesugebėjo pasiekti reikiamų pardavimų apimčių. Situaciją dar labiau apsunkino vadovybės pokyčiai ir kritika dėl neefektyvaus valdymo.</w:t>
            </w:r>
          </w:p>
          <w:p w14:paraId="66D2DB75" w14:textId="3CF7CACA" w:rsidR="00DE43AB" w:rsidRPr="00D30560" w:rsidRDefault="00DE43AB" w:rsidP="00B77A4E">
            <w:pPr>
              <w:spacing w:after="0" w:line="240" w:lineRule="auto"/>
              <w:rPr>
                <w:rFonts w:ascii="Times New Roman" w:eastAsia="Times New Roman" w:hAnsi="Times New Roman"/>
                <w:bCs/>
              </w:rPr>
            </w:pPr>
            <w:r w:rsidRPr="00B47ABC">
              <w:rPr>
                <w:rFonts w:ascii="Times New Roman" w:eastAsia="Times New Roman" w:hAnsi="Times New Roman"/>
              </w:rPr>
              <w:t>Jei teismas patvirtins prašymą, tai bus jau penktas „</w:t>
            </w:r>
            <w:proofErr w:type="spellStart"/>
            <w:r w:rsidRPr="00B47ABC">
              <w:rPr>
                <w:rFonts w:ascii="Times New Roman" w:eastAsia="Times New Roman" w:hAnsi="Times New Roman"/>
              </w:rPr>
              <w:t>Duralex</w:t>
            </w:r>
            <w:proofErr w:type="spellEnd"/>
            <w:r w:rsidRPr="00B47ABC">
              <w:rPr>
                <w:rFonts w:ascii="Times New Roman" w:eastAsia="Times New Roman" w:hAnsi="Times New Roman"/>
              </w:rPr>
              <w:t>“ restruktūrizavimo procesas per maždaug dvidešimt metų.</w:t>
            </w:r>
          </w:p>
        </w:tc>
        <w:tc>
          <w:tcPr>
            <w:tcW w:w="2268" w:type="dxa"/>
            <w:tcMar>
              <w:top w:w="29" w:type="dxa"/>
              <w:left w:w="115" w:type="dxa"/>
              <w:bottom w:w="29" w:type="dxa"/>
              <w:right w:w="115" w:type="dxa"/>
            </w:tcMar>
          </w:tcPr>
          <w:p w14:paraId="4239F756" w14:textId="092B6919" w:rsidR="00DE43AB" w:rsidRPr="00C35A38" w:rsidRDefault="00DE43AB" w:rsidP="00DE43AB">
            <w:pPr>
              <w:spacing w:after="0" w:line="240" w:lineRule="auto"/>
              <w:rPr>
                <w:rFonts w:ascii="Times New Roman" w:eastAsia="Times New Roman" w:hAnsi="Times New Roman"/>
              </w:rPr>
            </w:pPr>
            <w:hyperlink r:id="rId34" w:history="1">
              <w:proofErr w:type="spellStart"/>
              <w:r w:rsidRPr="00C35A38">
                <w:rPr>
                  <w:rStyle w:val="Hyperlink"/>
                  <w:rFonts w:ascii="Times New Roman" w:hAnsi="Times New Roman"/>
                </w:rPr>
                <w:t>Duralex</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en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difficulté</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financière</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s’apprête</w:t>
              </w:r>
              <w:proofErr w:type="spellEnd"/>
              <w:r w:rsidRPr="00C35A38">
                <w:rPr>
                  <w:rStyle w:val="Hyperlink"/>
                  <w:rFonts w:ascii="Times New Roman" w:hAnsi="Times New Roman"/>
                </w:rPr>
                <w:t xml:space="preserve"> à </w:t>
              </w:r>
              <w:proofErr w:type="spellStart"/>
              <w:r w:rsidRPr="00C35A38">
                <w:rPr>
                  <w:rStyle w:val="Hyperlink"/>
                  <w:rFonts w:ascii="Times New Roman" w:hAnsi="Times New Roman"/>
                </w:rPr>
                <w:t>demander</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son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placement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en</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redressement</w:t>
              </w:r>
              <w:proofErr w:type="spellEnd"/>
              <w:r w:rsidRPr="00C35A38">
                <w:rPr>
                  <w:rStyle w:val="Hyperlink"/>
                  <w:rFonts w:ascii="Times New Roman" w:hAnsi="Times New Roman"/>
                </w:rPr>
                <w:t xml:space="preserve"> </w:t>
              </w:r>
              <w:proofErr w:type="spellStart"/>
              <w:r w:rsidRPr="00C35A38">
                <w:rPr>
                  <w:rStyle w:val="Hyperlink"/>
                  <w:rFonts w:ascii="Times New Roman" w:hAnsi="Times New Roman"/>
                </w:rPr>
                <w:t>judiciaire</w:t>
              </w:r>
              <w:proofErr w:type="spellEnd"/>
              <w:r w:rsidRPr="00C35A38">
                <w:rPr>
                  <w:rStyle w:val="Hyperlink"/>
                  <w:rFonts w:ascii="Times New Roman" w:hAnsi="Times New Roman"/>
                </w:rPr>
                <w:t xml:space="preserve"> – </w:t>
              </w:r>
              <w:proofErr w:type="spellStart"/>
              <w:r w:rsidRPr="00C35A38">
                <w:rPr>
                  <w:rStyle w:val="Hyperlink"/>
                  <w:rFonts w:ascii="Times New Roman" w:hAnsi="Times New Roman"/>
                </w:rPr>
                <w:t>Libération</w:t>
              </w:r>
              <w:proofErr w:type="spellEnd"/>
            </w:hyperlink>
          </w:p>
        </w:tc>
        <w:tc>
          <w:tcPr>
            <w:tcW w:w="1436" w:type="dxa"/>
            <w:tcMar>
              <w:top w:w="29" w:type="dxa"/>
              <w:left w:w="115" w:type="dxa"/>
              <w:bottom w:w="29" w:type="dxa"/>
              <w:right w:w="115" w:type="dxa"/>
            </w:tcMar>
          </w:tcPr>
          <w:p w14:paraId="5B2A1A38" w14:textId="5430B74A" w:rsidR="00DE43AB" w:rsidRDefault="00DE43AB" w:rsidP="00DE43AB">
            <w:pPr>
              <w:spacing w:after="0" w:line="240" w:lineRule="auto"/>
              <w:rPr>
                <w:rFonts w:ascii="Times New Roman" w:eastAsia="Times New Roman" w:hAnsi="Times New Roman"/>
              </w:rPr>
            </w:pPr>
            <w:r>
              <w:rPr>
                <w:rFonts w:ascii="Times New Roman" w:eastAsia="Times New Roman" w:hAnsi="Times New Roman"/>
              </w:rPr>
              <w:t>Grūdinto stiklo gamintoja „</w:t>
            </w:r>
            <w:proofErr w:type="spellStart"/>
            <w:r w:rsidRPr="001509F6">
              <w:rPr>
                <w:rFonts w:ascii="Times New Roman" w:eastAsia="Times New Roman" w:hAnsi="Times New Roman"/>
              </w:rPr>
              <w:t>Duralex</w:t>
            </w:r>
            <w:proofErr w:type="spellEnd"/>
            <w:r>
              <w:rPr>
                <w:rFonts w:ascii="Times New Roman" w:eastAsia="Times New Roman" w:hAnsi="Times New Roman"/>
              </w:rPr>
              <w:t>“</w:t>
            </w:r>
            <w:r w:rsidRPr="001509F6">
              <w:rPr>
                <w:rFonts w:ascii="Times New Roman" w:eastAsia="Times New Roman" w:hAnsi="Times New Roman"/>
              </w:rPr>
              <w:t xml:space="preserve"> susiduria su naujais finansiniais sunkumais</w:t>
            </w:r>
          </w:p>
        </w:tc>
      </w:tr>
    </w:tbl>
    <w:p w14:paraId="08F95D61" w14:textId="77777777" w:rsidR="00672C47" w:rsidRDefault="00672C47" w:rsidP="00672C47">
      <w:pPr>
        <w:spacing w:after="0" w:line="240" w:lineRule="auto"/>
        <w:rPr>
          <w:rFonts w:ascii="Times New Roman" w:eastAsia="Times New Roman" w:hAnsi="Times New Roman"/>
        </w:rPr>
      </w:pPr>
    </w:p>
    <w:p w14:paraId="37E75B22" w14:textId="77777777" w:rsidR="006859C1" w:rsidRDefault="006859C1" w:rsidP="00672C47">
      <w:pPr>
        <w:spacing w:after="0" w:line="240" w:lineRule="auto"/>
        <w:rPr>
          <w:rFonts w:ascii="Times New Roman" w:eastAsia="Times New Roman" w:hAnsi="Times New Roman"/>
        </w:rPr>
      </w:pPr>
    </w:p>
    <w:p w14:paraId="300A611D" w14:textId="77777777" w:rsidR="006859C1" w:rsidRDefault="006859C1" w:rsidP="00672C47">
      <w:pPr>
        <w:spacing w:after="0" w:line="240" w:lineRule="auto"/>
        <w:rPr>
          <w:rFonts w:ascii="Times New Roman" w:eastAsia="Times New Roman" w:hAnsi="Times New Roman"/>
        </w:rPr>
      </w:pPr>
    </w:p>
    <w:p w14:paraId="7FC59475" w14:textId="77777777" w:rsidR="00C35A38" w:rsidRDefault="00C35A38" w:rsidP="00672C47">
      <w:pPr>
        <w:spacing w:after="0" w:line="240" w:lineRule="auto"/>
        <w:rPr>
          <w:rFonts w:ascii="Times New Roman" w:eastAsia="Times New Roman" w:hAnsi="Times New Roman"/>
        </w:rPr>
      </w:pPr>
    </w:p>
    <w:p w14:paraId="1AEB60E2" w14:textId="77777777" w:rsidR="00C35A38" w:rsidRDefault="00C35A38" w:rsidP="00672C47">
      <w:pPr>
        <w:spacing w:after="0" w:line="240" w:lineRule="auto"/>
        <w:rPr>
          <w:rFonts w:ascii="Times New Roman" w:eastAsia="Times New Roman" w:hAnsi="Times New Roman"/>
        </w:rPr>
      </w:pPr>
    </w:p>
    <w:p w14:paraId="3F35FFCA" w14:textId="77777777" w:rsidR="006859C1" w:rsidRDefault="006859C1" w:rsidP="00672C47">
      <w:pPr>
        <w:spacing w:after="0" w:line="240" w:lineRule="auto"/>
        <w:rPr>
          <w:rFonts w:ascii="Times New Roman" w:eastAsia="Times New Roman" w:hAnsi="Times New Roman"/>
        </w:rPr>
      </w:pPr>
    </w:p>
    <w:p w14:paraId="25AD0475" w14:textId="193C73DF"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lastRenderedPageBreak/>
        <w:t>Parengė:</w:t>
      </w:r>
    </w:p>
    <w:p w14:paraId="7990BDC3" w14:textId="77777777" w:rsidR="00672C47" w:rsidRPr="00672C47" w:rsidRDefault="00672C47" w:rsidP="00672C47">
      <w:pPr>
        <w:spacing w:after="0" w:line="240" w:lineRule="auto"/>
        <w:rPr>
          <w:rFonts w:ascii="Times New Roman" w:eastAsia="Times New Roman" w:hAnsi="Times New Roman"/>
        </w:rPr>
      </w:pPr>
    </w:p>
    <w:p w14:paraId="40CCEA0F"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Vitalija Kardokaitė-Šimanauskienė, LR ambasados Prancūzijos Respublikoje antroji sekretorė, mob. +33 6 85 13 54 44, el. paštas vitalija.kardokaite-simanauskiene@urm.lt </w:t>
      </w:r>
    </w:p>
    <w:p w14:paraId="103C23FC" w14:textId="77777777" w:rsidR="00672C47" w:rsidRPr="00672C47" w:rsidRDefault="00672C47" w:rsidP="00672C47">
      <w:pPr>
        <w:spacing w:after="0" w:line="240" w:lineRule="auto"/>
        <w:rPr>
          <w:rFonts w:ascii="Times New Roman" w:eastAsia="Times New Roman" w:hAnsi="Times New Roman"/>
        </w:rPr>
      </w:pPr>
    </w:p>
    <w:p w14:paraId="6E3D288D"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Otilija Snieškaitė, LR ambasados Prancūzijos Respublikoje komercijos atašė, mob. +33 7 60 52 42 58, el. paštas otilija.snieskaite@urm.lt</w:t>
      </w:r>
    </w:p>
    <w:p w14:paraId="3B49974B" w14:textId="77777777" w:rsidR="00672C47" w:rsidRPr="00672C47" w:rsidRDefault="00672C47" w:rsidP="00672C47">
      <w:pPr>
        <w:spacing w:after="0" w:line="240" w:lineRule="auto"/>
        <w:rPr>
          <w:rFonts w:ascii="Times New Roman" w:eastAsia="Times New Roman" w:hAnsi="Times New Roman"/>
        </w:rPr>
      </w:pPr>
    </w:p>
    <w:p w14:paraId="113DEBA5"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Neringa Greičiutė, LR ambasados Prancūzijos Respublikoje komercijos atašė, mob. +33 7 65 71 29 42, el. paštas neringa.greiciute@urm.lt </w:t>
      </w:r>
    </w:p>
    <w:p w14:paraId="0B2E9639" w14:textId="77777777" w:rsidR="00771DF0" w:rsidRPr="00771DF0" w:rsidRDefault="00771DF0" w:rsidP="00771DF0">
      <w:pPr>
        <w:spacing w:after="0" w:line="240" w:lineRule="auto"/>
        <w:rPr>
          <w:rFonts w:ascii="Times New Roman" w:eastAsia="Times New Roman" w:hAnsi="Times New Roman"/>
        </w:rPr>
      </w:pPr>
      <w:r w:rsidRPr="00771DF0">
        <w:rPr>
          <w:rFonts w:ascii="Times New Roman" w:eastAsia="Times New Roman" w:hAnsi="Times New Roman"/>
        </w:rPr>
        <w:t>_______________________________________________</w:t>
      </w:r>
    </w:p>
    <w:p w14:paraId="1545B272"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 xml:space="preserve">(Lietuvos Respublikos diplomatinės atstovybės ar konsulinės įstaigos darbuotojo </w:t>
      </w:r>
    </w:p>
    <w:p w14:paraId="2DDB798F"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pareigos, vardas pavardė, telefono numeris, el. paštas)</w:t>
      </w:r>
    </w:p>
    <w:p w14:paraId="1FCE2A0C" w14:textId="77777777" w:rsidR="00D22BFD" w:rsidRPr="00640017" w:rsidRDefault="00D22BFD">
      <w:pPr>
        <w:spacing w:after="0" w:line="240" w:lineRule="auto"/>
        <w:rPr>
          <w:rFonts w:ascii="Times New Roman" w:eastAsia="Times New Roman" w:hAnsi="Times New Roman"/>
        </w:rPr>
      </w:pPr>
    </w:p>
    <w:sectPr w:rsidR="00D22BFD" w:rsidRPr="00640017">
      <w:footerReference w:type="default" r:id="rId35"/>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1D89" w14:textId="77777777" w:rsidR="0055317A" w:rsidRDefault="0055317A">
      <w:pPr>
        <w:spacing w:after="0" w:line="240" w:lineRule="auto"/>
      </w:pPr>
      <w:r>
        <w:separator/>
      </w:r>
    </w:p>
  </w:endnote>
  <w:endnote w:type="continuationSeparator" w:id="0">
    <w:p w14:paraId="2542A661" w14:textId="77777777" w:rsidR="0055317A" w:rsidRDefault="0055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2576" w14:textId="77777777" w:rsidR="0055317A" w:rsidRDefault="0055317A">
      <w:pPr>
        <w:spacing w:after="0" w:line="240" w:lineRule="auto"/>
      </w:pPr>
      <w:r>
        <w:separator/>
      </w:r>
    </w:p>
  </w:footnote>
  <w:footnote w:type="continuationSeparator" w:id="0">
    <w:p w14:paraId="63A58058" w14:textId="77777777" w:rsidR="0055317A" w:rsidRDefault="0055317A">
      <w:pPr>
        <w:spacing w:after="0" w:line="240" w:lineRule="auto"/>
      </w:pPr>
      <w:r>
        <w:continuationSeparator/>
      </w:r>
    </w:p>
  </w:footnote>
  <w:footnote w:id="1">
    <w:p w14:paraId="0CE32ADB" w14:textId="77777777" w:rsidR="00DE43AB" w:rsidRDefault="00DE43AB"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250B6"/>
    <w:rsid w:val="0002730A"/>
    <w:rsid w:val="00027ED0"/>
    <w:rsid w:val="00031248"/>
    <w:rsid w:val="00033CF9"/>
    <w:rsid w:val="000365DB"/>
    <w:rsid w:val="00041854"/>
    <w:rsid w:val="00042BD4"/>
    <w:rsid w:val="00051172"/>
    <w:rsid w:val="00054E46"/>
    <w:rsid w:val="000569A6"/>
    <w:rsid w:val="000607C6"/>
    <w:rsid w:val="00061E4C"/>
    <w:rsid w:val="0006501C"/>
    <w:rsid w:val="000664DA"/>
    <w:rsid w:val="0006733C"/>
    <w:rsid w:val="0007150E"/>
    <w:rsid w:val="00071B21"/>
    <w:rsid w:val="00071F81"/>
    <w:rsid w:val="00074AD5"/>
    <w:rsid w:val="000768D4"/>
    <w:rsid w:val="0008042B"/>
    <w:rsid w:val="00084D81"/>
    <w:rsid w:val="0008592C"/>
    <w:rsid w:val="0009000B"/>
    <w:rsid w:val="00090377"/>
    <w:rsid w:val="000931B9"/>
    <w:rsid w:val="00096246"/>
    <w:rsid w:val="0009694F"/>
    <w:rsid w:val="000A76B9"/>
    <w:rsid w:val="000B14C6"/>
    <w:rsid w:val="000B306A"/>
    <w:rsid w:val="000B37C0"/>
    <w:rsid w:val="000B3B1D"/>
    <w:rsid w:val="000C03DC"/>
    <w:rsid w:val="000C2683"/>
    <w:rsid w:val="000C3429"/>
    <w:rsid w:val="000C3CE0"/>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3F7"/>
    <w:rsid w:val="00106A79"/>
    <w:rsid w:val="001070DB"/>
    <w:rsid w:val="001076B6"/>
    <w:rsid w:val="00110023"/>
    <w:rsid w:val="00112807"/>
    <w:rsid w:val="00120A3D"/>
    <w:rsid w:val="0012207C"/>
    <w:rsid w:val="00122FF8"/>
    <w:rsid w:val="00125EB3"/>
    <w:rsid w:val="001310C1"/>
    <w:rsid w:val="001322BA"/>
    <w:rsid w:val="00142144"/>
    <w:rsid w:val="00143987"/>
    <w:rsid w:val="001445D6"/>
    <w:rsid w:val="001509F6"/>
    <w:rsid w:val="00152986"/>
    <w:rsid w:val="001532E9"/>
    <w:rsid w:val="001629E8"/>
    <w:rsid w:val="00165564"/>
    <w:rsid w:val="00165D4A"/>
    <w:rsid w:val="00166EC6"/>
    <w:rsid w:val="001729AE"/>
    <w:rsid w:val="00172D27"/>
    <w:rsid w:val="001730F1"/>
    <w:rsid w:val="00181A3D"/>
    <w:rsid w:val="00186DE2"/>
    <w:rsid w:val="00190D3D"/>
    <w:rsid w:val="00195483"/>
    <w:rsid w:val="00196250"/>
    <w:rsid w:val="0019751B"/>
    <w:rsid w:val="001A0005"/>
    <w:rsid w:val="001A0987"/>
    <w:rsid w:val="001A117B"/>
    <w:rsid w:val="001A2548"/>
    <w:rsid w:val="001A2EC2"/>
    <w:rsid w:val="001A5FDB"/>
    <w:rsid w:val="001A77E3"/>
    <w:rsid w:val="001B0D53"/>
    <w:rsid w:val="001B2DA1"/>
    <w:rsid w:val="001B376E"/>
    <w:rsid w:val="001B533E"/>
    <w:rsid w:val="001B5475"/>
    <w:rsid w:val="001B6EF3"/>
    <w:rsid w:val="001C0A1C"/>
    <w:rsid w:val="001C213C"/>
    <w:rsid w:val="001C228F"/>
    <w:rsid w:val="001C252C"/>
    <w:rsid w:val="001C2742"/>
    <w:rsid w:val="001D0F0D"/>
    <w:rsid w:val="001D1490"/>
    <w:rsid w:val="001D5450"/>
    <w:rsid w:val="001E213D"/>
    <w:rsid w:val="001E5C73"/>
    <w:rsid w:val="001E6FB0"/>
    <w:rsid w:val="001F0C13"/>
    <w:rsid w:val="001F1CEE"/>
    <w:rsid w:val="00201C16"/>
    <w:rsid w:val="00202FEB"/>
    <w:rsid w:val="0020410B"/>
    <w:rsid w:val="0020670D"/>
    <w:rsid w:val="00207D1A"/>
    <w:rsid w:val="00210E8F"/>
    <w:rsid w:val="00210F68"/>
    <w:rsid w:val="002144FF"/>
    <w:rsid w:val="00214E84"/>
    <w:rsid w:val="00215681"/>
    <w:rsid w:val="002165F9"/>
    <w:rsid w:val="002211B2"/>
    <w:rsid w:val="00222FFB"/>
    <w:rsid w:val="0022699B"/>
    <w:rsid w:val="00226BFC"/>
    <w:rsid w:val="00231B5C"/>
    <w:rsid w:val="002366BC"/>
    <w:rsid w:val="00237285"/>
    <w:rsid w:val="002421E2"/>
    <w:rsid w:val="0024315C"/>
    <w:rsid w:val="002534F0"/>
    <w:rsid w:val="00253AE8"/>
    <w:rsid w:val="00253DE8"/>
    <w:rsid w:val="0025405B"/>
    <w:rsid w:val="0026270B"/>
    <w:rsid w:val="0026542D"/>
    <w:rsid w:val="002669DD"/>
    <w:rsid w:val="00273B9E"/>
    <w:rsid w:val="00280D13"/>
    <w:rsid w:val="002816F7"/>
    <w:rsid w:val="002843FD"/>
    <w:rsid w:val="002925FB"/>
    <w:rsid w:val="00295984"/>
    <w:rsid w:val="00296453"/>
    <w:rsid w:val="002A08F0"/>
    <w:rsid w:val="002A14B8"/>
    <w:rsid w:val="002A24E6"/>
    <w:rsid w:val="002A464F"/>
    <w:rsid w:val="002A4CB3"/>
    <w:rsid w:val="002A5D73"/>
    <w:rsid w:val="002B22F4"/>
    <w:rsid w:val="002B2A24"/>
    <w:rsid w:val="002B44E7"/>
    <w:rsid w:val="002B5025"/>
    <w:rsid w:val="002B7659"/>
    <w:rsid w:val="002C1F44"/>
    <w:rsid w:val="002C324B"/>
    <w:rsid w:val="002C4D75"/>
    <w:rsid w:val="002C7567"/>
    <w:rsid w:val="002D495E"/>
    <w:rsid w:val="002D6000"/>
    <w:rsid w:val="002D6883"/>
    <w:rsid w:val="002E1878"/>
    <w:rsid w:val="002E4FB7"/>
    <w:rsid w:val="002F0320"/>
    <w:rsid w:val="002F1AF8"/>
    <w:rsid w:val="002F2A06"/>
    <w:rsid w:val="002F2AA1"/>
    <w:rsid w:val="002F3D3A"/>
    <w:rsid w:val="002F456D"/>
    <w:rsid w:val="00302546"/>
    <w:rsid w:val="003047FF"/>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645A"/>
    <w:rsid w:val="003574BF"/>
    <w:rsid w:val="00357C70"/>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119F"/>
    <w:rsid w:val="00395194"/>
    <w:rsid w:val="00396996"/>
    <w:rsid w:val="003A3284"/>
    <w:rsid w:val="003A4900"/>
    <w:rsid w:val="003A4A96"/>
    <w:rsid w:val="003A77B5"/>
    <w:rsid w:val="003B1687"/>
    <w:rsid w:val="003B37BB"/>
    <w:rsid w:val="003B3CC9"/>
    <w:rsid w:val="003B4FF0"/>
    <w:rsid w:val="003B62EE"/>
    <w:rsid w:val="003B739C"/>
    <w:rsid w:val="003C015E"/>
    <w:rsid w:val="003C41B7"/>
    <w:rsid w:val="003D1686"/>
    <w:rsid w:val="003D20B2"/>
    <w:rsid w:val="003D256C"/>
    <w:rsid w:val="003D780C"/>
    <w:rsid w:val="003E1B80"/>
    <w:rsid w:val="003F1144"/>
    <w:rsid w:val="0040009E"/>
    <w:rsid w:val="004044F1"/>
    <w:rsid w:val="00405B61"/>
    <w:rsid w:val="00406715"/>
    <w:rsid w:val="0041274A"/>
    <w:rsid w:val="00415106"/>
    <w:rsid w:val="004163D6"/>
    <w:rsid w:val="004178C3"/>
    <w:rsid w:val="00425014"/>
    <w:rsid w:val="00432E4F"/>
    <w:rsid w:val="00434084"/>
    <w:rsid w:val="00434646"/>
    <w:rsid w:val="00434AF0"/>
    <w:rsid w:val="00435AC6"/>
    <w:rsid w:val="004375F7"/>
    <w:rsid w:val="00437854"/>
    <w:rsid w:val="00437E67"/>
    <w:rsid w:val="00443A41"/>
    <w:rsid w:val="00444328"/>
    <w:rsid w:val="00444C06"/>
    <w:rsid w:val="00446E8F"/>
    <w:rsid w:val="004473D9"/>
    <w:rsid w:val="00450642"/>
    <w:rsid w:val="00461F9F"/>
    <w:rsid w:val="0046235B"/>
    <w:rsid w:val="00462946"/>
    <w:rsid w:val="004633A1"/>
    <w:rsid w:val="00464D6C"/>
    <w:rsid w:val="00466AE1"/>
    <w:rsid w:val="00466E54"/>
    <w:rsid w:val="00471775"/>
    <w:rsid w:val="00472EFB"/>
    <w:rsid w:val="00474C05"/>
    <w:rsid w:val="00475623"/>
    <w:rsid w:val="004809D1"/>
    <w:rsid w:val="00480ED1"/>
    <w:rsid w:val="004814AD"/>
    <w:rsid w:val="004832E5"/>
    <w:rsid w:val="00484E60"/>
    <w:rsid w:val="00486343"/>
    <w:rsid w:val="00490806"/>
    <w:rsid w:val="00490BBE"/>
    <w:rsid w:val="00490FD7"/>
    <w:rsid w:val="0049314F"/>
    <w:rsid w:val="00493522"/>
    <w:rsid w:val="0049571E"/>
    <w:rsid w:val="004A1212"/>
    <w:rsid w:val="004A206C"/>
    <w:rsid w:val="004A6B54"/>
    <w:rsid w:val="004B6CA3"/>
    <w:rsid w:val="004B6CD5"/>
    <w:rsid w:val="004C06EF"/>
    <w:rsid w:val="004C0B87"/>
    <w:rsid w:val="004C1E01"/>
    <w:rsid w:val="004C3313"/>
    <w:rsid w:val="004C3968"/>
    <w:rsid w:val="004C5C01"/>
    <w:rsid w:val="004C686C"/>
    <w:rsid w:val="004D2A24"/>
    <w:rsid w:val="004D5AA8"/>
    <w:rsid w:val="004D7557"/>
    <w:rsid w:val="004E0EB0"/>
    <w:rsid w:val="004F42B5"/>
    <w:rsid w:val="004F461D"/>
    <w:rsid w:val="004F499F"/>
    <w:rsid w:val="004F5E00"/>
    <w:rsid w:val="004F7F38"/>
    <w:rsid w:val="005000BB"/>
    <w:rsid w:val="00500E6F"/>
    <w:rsid w:val="00503487"/>
    <w:rsid w:val="00504332"/>
    <w:rsid w:val="00504D66"/>
    <w:rsid w:val="0050504B"/>
    <w:rsid w:val="005061EB"/>
    <w:rsid w:val="00507FAA"/>
    <w:rsid w:val="0051260B"/>
    <w:rsid w:val="00514704"/>
    <w:rsid w:val="00521F8A"/>
    <w:rsid w:val="005279E7"/>
    <w:rsid w:val="00530B56"/>
    <w:rsid w:val="00531D43"/>
    <w:rsid w:val="00532789"/>
    <w:rsid w:val="00537891"/>
    <w:rsid w:val="00537CA0"/>
    <w:rsid w:val="005412AB"/>
    <w:rsid w:val="00542B01"/>
    <w:rsid w:val="005467BE"/>
    <w:rsid w:val="005519DE"/>
    <w:rsid w:val="00551AE7"/>
    <w:rsid w:val="00552578"/>
    <w:rsid w:val="00552D27"/>
    <w:rsid w:val="0055317A"/>
    <w:rsid w:val="0055375C"/>
    <w:rsid w:val="00554298"/>
    <w:rsid w:val="00554D34"/>
    <w:rsid w:val="0055511D"/>
    <w:rsid w:val="00563202"/>
    <w:rsid w:val="00566856"/>
    <w:rsid w:val="00567595"/>
    <w:rsid w:val="00570FE2"/>
    <w:rsid w:val="005717B2"/>
    <w:rsid w:val="00573A07"/>
    <w:rsid w:val="00575E10"/>
    <w:rsid w:val="0057611A"/>
    <w:rsid w:val="00584457"/>
    <w:rsid w:val="005856D8"/>
    <w:rsid w:val="005919D7"/>
    <w:rsid w:val="0059280B"/>
    <w:rsid w:val="005964F2"/>
    <w:rsid w:val="005A1F00"/>
    <w:rsid w:val="005A348A"/>
    <w:rsid w:val="005A7B63"/>
    <w:rsid w:val="005B3F51"/>
    <w:rsid w:val="005C09FA"/>
    <w:rsid w:val="005C19BB"/>
    <w:rsid w:val="005C2924"/>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5A1B"/>
    <w:rsid w:val="00607D11"/>
    <w:rsid w:val="006143AB"/>
    <w:rsid w:val="00615B50"/>
    <w:rsid w:val="006160C5"/>
    <w:rsid w:val="00616CF5"/>
    <w:rsid w:val="00621445"/>
    <w:rsid w:val="0062270E"/>
    <w:rsid w:val="00627D81"/>
    <w:rsid w:val="00633568"/>
    <w:rsid w:val="0063557C"/>
    <w:rsid w:val="00640017"/>
    <w:rsid w:val="00640614"/>
    <w:rsid w:val="00642161"/>
    <w:rsid w:val="00645D04"/>
    <w:rsid w:val="006608F7"/>
    <w:rsid w:val="0066139A"/>
    <w:rsid w:val="0066473B"/>
    <w:rsid w:val="00665613"/>
    <w:rsid w:val="0066563D"/>
    <w:rsid w:val="00671240"/>
    <w:rsid w:val="00672859"/>
    <w:rsid w:val="00672C47"/>
    <w:rsid w:val="00674B81"/>
    <w:rsid w:val="00676E3B"/>
    <w:rsid w:val="006810BB"/>
    <w:rsid w:val="00682893"/>
    <w:rsid w:val="00684DAC"/>
    <w:rsid w:val="006856E3"/>
    <w:rsid w:val="006858FB"/>
    <w:rsid w:val="006859C1"/>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F0021"/>
    <w:rsid w:val="006F269D"/>
    <w:rsid w:val="006F38CE"/>
    <w:rsid w:val="00702BB7"/>
    <w:rsid w:val="00702FC5"/>
    <w:rsid w:val="007034C4"/>
    <w:rsid w:val="0070509E"/>
    <w:rsid w:val="00710D98"/>
    <w:rsid w:val="0071128D"/>
    <w:rsid w:val="00711933"/>
    <w:rsid w:val="00712C40"/>
    <w:rsid w:val="007209BE"/>
    <w:rsid w:val="00720DA3"/>
    <w:rsid w:val="007226BE"/>
    <w:rsid w:val="00723CCB"/>
    <w:rsid w:val="00724294"/>
    <w:rsid w:val="007250D5"/>
    <w:rsid w:val="00725E55"/>
    <w:rsid w:val="0073775B"/>
    <w:rsid w:val="00742C85"/>
    <w:rsid w:val="00742FDD"/>
    <w:rsid w:val="00744B49"/>
    <w:rsid w:val="007530FD"/>
    <w:rsid w:val="007556A7"/>
    <w:rsid w:val="007562F6"/>
    <w:rsid w:val="00757781"/>
    <w:rsid w:val="00757D72"/>
    <w:rsid w:val="0076152E"/>
    <w:rsid w:val="00763863"/>
    <w:rsid w:val="007644BF"/>
    <w:rsid w:val="00764F29"/>
    <w:rsid w:val="007655CF"/>
    <w:rsid w:val="0077165F"/>
    <w:rsid w:val="00771DF0"/>
    <w:rsid w:val="00773E30"/>
    <w:rsid w:val="00783352"/>
    <w:rsid w:val="00787893"/>
    <w:rsid w:val="00787917"/>
    <w:rsid w:val="00793FE2"/>
    <w:rsid w:val="0079731D"/>
    <w:rsid w:val="007A0A9C"/>
    <w:rsid w:val="007A1BCE"/>
    <w:rsid w:val="007A375D"/>
    <w:rsid w:val="007A45E4"/>
    <w:rsid w:val="007A533A"/>
    <w:rsid w:val="007B131C"/>
    <w:rsid w:val="007B1767"/>
    <w:rsid w:val="007B3DDB"/>
    <w:rsid w:val="007C1B1B"/>
    <w:rsid w:val="007C2473"/>
    <w:rsid w:val="007C4CCF"/>
    <w:rsid w:val="007C55B4"/>
    <w:rsid w:val="007D1006"/>
    <w:rsid w:val="007D1A84"/>
    <w:rsid w:val="007E3403"/>
    <w:rsid w:val="007E4860"/>
    <w:rsid w:val="007E5B54"/>
    <w:rsid w:val="007E60F1"/>
    <w:rsid w:val="007E71A9"/>
    <w:rsid w:val="007F144B"/>
    <w:rsid w:val="007F1CC3"/>
    <w:rsid w:val="0080041B"/>
    <w:rsid w:val="0080065D"/>
    <w:rsid w:val="00804A07"/>
    <w:rsid w:val="008064A5"/>
    <w:rsid w:val="00812892"/>
    <w:rsid w:val="0081688D"/>
    <w:rsid w:val="00817C58"/>
    <w:rsid w:val="00822A48"/>
    <w:rsid w:val="00826DFD"/>
    <w:rsid w:val="00832053"/>
    <w:rsid w:val="008351A6"/>
    <w:rsid w:val="0083599F"/>
    <w:rsid w:val="008376FF"/>
    <w:rsid w:val="00840C96"/>
    <w:rsid w:val="00841231"/>
    <w:rsid w:val="00844A22"/>
    <w:rsid w:val="0084512A"/>
    <w:rsid w:val="00845E80"/>
    <w:rsid w:val="00847B1F"/>
    <w:rsid w:val="00847FC1"/>
    <w:rsid w:val="0085159E"/>
    <w:rsid w:val="00852FEF"/>
    <w:rsid w:val="008554B0"/>
    <w:rsid w:val="00856173"/>
    <w:rsid w:val="00857381"/>
    <w:rsid w:val="008613D6"/>
    <w:rsid w:val="00862900"/>
    <w:rsid w:val="00871A5D"/>
    <w:rsid w:val="00873532"/>
    <w:rsid w:val="00880CC0"/>
    <w:rsid w:val="00880DD2"/>
    <w:rsid w:val="00881607"/>
    <w:rsid w:val="00881B23"/>
    <w:rsid w:val="0088448C"/>
    <w:rsid w:val="00884F22"/>
    <w:rsid w:val="00886230"/>
    <w:rsid w:val="008918BC"/>
    <w:rsid w:val="0089534A"/>
    <w:rsid w:val="00896DAD"/>
    <w:rsid w:val="00897A90"/>
    <w:rsid w:val="008A04D5"/>
    <w:rsid w:val="008A055A"/>
    <w:rsid w:val="008A192B"/>
    <w:rsid w:val="008A2354"/>
    <w:rsid w:val="008A27DD"/>
    <w:rsid w:val="008A2A96"/>
    <w:rsid w:val="008A3C9F"/>
    <w:rsid w:val="008A4FD2"/>
    <w:rsid w:val="008B24F2"/>
    <w:rsid w:val="008B6955"/>
    <w:rsid w:val="008C134A"/>
    <w:rsid w:val="008C2168"/>
    <w:rsid w:val="008C647A"/>
    <w:rsid w:val="008C7646"/>
    <w:rsid w:val="008D0B18"/>
    <w:rsid w:val="008D1FD6"/>
    <w:rsid w:val="008D454B"/>
    <w:rsid w:val="008E2185"/>
    <w:rsid w:val="008E5192"/>
    <w:rsid w:val="008F60F6"/>
    <w:rsid w:val="008F7913"/>
    <w:rsid w:val="009051BB"/>
    <w:rsid w:val="00905700"/>
    <w:rsid w:val="00905E95"/>
    <w:rsid w:val="00906F0A"/>
    <w:rsid w:val="00911D9C"/>
    <w:rsid w:val="00912BDE"/>
    <w:rsid w:val="009155C2"/>
    <w:rsid w:val="00916A0E"/>
    <w:rsid w:val="00916BA8"/>
    <w:rsid w:val="00917BA5"/>
    <w:rsid w:val="00917E88"/>
    <w:rsid w:val="0092676A"/>
    <w:rsid w:val="00931336"/>
    <w:rsid w:val="0093146C"/>
    <w:rsid w:val="00934F39"/>
    <w:rsid w:val="0093550D"/>
    <w:rsid w:val="009374E5"/>
    <w:rsid w:val="00941637"/>
    <w:rsid w:val="00942C4B"/>
    <w:rsid w:val="009438C0"/>
    <w:rsid w:val="00945101"/>
    <w:rsid w:val="00945CCF"/>
    <w:rsid w:val="00946748"/>
    <w:rsid w:val="00946AFE"/>
    <w:rsid w:val="00947A96"/>
    <w:rsid w:val="00950912"/>
    <w:rsid w:val="00950B33"/>
    <w:rsid w:val="00950C5B"/>
    <w:rsid w:val="00951998"/>
    <w:rsid w:val="00954E06"/>
    <w:rsid w:val="00970807"/>
    <w:rsid w:val="009738A2"/>
    <w:rsid w:val="009749D0"/>
    <w:rsid w:val="00974B7F"/>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D234E"/>
    <w:rsid w:val="009D36B6"/>
    <w:rsid w:val="009E29C1"/>
    <w:rsid w:val="009E3C29"/>
    <w:rsid w:val="009F30B0"/>
    <w:rsid w:val="009F4176"/>
    <w:rsid w:val="009F579B"/>
    <w:rsid w:val="00A03C23"/>
    <w:rsid w:val="00A05635"/>
    <w:rsid w:val="00A0630C"/>
    <w:rsid w:val="00A068D2"/>
    <w:rsid w:val="00A06A1B"/>
    <w:rsid w:val="00A079D4"/>
    <w:rsid w:val="00A26EDD"/>
    <w:rsid w:val="00A33466"/>
    <w:rsid w:val="00A35B3A"/>
    <w:rsid w:val="00A36E8F"/>
    <w:rsid w:val="00A377A7"/>
    <w:rsid w:val="00A40649"/>
    <w:rsid w:val="00A42AD9"/>
    <w:rsid w:val="00A42E83"/>
    <w:rsid w:val="00A46133"/>
    <w:rsid w:val="00A527F4"/>
    <w:rsid w:val="00A53018"/>
    <w:rsid w:val="00A53237"/>
    <w:rsid w:val="00A53A05"/>
    <w:rsid w:val="00A545C6"/>
    <w:rsid w:val="00A54DBB"/>
    <w:rsid w:val="00A55955"/>
    <w:rsid w:val="00A55ADD"/>
    <w:rsid w:val="00A60605"/>
    <w:rsid w:val="00A60ABF"/>
    <w:rsid w:val="00A60F62"/>
    <w:rsid w:val="00A65D10"/>
    <w:rsid w:val="00A675EF"/>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3A0A"/>
    <w:rsid w:val="00AA5F5D"/>
    <w:rsid w:val="00AB0F23"/>
    <w:rsid w:val="00AB1CFB"/>
    <w:rsid w:val="00AB6735"/>
    <w:rsid w:val="00AC34CD"/>
    <w:rsid w:val="00AC622E"/>
    <w:rsid w:val="00AC7D43"/>
    <w:rsid w:val="00AD0C83"/>
    <w:rsid w:val="00AD4D7C"/>
    <w:rsid w:val="00AD5976"/>
    <w:rsid w:val="00AD6335"/>
    <w:rsid w:val="00AD6C94"/>
    <w:rsid w:val="00AE058A"/>
    <w:rsid w:val="00AE1C01"/>
    <w:rsid w:val="00AE25A8"/>
    <w:rsid w:val="00AE4B12"/>
    <w:rsid w:val="00AE6772"/>
    <w:rsid w:val="00AE7367"/>
    <w:rsid w:val="00AF13EE"/>
    <w:rsid w:val="00AF2AE9"/>
    <w:rsid w:val="00AF351F"/>
    <w:rsid w:val="00AF357D"/>
    <w:rsid w:val="00AF35AE"/>
    <w:rsid w:val="00AF65F2"/>
    <w:rsid w:val="00B00D92"/>
    <w:rsid w:val="00B0335A"/>
    <w:rsid w:val="00B13EEC"/>
    <w:rsid w:val="00B16050"/>
    <w:rsid w:val="00B22573"/>
    <w:rsid w:val="00B22745"/>
    <w:rsid w:val="00B26CC0"/>
    <w:rsid w:val="00B30351"/>
    <w:rsid w:val="00B31946"/>
    <w:rsid w:val="00B35D66"/>
    <w:rsid w:val="00B41676"/>
    <w:rsid w:val="00B41A3F"/>
    <w:rsid w:val="00B442E2"/>
    <w:rsid w:val="00B454B5"/>
    <w:rsid w:val="00B474DC"/>
    <w:rsid w:val="00B47ABC"/>
    <w:rsid w:val="00B47C61"/>
    <w:rsid w:val="00B50F67"/>
    <w:rsid w:val="00B50FC1"/>
    <w:rsid w:val="00B5189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77A4E"/>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B0FDE"/>
    <w:rsid w:val="00BB34B9"/>
    <w:rsid w:val="00BB35B3"/>
    <w:rsid w:val="00BB4D25"/>
    <w:rsid w:val="00BB4F2D"/>
    <w:rsid w:val="00BB5477"/>
    <w:rsid w:val="00BC1167"/>
    <w:rsid w:val="00BC3724"/>
    <w:rsid w:val="00BC4FB6"/>
    <w:rsid w:val="00BC6A13"/>
    <w:rsid w:val="00BC6A28"/>
    <w:rsid w:val="00BC7F68"/>
    <w:rsid w:val="00BD33D1"/>
    <w:rsid w:val="00BD609F"/>
    <w:rsid w:val="00BE4712"/>
    <w:rsid w:val="00BE67BC"/>
    <w:rsid w:val="00BE70FD"/>
    <w:rsid w:val="00BF45CE"/>
    <w:rsid w:val="00BF6DF7"/>
    <w:rsid w:val="00C008EE"/>
    <w:rsid w:val="00C04105"/>
    <w:rsid w:val="00C10803"/>
    <w:rsid w:val="00C130EE"/>
    <w:rsid w:val="00C16379"/>
    <w:rsid w:val="00C16AC3"/>
    <w:rsid w:val="00C17D19"/>
    <w:rsid w:val="00C17FAC"/>
    <w:rsid w:val="00C20265"/>
    <w:rsid w:val="00C227BC"/>
    <w:rsid w:val="00C2341E"/>
    <w:rsid w:val="00C23F96"/>
    <w:rsid w:val="00C2439C"/>
    <w:rsid w:val="00C24980"/>
    <w:rsid w:val="00C34764"/>
    <w:rsid w:val="00C350E1"/>
    <w:rsid w:val="00C35A38"/>
    <w:rsid w:val="00C41ED0"/>
    <w:rsid w:val="00C42026"/>
    <w:rsid w:val="00C43D5A"/>
    <w:rsid w:val="00C449CC"/>
    <w:rsid w:val="00C47106"/>
    <w:rsid w:val="00C524E8"/>
    <w:rsid w:val="00C54771"/>
    <w:rsid w:val="00C5526D"/>
    <w:rsid w:val="00C55B69"/>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0D62"/>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6B60"/>
    <w:rsid w:val="00D2716F"/>
    <w:rsid w:val="00D30560"/>
    <w:rsid w:val="00D34289"/>
    <w:rsid w:val="00D343E3"/>
    <w:rsid w:val="00D34CF2"/>
    <w:rsid w:val="00D36A92"/>
    <w:rsid w:val="00D4093C"/>
    <w:rsid w:val="00D42CE7"/>
    <w:rsid w:val="00D42FAE"/>
    <w:rsid w:val="00D445C7"/>
    <w:rsid w:val="00D4712E"/>
    <w:rsid w:val="00D4766B"/>
    <w:rsid w:val="00D50BFF"/>
    <w:rsid w:val="00D53658"/>
    <w:rsid w:val="00D571A3"/>
    <w:rsid w:val="00D57968"/>
    <w:rsid w:val="00D603AE"/>
    <w:rsid w:val="00D6161C"/>
    <w:rsid w:val="00D63E09"/>
    <w:rsid w:val="00D63E67"/>
    <w:rsid w:val="00D641DF"/>
    <w:rsid w:val="00D67725"/>
    <w:rsid w:val="00D70F71"/>
    <w:rsid w:val="00D7211D"/>
    <w:rsid w:val="00D73DDA"/>
    <w:rsid w:val="00D74EE3"/>
    <w:rsid w:val="00D76AB7"/>
    <w:rsid w:val="00D80BFC"/>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C3E7B"/>
    <w:rsid w:val="00DD060B"/>
    <w:rsid w:val="00DD1641"/>
    <w:rsid w:val="00DD3126"/>
    <w:rsid w:val="00DD31F5"/>
    <w:rsid w:val="00DD4BB7"/>
    <w:rsid w:val="00DD6F83"/>
    <w:rsid w:val="00DE0751"/>
    <w:rsid w:val="00DE2C3B"/>
    <w:rsid w:val="00DE43AB"/>
    <w:rsid w:val="00DE4E5F"/>
    <w:rsid w:val="00DE5C5E"/>
    <w:rsid w:val="00DF13E4"/>
    <w:rsid w:val="00DF1BEB"/>
    <w:rsid w:val="00DF1F95"/>
    <w:rsid w:val="00DF2E97"/>
    <w:rsid w:val="00DF3580"/>
    <w:rsid w:val="00DF4083"/>
    <w:rsid w:val="00E1110F"/>
    <w:rsid w:val="00E1464B"/>
    <w:rsid w:val="00E15C41"/>
    <w:rsid w:val="00E16047"/>
    <w:rsid w:val="00E24AA1"/>
    <w:rsid w:val="00E32070"/>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9739A"/>
    <w:rsid w:val="00EA0B9C"/>
    <w:rsid w:val="00EA1AB6"/>
    <w:rsid w:val="00EA1B4B"/>
    <w:rsid w:val="00EA4348"/>
    <w:rsid w:val="00EA44E8"/>
    <w:rsid w:val="00EA5061"/>
    <w:rsid w:val="00EB107B"/>
    <w:rsid w:val="00EB182E"/>
    <w:rsid w:val="00EB3FF6"/>
    <w:rsid w:val="00EB61FB"/>
    <w:rsid w:val="00EC0731"/>
    <w:rsid w:val="00EC0B84"/>
    <w:rsid w:val="00EC2262"/>
    <w:rsid w:val="00EC2CCD"/>
    <w:rsid w:val="00EC5199"/>
    <w:rsid w:val="00ED1C7E"/>
    <w:rsid w:val="00ED3BBC"/>
    <w:rsid w:val="00ED66CF"/>
    <w:rsid w:val="00EE026C"/>
    <w:rsid w:val="00EE093E"/>
    <w:rsid w:val="00EE0A51"/>
    <w:rsid w:val="00EE2C43"/>
    <w:rsid w:val="00EE2C66"/>
    <w:rsid w:val="00EE5181"/>
    <w:rsid w:val="00EE62B2"/>
    <w:rsid w:val="00EF0D6A"/>
    <w:rsid w:val="00EF23D2"/>
    <w:rsid w:val="00EF5540"/>
    <w:rsid w:val="00EF5FD6"/>
    <w:rsid w:val="00F001F7"/>
    <w:rsid w:val="00F07574"/>
    <w:rsid w:val="00F11C17"/>
    <w:rsid w:val="00F16AC8"/>
    <w:rsid w:val="00F17050"/>
    <w:rsid w:val="00F17DAE"/>
    <w:rsid w:val="00F200C8"/>
    <w:rsid w:val="00F20EFE"/>
    <w:rsid w:val="00F23C54"/>
    <w:rsid w:val="00F24F35"/>
    <w:rsid w:val="00F26111"/>
    <w:rsid w:val="00F26715"/>
    <w:rsid w:val="00F310FD"/>
    <w:rsid w:val="00F40A77"/>
    <w:rsid w:val="00F42212"/>
    <w:rsid w:val="00F442F8"/>
    <w:rsid w:val="00F44645"/>
    <w:rsid w:val="00F45C26"/>
    <w:rsid w:val="00F5182C"/>
    <w:rsid w:val="00F51A2C"/>
    <w:rsid w:val="00F5390E"/>
    <w:rsid w:val="00F54A68"/>
    <w:rsid w:val="00F55664"/>
    <w:rsid w:val="00F5738E"/>
    <w:rsid w:val="00F64913"/>
    <w:rsid w:val="00F72500"/>
    <w:rsid w:val="00F7416C"/>
    <w:rsid w:val="00F81382"/>
    <w:rsid w:val="00F8197E"/>
    <w:rsid w:val="00F82852"/>
    <w:rsid w:val="00F8472E"/>
    <w:rsid w:val="00F847B1"/>
    <w:rsid w:val="00F86167"/>
    <w:rsid w:val="00F86237"/>
    <w:rsid w:val="00F91614"/>
    <w:rsid w:val="00F93B91"/>
    <w:rsid w:val="00F93F4B"/>
    <w:rsid w:val="00F949A9"/>
    <w:rsid w:val="00FA0303"/>
    <w:rsid w:val="00FA095A"/>
    <w:rsid w:val="00FA187B"/>
    <w:rsid w:val="00FA4F26"/>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FFE"/>
    <w:rsid w:val="00FD2EAF"/>
    <w:rsid w:val="00FD4F26"/>
    <w:rsid w:val="00FD579D"/>
    <w:rsid w:val="00FE20ED"/>
    <w:rsid w:val="00FE6804"/>
    <w:rsid w:val="00FE73EF"/>
    <w:rsid w:val="00FF0905"/>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eration.fr/economie/magasin-desert-ventes-au-plus-bas-mal-etre-des-salaries-le-bhv-marais-en-plein-marasme-20260507_OBJG5QZVIJGV7JDTTQ6MA7E5FM/" TargetMode="External"/><Relationship Id="rId18" Type="http://schemas.openxmlformats.org/officeDocument/2006/relationships/hyperlink" Target="https://www.liberation.fr/economie/totalenergies-na-pas-a-sexcuser-de-reussir-devant-ses-actionnaires-patrick-pouyanne-ne-rougit-pas-de-ses-resultats-20260529_7JUHCE6GOBEKVCRFRUKR4PDGYY/" TargetMode="External"/><Relationship Id="rId26" Type="http://schemas.openxmlformats.org/officeDocument/2006/relationships/hyperlink" Target="https://www.lesechos.fr/economie-france/conjoncture/guerre-au-moyen-orient-la-facture-energetique-creuse-le-deficit-commercial-de-la-france-2230566" TargetMode="External"/><Relationship Id="rId21" Type="http://schemas.openxmlformats.org/officeDocument/2006/relationships/hyperlink" Target="https://www.liberation.fr/economie/transports/un-trajet-un-billet-leurope-devoile-son-projet-pour-simplifier-les-voyages-en-train-20260513_OMUYDRVQC5HOLCLCEFXOH3LDEA/" TargetMode="External"/><Relationship Id="rId34" Type="http://schemas.openxmlformats.org/officeDocument/2006/relationships/hyperlink" Target="https://www.liberation.fr/economie/social/duralex-sapprete-a-demander-son-placement-en-redressement-judiciaire-20260527_LG4EBZY4JBH35IBEBJEIQF3QUU/" TargetMode="External"/><Relationship Id="rId7" Type="http://schemas.openxmlformats.org/officeDocument/2006/relationships/footnotes" Target="footnotes.xml"/><Relationship Id="rId12" Type="http://schemas.openxmlformats.org/officeDocument/2006/relationships/hyperlink" Target="https://www.liberation.fr/international/asie-pacifique/secteur-aerien-la-compagnie-airasia-commande-150-airbus-a220-300-un-accord-historique-20260506_AS4DGULOCFD7ZOMSVVWHSH73ZM/" TargetMode="External"/><Relationship Id="rId17" Type="http://schemas.openxmlformats.org/officeDocument/2006/relationships/hyperlink" Target="https://www.liberation.fr/economie/le-groupe-michelin-annonce-la-suppression-de-1-500-postes-en-france-dici-trois-ans-20260528_YMCPXM4XZVHZHDOJPINZUGHLUU/" TargetMode="External"/><Relationship Id="rId25" Type="http://schemas.openxmlformats.org/officeDocument/2006/relationships/hyperlink" Target="https://www.lemonde.fr/politique/article/2026/05/22/emmanuel-macron-va-annoncer-1-55-milliard-d-euros-de-plus-pour-la-filiere-quantique-et-les-semi-conducteurs_6692257_823448.html?search-type=classic&amp;ise_click_rank=21" TargetMode="External"/><Relationship Id="rId33" Type="http://schemas.openxmlformats.org/officeDocument/2006/relationships/hyperlink" Target="https://www.lemonde.fr/planete/article/2026/05/14/face-aux-data-centers-la-contestation-cherche-a-se-faire-entendre-c-est-difficile-de-s-opposer-la-force-de-propagande-des-promoteurs-est-tres-importante_6689132_3244.html" TargetMode="External"/><Relationship Id="rId2" Type="http://schemas.openxmlformats.org/officeDocument/2006/relationships/customXml" Target="../customXml/item2.xml"/><Relationship Id="rId16" Type="http://schemas.openxmlformats.org/officeDocument/2006/relationships/hyperlink" Target="https://www.lemonde.fr/en/economy/article/2026/05/22/france-remains-top-destination-for-foreign-investment-as-europe-declines_6753724_19.html?utm_source=chatgpt.com" TargetMode="External"/><Relationship Id="rId20" Type="http://schemas.openxmlformats.org/officeDocument/2006/relationships/hyperlink" Target="https://www.lesechos.fr/economie-france/conjoncture/les-investissements-etrangers-en-france-ne-sont-plus-un-tabou-neuf-ans-de-choose-france-entre-succes-fulgurants-et-promesses-en-suspens-2234210" TargetMode="External"/><Relationship Id="rId29" Type="http://schemas.openxmlformats.org/officeDocument/2006/relationships/hyperlink" Target="https://www.liberation.fr/economie/social/le-chausseur-minelli-va-definitivement-fermer-le-30-mai-20260513_I3VEZAIU35DEPIKWGYP2JYADQ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beration.fr/economie/conso/amazon-annonce-quil-va-investir-plus-de-15-milliards-deuros-en-france-sur-trois-ans-20260506_B2UD5LMLCRGLJKV7VYY5GVAHOY/?redirected=1318" TargetMode="External"/><Relationship Id="rId24" Type="http://schemas.openxmlformats.org/officeDocument/2006/relationships/hyperlink" Target="https://www.lemonde.fr/international/article/2026/05/14/metamorphose-de-la-guerre-toutes-les-dependances-des-minerais-aux-monnaies-en-passant-par-les-semi-conducteurs-sont-desormais-arsenalisees_6689051_3210.html?utm_source=chatgpt.com" TargetMode="External"/><Relationship Id="rId32" Type="http://schemas.openxmlformats.org/officeDocument/2006/relationships/hyperlink" Target="https://www.lesechos.fr/economie-france/budget-fiscalite/guerre-au-moyen-orient-le-gouvernement-annonce-un-coup-de-rabot-dans-les-depenses-de-letat-223392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sechos.fr/economie-france/social/une-double-peine-pour-les-entreprises-et-donc-pour-lemploi-le-patronat-fait-monter-la-pression-sur-les-allegements-de-charges-2231943" TargetMode="External"/><Relationship Id="rId23" Type="http://schemas.openxmlformats.org/officeDocument/2006/relationships/hyperlink" Target="https://www.lemonde.fr/campus/article/2026/05/29/l-etat-ne-se-donne-plus-les-moyens-d-accueillir-toutes-les-bachelieres-et-les-bacheliers-l-enseignement-superieur-en-peine-face-au-pic-demographique-des-etudiants_6694728_4401467.html?utm_source=chatgpt.com" TargetMode="External"/><Relationship Id="rId28" Type="http://schemas.openxmlformats.org/officeDocument/2006/relationships/hyperlink" Target="https://www.liberation.fr/economie/social/le-taux-de-chomage-atteint-81-au-premier-trimestre-une-premiere-depuis-2021-20260513_FDKW75XWNJBKFKLZIYTO27XMKY/" TargetMode="External"/><Relationship Id="rId36" Type="http://schemas.openxmlformats.org/officeDocument/2006/relationships/fontTable" Target="fontTable.xml"/><Relationship Id="rId10" Type="http://schemas.openxmlformats.org/officeDocument/2006/relationships/hyperlink" Target="https://www.liberation.fr/economie/sommet-choose-france-softbank-annonce-un-investissement-de-75-milliards-deuros-en-france-le-plus-important-en-europe-lie-a-lia-20260531_7YBFFQVBL5HVBBF6INSSJJLDPY/" TargetMode="External"/><Relationship Id="rId19" Type="http://schemas.openxmlformats.org/officeDocument/2006/relationships/hyperlink" Target="https://www.liberation.fr/economie/face-a-une-economie-en-berne-le-gouvernement-en-pleine-crise-de-croissance-20260529_4BGNS6JFNRFKNNMMDFHKWYRYYE/" TargetMode="External"/><Relationship Id="rId31" Type="http://schemas.openxmlformats.org/officeDocument/2006/relationships/hyperlink" Target="https://www.liberation.fr/economie/social/apres-la-revalorisation-du-smic-70-des-branches-auront-une-grille-salariale-debutant-sous-le-salaire-minimum-20260527_GVUV5UQYEVDXXA73GLAVRBMCKA/" TargetMode="External"/><Relationship Id="rId4" Type="http://schemas.openxmlformats.org/officeDocument/2006/relationships/styles" Target="styles.xml"/><Relationship Id="rId9" Type="http://schemas.openxmlformats.org/officeDocument/2006/relationships/hyperlink" Target="https://www.lesechos.fr/economie-france/conjoncture/nouveau-recul-du-moral-des-menages-qui-tombe-a-son-plus-bas-niveau-en-trois-ans-2233543" TargetMode="External"/><Relationship Id="rId14" Type="http://schemas.openxmlformats.org/officeDocument/2006/relationships/hyperlink" Target="https://www.liberation.fr/economie/transports/des-vehicules-bon-marche-au-haut-de-gamme-les-constructeurs-chinois-gagnent-du-terrain-20260512_443MUTKV5VH7VPUZK67S7E5654/" TargetMode="External"/><Relationship Id="rId22" Type="http://schemas.openxmlformats.org/officeDocument/2006/relationships/hyperlink" Target="https://www.lemonde.fr/economie/article/2026/05/16/tourisme-les-reservations-de-voyages-en-net-recul-chez-les-tour-operateurs-francais_6689724_3234.html" TargetMode="External"/><Relationship Id="rId27" Type="http://schemas.openxmlformats.org/officeDocument/2006/relationships/hyperlink" Target="https://www.lesechos.fr/politique-societe/gouvernement/prix-de-lessence-les-recettes-fiscales-seffondrent-lecornu-temporise-sur-les-aides-2231264" TargetMode="External"/><Relationship Id="rId30" Type="http://schemas.openxmlformats.org/officeDocument/2006/relationships/hyperlink" Target="https://www.liberation.fr/politique/banque-de-france-la-nomination-du-candidat-demmanuel-macron-contestee-a-cause-de-notes-preparees-par-les-services-20260513_TXA4JDF5IBEETDKADVM3QFNKT4/"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19631</Words>
  <Characters>11191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41</cp:revision>
  <cp:lastPrinted>2021-07-01T13:41:00Z</cp:lastPrinted>
  <dcterms:created xsi:type="dcterms:W3CDTF">2026-06-02T10:02:00Z</dcterms:created>
  <dcterms:modified xsi:type="dcterms:W3CDTF">2026-06-08T06:07:00Z</dcterms:modified>
</cp:coreProperties>
</file>