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539" w14:textId="1AFF0DB5" w:rsidR="004466AC" w:rsidRPr="00A73A93" w:rsidRDefault="004466AC" w:rsidP="00CD0EC9">
      <w:pPr>
        <w:spacing w:after="0" w:line="240" w:lineRule="auto"/>
        <w:jc w:val="center"/>
        <w:rPr>
          <w:rFonts w:ascii="Times New Roman" w:hAnsi="Times New Roman"/>
          <w:sz w:val="24"/>
          <w:szCs w:val="24"/>
        </w:rPr>
      </w:pPr>
      <w:r w:rsidRPr="00A73A93">
        <w:rPr>
          <w:rFonts w:ascii="Times New Roman" w:hAnsi="Times New Roman"/>
          <w:sz w:val="24"/>
          <w:szCs w:val="24"/>
        </w:rPr>
        <w:t>Lietuvos Respublikos ambasada Suomijos Respublikoje</w:t>
      </w:r>
    </w:p>
    <w:p w14:paraId="5E04373A" w14:textId="77777777" w:rsidR="004466AC" w:rsidRPr="00A73A93" w:rsidRDefault="004466AC" w:rsidP="00CD0EC9">
      <w:pPr>
        <w:spacing w:after="0" w:line="240" w:lineRule="auto"/>
        <w:jc w:val="center"/>
        <w:rPr>
          <w:rFonts w:ascii="Times New Roman" w:hAnsi="Times New Roman"/>
          <w:sz w:val="24"/>
          <w:szCs w:val="24"/>
        </w:rPr>
      </w:pPr>
    </w:p>
    <w:p w14:paraId="62C79F02" w14:textId="77777777" w:rsidR="004466AC" w:rsidRPr="00A73A93" w:rsidRDefault="004466AC" w:rsidP="00CD0EC9">
      <w:pPr>
        <w:spacing w:after="0" w:line="240" w:lineRule="auto"/>
        <w:jc w:val="center"/>
        <w:rPr>
          <w:rFonts w:ascii="Times New Roman" w:hAnsi="Times New Roman"/>
          <w:b/>
          <w:sz w:val="24"/>
          <w:szCs w:val="24"/>
        </w:rPr>
      </w:pPr>
      <w:r w:rsidRPr="00A73A93">
        <w:rPr>
          <w:rFonts w:ascii="Times New Roman" w:hAnsi="Times New Roman"/>
          <w:b/>
          <w:sz w:val="24"/>
          <w:szCs w:val="24"/>
        </w:rPr>
        <w:t>AKTUALIOS EKONOMINĖS INFORMACIJOS SUVESTINĖ</w:t>
      </w:r>
    </w:p>
    <w:p w14:paraId="007B85A3" w14:textId="77777777" w:rsidR="00427A5A" w:rsidRPr="00A73A93" w:rsidRDefault="00427A5A" w:rsidP="00CD0EC9">
      <w:pPr>
        <w:spacing w:after="0" w:line="240" w:lineRule="auto"/>
        <w:jc w:val="center"/>
        <w:rPr>
          <w:rFonts w:ascii="Times New Roman" w:hAnsi="Times New Roman"/>
          <w:sz w:val="24"/>
          <w:szCs w:val="24"/>
        </w:rPr>
      </w:pPr>
    </w:p>
    <w:p w14:paraId="1F2C01FF" w14:textId="1EB4AA96" w:rsidR="004466AC" w:rsidRPr="00A73A93" w:rsidRDefault="00427A5A" w:rsidP="00CD0EC9">
      <w:pPr>
        <w:spacing w:after="0" w:line="240" w:lineRule="auto"/>
        <w:jc w:val="center"/>
        <w:rPr>
          <w:rFonts w:ascii="Times New Roman" w:hAnsi="Times New Roman"/>
          <w:sz w:val="24"/>
          <w:szCs w:val="24"/>
        </w:rPr>
      </w:pPr>
      <w:r w:rsidRPr="00A73A93">
        <w:rPr>
          <w:rFonts w:ascii="Times New Roman" w:hAnsi="Times New Roman"/>
          <w:sz w:val="24"/>
          <w:szCs w:val="24"/>
        </w:rPr>
        <w:t>202</w:t>
      </w:r>
      <w:r w:rsidR="00646075" w:rsidRPr="00A73A93">
        <w:rPr>
          <w:rFonts w:ascii="Times New Roman" w:hAnsi="Times New Roman"/>
          <w:sz w:val="24"/>
          <w:szCs w:val="24"/>
        </w:rPr>
        <w:t>6</w:t>
      </w:r>
      <w:r w:rsidRPr="00A73A93">
        <w:rPr>
          <w:rFonts w:ascii="Times New Roman" w:hAnsi="Times New Roman"/>
          <w:sz w:val="24"/>
          <w:szCs w:val="24"/>
        </w:rPr>
        <w:t xml:space="preserve"> m. </w:t>
      </w:r>
      <w:r w:rsidR="003A076D" w:rsidRPr="00A73A93">
        <w:rPr>
          <w:rFonts w:ascii="Times New Roman" w:hAnsi="Times New Roman"/>
          <w:sz w:val="24"/>
          <w:szCs w:val="24"/>
        </w:rPr>
        <w:t xml:space="preserve">birželio </w:t>
      </w:r>
      <w:r w:rsidR="006135F1" w:rsidRPr="00A73A93">
        <w:rPr>
          <w:rFonts w:ascii="Times New Roman" w:hAnsi="Times New Roman"/>
          <w:sz w:val="24"/>
          <w:szCs w:val="24"/>
        </w:rPr>
        <w:t>11</w:t>
      </w:r>
      <w:r w:rsidR="00402BF5" w:rsidRPr="00A73A93">
        <w:rPr>
          <w:rFonts w:ascii="Times New Roman" w:hAnsi="Times New Roman"/>
          <w:sz w:val="24"/>
          <w:szCs w:val="24"/>
        </w:rPr>
        <w:t xml:space="preserve"> </w:t>
      </w:r>
      <w:r w:rsidRPr="00A73A93">
        <w:rPr>
          <w:rFonts w:ascii="Times New Roman" w:hAnsi="Times New Roman"/>
          <w:sz w:val="24"/>
          <w:szCs w:val="24"/>
        </w:rPr>
        <w:t>d.</w:t>
      </w:r>
    </w:p>
    <w:tbl>
      <w:tblPr>
        <w:tblpPr w:leftFromText="180" w:rightFromText="180" w:vertAnchor="text" w:horzAnchor="page" w:tblpX="2275" w:tblpY="692"/>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5"/>
        <w:gridCol w:w="5755"/>
        <w:gridCol w:w="2127"/>
      </w:tblGrid>
      <w:tr w:rsidR="000607B6" w:rsidRPr="00A73A93" w14:paraId="33E239D7" w14:textId="77777777" w:rsidTr="00334608">
        <w:trPr>
          <w:trHeight w:val="385"/>
        </w:trPr>
        <w:tc>
          <w:tcPr>
            <w:tcW w:w="1043" w:type="dxa"/>
            <w:gridSpan w:val="2"/>
            <w:tcMar>
              <w:top w:w="29" w:type="dxa"/>
              <w:left w:w="115" w:type="dxa"/>
              <w:bottom w:w="29" w:type="dxa"/>
              <w:right w:w="115" w:type="dxa"/>
            </w:tcMar>
            <w:vAlign w:val="center"/>
          </w:tcPr>
          <w:p w14:paraId="59B8FB53" w14:textId="77777777" w:rsidR="00F9005D" w:rsidRPr="00A73A93" w:rsidRDefault="00F9005D"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Data</w:t>
            </w:r>
          </w:p>
        </w:tc>
        <w:tc>
          <w:tcPr>
            <w:tcW w:w="5755" w:type="dxa"/>
            <w:tcMar>
              <w:top w:w="29" w:type="dxa"/>
              <w:left w:w="115" w:type="dxa"/>
              <w:bottom w:w="29" w:type="dxa"/>
              <w:right w:w="115" w:type="dxa"/>
            </w:tcMar>
            <w:vAlign w:val="center"/>
          </w:tcPr>
          <w:p w14:paraId="288E8189" w14:textId="77777777" w:rsidR="00F9005D" w:rsidRPr="00A73A93" w:rsidRDefault="00F9005D"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Pateikiamos informacijos apibendrinimas</w:t>
            </w:r>
          </w:p>
        </w:tc>
        <w:tc>
          <w:tcPr>
            <w:tcW w:w="2127" w:type="dxa"/>
            <w:tcMar>
              <w:top w:w="29" w:type="dxa"/>
              <w:left w:w="115" w:type="dxa"/>
              <w:bottom w:w="29" w:type="dxa"/>
              <w:right w:w="115" w:type="dxa"/>
            </w:tcMar>
            <w:vAlign w:val="center"/>
          </w:tcPr>
          <w:p w14:paraId="7E0C2B33" w14:textId="77777777" w:rsidR="00F9005D" w:rsidRPr="00A73A93" w:rsidRDefault="00F9005D"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Informacijos šaltinis</w:t>
            </w:r>
          </w:p>
        </w:tc>
      </w:tr>
      <w:tr w:rsidR="009D4F2C" w:rsidRPr="00A73A93" w14:paraId="37A3611C" w14:textId="77777777" w:rsidTr="001E6D52">
        <w:trPr>
          <w:trHeight w:val="385"/>
        </w:trPr>
        <w:tc>
          <w:tcPr>
            <w:tcW w:w="8925" w:type="dxa"/>
            <w:gridSpan w:val="4"/>
            <w:tcMar>
              <w:top w:w="29" w:type="dxa"/>
              <w:left w:w="115" w:type="dxa"/>
              <w:bottom w:w="29" w:type="dxa"/>
              <w:right w:w="115" w:type="dxa"/>
            </w:tcMar>
          </w:tcPr>
          <w:p w14:paraId="2940D7CB" w14:textId="7112AB89" w:rsidR="009D4F2C" w:rsidRPr="00A73A93" w:rsidRDefault="009D4F2C"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Gynybos pramonės naujienos</w:t>
            </w:r>
          </w:p>
        </w:tc>
      </w:tr>
      <w:tr w:rsidR="009D4F2C" w:rsidRPr="00A73A93" w14:paraId="7B1D91E4" w14:textId="77777777" w:rsidTr="009D4F2C">
        <w:trPr>
          <w:trHeight w:val="385"/>
        </w:trPr>
        <w:tc>
          <w:tcPr>
            <w:tcW w:w="988" w:type="dxa"/>
            <w:tcMar>
              <w:top w:w="29" w:type="dxa"/>
              <w:left w:w="115" w:type="dxa"/>
              <w:bottom w:w="29" w:type="dxa"/>
              <w:right w:w="115" w:type="dxa"/>
            </w:tcMar>
          </w:tcPr>
          <w:p w14:paraId="3B244F19" w14:textId="1CA8D1AF" w:rsidR="009D4F2C" w:rsidRPr="00A73A93" w:rsidRDefault="009D4F2C"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2026-0</w:t>
            </w:r>
            <w:r w:rsidR="00906F9E" w:rsidRPr="00A73A93">
              <w:rPr>
                <w:rFonts w:ascii="Times New Roman" w:hAnsi="Times New Roman" w:cs="Times New Roman"/>
                <w:color w:val="auto"/>
                <w:sz w:val="24"/>
                <w:szCs w:val="24"/>
              </w:rPr>
              <w:t>5</w:t>
            </w:r>
            <w:r w:rsidRPr="00A73A93">
              <w:rPr>
                <w:rFonts w:ascii="Times New Roman" w:hAnsi="Times New Roman" w:cs="Times New Roman"/>
                <w:color w:val="auto"/>
                <w:sz w:val="24"/>
                <w:szCs w:val="24"/>
              </w:rPr>
              <w:t>-</w:t>
            </w:r>
            <w:r w:rsidR="00906F9E" w:rsidRPr="00A73A93">
              <w:rPr>
                <w:rFonts w:ascii="Times New Roman" w:hAnsi="Times New Roman" w:cs="Times New Roman"/>
                <w:color w:val="auto"/>
                <w:sz w:val="24"/>
                <w:szCs w:val="24"/>
              </w:rPr>
              <w:t>29</w:t>
            </w:r>
          </w:p>
        </w:tc>
        <w:tc>
          <w:tcPr>
            <w:tcW w:w="5810" w:type="dxa"/>
            <w:gridSpan w:val="2"/>
          </w:tcPr>
          <w:p w14:paraId="7AFB53C9" w14:textId="65DBA79C" w:rsidR="009D4F2C" w:rsidRPr="00A73A93" w:rsidRDefault="005B6F88" w:rsidP="00CD0EC9">
            <w:pPr>
              <w:pStyle w:val="Heading1"/>
              <w:spacing w:before="0" w:after="0" w:line="240" w:lineRule="auto"/>
              <w:jc w:val="both"/>
              <w:rPr>
                <w:rFonts w:ascii="Times New Roman" w:eastAsiaTheme="minorHAnsi" w:hAnsi="Times New Roman" w:cs="Times New Roman"/>
                <w:color w:val="auto"/>
                <w:kern w:val="2"/>
                <w:sz w:val="24"/>
                <w:szCs w:val="24"/>
                <w14:ligatures w14:val="standardContextual"/>
              </w:rPr>
            </w:pPr>
            <w:r w:rsidRPr="00A73A93">
              <w:rPr>
                <w:rFonts w:ascii="Times New Roman" w:eastAsiaTheme="minorHAnsi" w:hAnsi="Times New Roman" w:cs="Times New Roman"/>
                <w:b/>
                <w:bCs/>
                <w:color w:val="auto"/>
                <w:kern w:val="2"/>
                <w:sz w:val="24"/>
                <w:szCs w:val="24"/>
                <w14:ligatures w14:val="standardContextual"/>
              </w:rPr>
              <w:t>Lietuvos Valstybės gynimo taryba nusprend</w:t>
            </w:r>
            <w:r w:rsidR="000F4F3D" w:rsidRPr="00A73A93">
              <w:rPr>
                <w:rFonts w:ascii="Times New Roman" w:eastAsiaTheme="minorHAnsi" w:hAnsi="Times New Roman" w:cs="Times New Roman"/>
                <w:b/>
                <w:bCs/>
                <w:color w:val="auto"/>
                <w:kern w:val="2"/>
                <w:sz w:val="24"/>
                <w:szCs w:val="24"/>
                <w14:ligatures w14:val="standardContextual"/>
              </w:rPr>
              <w:t>ė</w:t>
            </w:r>
            <w:r w:rsidRPr="00A73A93">
              <w:rPr>
                <w:rFonts w:ascii="Times New Roman" w:eastAsiaTheme="minorHAnsi" w:hAnsi="Times New Roman" w:cs="Times New Roman"/>
                <w:b/>
                <w:bCs/>
                <w:color w:val="auto"/>
                <w:kern w:val="2"/>
                <w:sz w:val="24"/>
                <w:szCs w:val="24"/>
                <w14:ligatures w14:val="standardContextual"/>
              </w:rPr>
              <w:t xml:space="preserve"> už maždaug 1,5 mlrd. eurų iš Suomijos kompanijos „Patria“ įsigyti 936 šarvuočius „Patria 6x6“, </w:t>
            </w:r>
            <w:r w:rsidR="000F4F3D" w:rsidRPr="00A73A93">
              <w:rPr>
                <w:rFonts w:ascii="Times New Roman" w:eastAsiaTheme="minorHAnsi" w:hAnsi="Times New Roman" w:cs="Times New Roman"/>
                <w:b/>
                <w:bCs/>
                <w:color w:val="auto"/>
                <w:kern w:val="2"/>
                <w:sz w:val="24"/>
                <w:szCs w:val="24"/>
                <w14:ligatures w14:val="standardContextual"/>
              </w:rPr>
              <w:t xml:space="preserve">vienu iš </w:t>
            </w:r>
            <w:r w:rsidRPr="00A73A93">
              <w:rPr>
                <w:rFonts w:ascii="Times New Roman" w:eastAsiaTheme="minorHAnsi" w:hAnsi="Times New Roman" w:cs="Times New Roman"/>
                <w:b/>
                <w:bCs/>
                <w:color w:val="auto"/>
                <w:kern w:val="2"/>
                <w:sz w:val="24"/>
                <w:szCs w:val="24"/>
                <w14:ligatures w14:val="standardContextual"/>
              </w:rPr>
              <w:t>pagrindini</w:t>
            </w:r>
            <w:r w:rsidR="000F4F3D" w:rsidRPr="00A73A93">
              <w:rPr>
                <w:rFonts w:ascii="Times New Roman" w:eastAsiaTheme="minorHAnsi" w:hAnsi="Times New Roman" w:cs="Times New Roman"/>
                <w:b/>
                <w:bCs/>
                <w:color w:val="auto"/>
                <w:kern w:val="2"/>
                <w:sz w:val="24"/>
                <w:szCs w:val="24"/>
                <w14:ligatures w14:val="standardContextual"/>
              </w:rPr>
              <w:t>ų</w:t>
            </w:r>
            <w:r w:rsidRPr="00A73A93">
              <w:rPr>
                <w:rFonts w:ascii="Times New Roman" w:eastAsiaTheme="minorHAnsi" w:hAnsi="Times New Roman" w:cs="Times New Roman"/>
                <w:b/>
                <w:bCs/>
                <w:color w:val="auto"/>
                <w:kern w:val="2"/>
                <w:sz w:val="24"/>
                <w:szCs w:val="24"/>
                <w14:ligatures w14:val="standardContextual"/>
              </w:rPr>
              <w:t xml:space="preserve"> šio pasirinkimo argument</w:t>
            </w:r>
            <w:r w:rsidR="000F4F3D" w:rsidRPr="00A73A93">
              <w:rPr>
                <w:rFonts w:ascii="Times New Roman" w:eastAsiaTheme="minorHAnsi" w:hAnsi="Times New Roman" w:cs="Times New Roman"/>
                <w:b/>
                <w:bCs/>
                <w:color w:val="auto"/>
                <w:kern w:val="2"/>
                <w:sz w:val="24"/>
                <w:szCs w:val="24"/>
                <w14:ligatures w14:val="standardContextual"/>
              </w:rPr>
              <w:t>ų</w:t>
            </w:r>
            <w:r w:rsidRPr="00A73A93">
              <w:rPr>
                <w:rFonts w:ascii="Times New Roman" w:eastAsiaTheme="minorHAnsi" w:hAnsi="Times New Roman" w:cs="Times New Roman"/>
                <w:b/>
                <w:bCs/>
                <w:color w:val="auto"/>
                <w:kern w:val="2"/>
                <w:sz w:val="24"/>
                <w:szCs w:val="24"/>
                <w14:ligatures w14:val="standardContextual"/>
              </w:rPr>
              <w:t xml:space="preserve"> tapo </w:t>
            </w:r>
            <w:r w:rsidR="000F4F3D" w:rsidRPr="00A73A93">
              <w:rPr>
                <w:rFonts w:ascii="Times New Roman" w:eastAsiaTheme="minorHAnsi" w:hAnsi="Times New Roman" w:cs="Times New Roman"/>
                <w:b/>
                <w:bCs/>
                <w:color w:val="auto"/>
                <w:kern w:val="2"/>
                <w:sz w:val="24"/>
                <w:szCs w:val="24"/>
                <w14:ligatures w14:val="standardContextual"/>
              </w:rPr>
              <w:t xml:space="preserve">šarvuočių </w:t>
            </w:r>
            <w:r w:rsidRPr="00A73A93">
              <w:rPr>
                <w:rFonts w:ascii="Times New Roman" w:eastAsiaTheme="minorHAnsi" w:hAnsi="Times New Roman" w:cs="Times New Roman"/>
                <w:b/>
                <w:bCs/>
                <w:color w:val="auto"/>
                <w:kern w:val="2"/>
                <w:sz w:val="24"/>
                <w:szCs w:val="24"/>
                <w14:ligatures w14:val="standardContextual"/>
              </w:rPr>
              <w:t>gamybos lokalizavimas.</w:t>
            </w:r>
            <w:r w:rsidRPr="00A73A93">
              <w:rPr>
                <w:rFonts w:ascii="Times New Roman" w:eastAsiaTheme="minorHAnsi" w:hAnsi="Times New Roman" w:cs="Times New Roman"/>
                <w:color w:val="auto"/>
                <w:kern w:val="2"/>
                <w:sz w:val="24"/>
                <w:szCs w:val="24"/>
                <w14:ligatures w14:val="standardContextual"/>
              </w:rPr>
              <w:t xml:space="preserve"> </w:t>
            </w:r>
            <w:r w:rsidR="000F4F3D" w:rsidRPr="00A73A93">
              <w:rPr>
                <w:rFonts w:ascii="Times New Roman" w:eastAsiaTheme="minorHAnsi" w:hAnsi="Times New Roman" w:cs="Times New Roman"/>
                <w:color w:val="auto"/>
                <w:kern w:val="2"/>
                <w:sz w:val="24"/>
                <w:szCs w:val="24"/>
                <w14:ligatures w14:val="standardContextual"/>
              </w:rPr>
              <w:t>Pasak „Patria“, s</w:t>
            </w:r>
            <w:r w:rsidRPr="00A73A93">
              <w:rPr>
                <w:rFonts w:ascii="Times New Roman" w:eastAsiaTheme="minorHAnsi" w:hAnsi="Times New Roman" w:cs="Times New Roman"/>
                <w:color w:val="auto"/>
                <w:kern w:val="2"/>
                <w:sz w:val="24"/>
                <w:szCs w:val="24"/>
                <w14:ligatures w14:val="standardContextual"/>
              </w:rPr>
              <w:t>utartį planuojama pasirašyti 2027 m., o iki 2030 m. ketinama įsigyti pirmuosius 300 šarvuočių. „Patria“ gynybinio mobilumo vykdomasis viceprezidentas Jussis Jarvinenas pabrėžia, kad galutinė gamybos apimtis Lietuvoje priklausys nuo pristatymo terminų – skubaus poreikio atveju pirmuosius vienetus tektų gaminti užsienyje. Bendrovė dar sprendžia, ar statyti naują gamyklą, ar nuomotis vietos pajėgumus, tačiau projektui planuoja pasitelkti apie 20 vietos įmonių-partnerių, kurios atliktų surinkimo, suvirinimo ir priežiūros darbus.</w:t>
            </w:r>
            <w:r w:rsidR="00C70177" w:rsidRPr="00A73A93">
              <w:rPr>
                <w:rFonts w:ascii="Times New Roman" w:eastAsiaTheme="minorHAnsi" w:hAnsi="Times New Roman" w:cs="Times New Roman"/>
                <w:color w:val="auto"/>
                <w:kern w:val="2"/>
                <w:sz w:val="24"/>
                <w:szCs w:val="24"/>
                <w14:ligatures w14:val="standardContextual"/>
              </w:rPr>
              <w:t xml:space="preserve"> </w:t>
            </w:r>
            <w:r w:rsidRPr="00A73A93">
              <w:rPr>
                <w:rFonts w:ascii="Times New Roman" w:eastAsiaTheme="minorHAnsi" w:hAnsi="Times New Roman" w:cs="Times New Roman"/>
                <w:color w:val="auto"/>
                <w:kern w:val="2"/>
                <w:sz w:val="24"/>
                <w:szCs w:val="24"/>
                <w14:ligatures w14:val="standardContextual"/>
              </w:rPr>
              <w:t>„Patria“ jau turi sėkmingos gamybos lokalizavimo patirties Latvijoje, kur panašus projektas prisidėjo prie šalies gynybos pramonės plėtros. J. Jarvinenas išskiria, kad sandorį lėmė ne tik geras šarvuočių kainos ir kokybės santykis, bet ir jų suderinamumas su kitomis NATO šalimis, įskaitant Vokietiją. Lietuvai įsitraukus į Bendrąją šarvuotųjų transporto priemonių sistemą (CAVS), bus užtikrinta masto ekonomija bei supaprastintas karių bendradarbiavimas, o pati įmonė yra pasiruošusi pirmuosius šarvuočius pristatyti itin greitai po galutinio sutarties pasirašymo.</w:t>
            </w:r>
          </w:p>
        </w:tc>
        <w:tc>
          <w:tcPr>
            <w:tcW w:w="2127" w:type="dxa"/>
          </w:tcPr>
          <w:p w14:paraId="5FA0B70F" w14:textId="62CF042D" w:rsidR="008F5BC3" w:rsidRPr="00A73A93" w:rsidRDefault="00906F9E" w:rsidP="00CD0EC9">
            <w:pPr>
              <w:spacing w:after="0" w:line="240" w:lineRule="auto"/>
              <w:jc w:val="both"/>
              <w:rPr>
                <w:rFonts w:ascii="Times New Roman" w:hAnsi="Times New Roman"/>
                <w:sz w:val="24"/>
                <w:szCs w:val="24"/>
              </w:rPr>
            </w:pPr>
            <w:hyperlink r:id="rId9" w:history="1">
              <w:r w:rsidRPr="00A73A93">
                <w:rPr>
                  <w:rStyle w:val="Hyperlink"/>
                  <w:rFonts w:ascii="Times New Roman" w:hAnsi="Times New Roman"/>
                  <w:color w:val="auto"/>
                  <w:sz w:val="24"/>
                  <w:szCs w:val="24"/>
                </w:rPr>
                <w:t>https://www.vz.lt/pramone/2026/05/28/patria-atstovas-stengsimes-kuo-daugiau-sarvuociu-gaminti-lietuvoje-vietos-partneriu-gali-buti-apie-20-585395</w:t>
              </w:r>
            </w:hyperlink>
            <w:r w:rsidR="002D28BC">
              <w:rPr>
                <w:rFonts w:ascii="Times New Roman" w:hAnsi="Times New Roman"/>
                <w:sz w:val="24"/>
                <w:szCs w:val="24"/>
              </w:rPr>
              <w:br/>
            </w:r>
          </w:p>
          <w:p w14:paraId="26ABFDC5" w14:textId="3AE02D15" w:rsidR="00906F9E" w:rsidRPr="00A73A93" w:rsidRDefault="00AD6570" w:rsidP="00CD0EC9">
            <w:pPr>
              <w:spacing w:after="0" w:line="240" w:lineRule="auto"/>
              <w:jc w:val="both"/>
              <w:rPr>
                <w:rFonts w:ascii="Times New Roman" w:hAnsi="Times New Roman"/>
                <w:sz w:val="24"/>
                <w:szCs w:val="24"/>
              </w:rPr>
            </w:pPr>
            <w:hyperlink r:id="rId10" w:history="1">
              <w:r w:rsidRPr="00A73A93">
                <w:rPr>
                  <w:rStyle w:val="Hyperlink"/>
                  <w:rFonts w:ascii="Times New Roman" w:hAnsi="Times New Roman"/>
                  <w:color w:val="auto"/>
                  <w:sz w:val="24"/>
                  <w:szCs w:val="24"/>
                </w:rPr>
                <w:t>https://www.patriagroup.com/newsroom/news/2026/patria-set-for-technology-transfer-to-lithuania-in-the-cavs-programme</w:t>
              </w:r>
            </w:hyperlink>
            <w:r w:rsidRPr="00A73A93">
              <w:rPr>
                <w:rFonts w:ascii="Times New Roman" w:hAnsi="Times New Roman"/>
                <w:sz w:val="24"/>
                <w:szCs w:val="24"/>
              </w:rPr>
              <w:t xml:space="preserve"> </w:t>
            </w:r>
            <w:r w:rsidR="002D28BC">
              <w:rPr>
                <w:rFonts w:ascii="Times New Roman" w:hAnsi="Times New Roman"/>
                <w:sz w:val="24"/>
                <w:szCs w:val="24"/>
              </w:rPr>
              <w:br/>
            </w:r>
          </w:p>
          <w:p w14:paraId="0FD8B730" w14:textId="47880ED9" w:rsidR="00906F9E" w:rsidRPr="00A73A93" w:rsidRDefault="00D76C11" w:rsidP="00CD0EC9">
            <w:pPr>
              <w:spacing w:after="0" w:line="240" w:lineRule="auto"/>
              <w:jc w:val="both"/>
              <w:rPr>
                <w:rFonts w:ascii="Times New Roman" w:hAnsi="Times New Roman"/>
                <w:sz w:val="24"/>
                <w:szCs w:val="24"/>
              </w:rPr>
            </w:pPr>
            <w:hyperlink r:id="rId11" w:history="1">
              <w:r w:rsidRPr="00A73A93">
                <w:rPr>
                  <w:rStyle w:val="Hyperlink"/>
                  <w:rFonts w:ascii="Times New Roman" w:hAnsi="Times New Roman"/>
                  <w:color w:val="auto"/>
                  <w:sz w:val="24"/>
                  <w:szCs w:val="24"/>
                </w:rPr>
                <w:t>https://www.hs.fi/suomi/art-2000012036909.html</w:t>
              </w:r>
            </w:hyperlink>
            <w:r w:rsidRPr="00A73A93">
              <w:rPr>
                <w:rFonts w:ascii="Times New Roman" w:hAnsi="Times New Roman"/>
                <w:sz w:val="24"/>
                <w:szCs w:val="24"/>
              </w:rPr>
              <w:t xml:space="preserve"> </w:t>
            </w:r>
          </w:p>
          <w:p w14:paraId="3B1DA3B1" w14:textId="063033C2" w:rsidR="008F5BC3" w:rsidRPr="00A73A93" w:rsidRDefault="008F5BC3" w:rsidP="00CD0EC9">
            <w:pPr>
              <w:spacing w:after="0" w:line="240" w:lineRule="auto"/>
              <w:jc w:val="both"/>
              <w:rPr>
                <w:rFonts w:ascii="Times New Roman" w:hAnsi="Times New Roman"/>
                <w:sz w:val="24"/>
                <w:szCs w:val="24"/>
              </w:rPr>
            </w:pPr>
          </w:p>
        </w:tc>
      </w:tr>
      <w:tr w:rsidR="00DE3DC5" w:rsidRPr="00A73A93" w14:paraId="4796D294" w14:textId="77777777" w:rsidTr="009D4F2C">
        <w:trPr>
          <w:trHeight w:val="385"/>
        </w:trPr>
        <w:tc>
          <w:tcPr>
            <w:tcW w:w="988" w:type="dxa"/>
            <w:tcMar>
              <w:top w:w="29" w:type="dxa"/>
              <w:left w:w="115" w:type="dxa"/>
              <w:bottom w:w="29" w:type="dxa"/>
              <w:right w:w="115" w:type="dxa"/>
            </w:tcMar>
          </w:tcPr>
          <w:p w14:paraId="30318EDA" w14:textId="1DC914C5" w:rsidR="00DE3DC5" w:rsidRPr="00A73A93" w:rsidRDefault="00221D41"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2026-05-06</w:t>
            </w:r>
          </w:p>
        </w:tc>
        <w:tc>
          <w:tcPr>
            <w:tcW w:w="5810" w:type="dxa"/>
            <w:gridSpan w:val="2"/>
          </w:tcPr>
          <w:p w14:paraId="784200A8" w14:textId="36498286" w:rsidR="00DE3DC5" w:rsidRPr="00A73A93" w:rsidRDefault="00DE3DC5" w:rsidP="00CD0EC9">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A73A93">
              <w:rPr>
                <w:rFonts w:ascii="Times New Roman" w:eastAsiaTheme="minorHAnsi" w:hAnsi="Times New Roman" w:cs="Times New Roman"/>
                <w:b/>
                <w:bCs/>
                <w:color w:val="auto"/>
                <w:kern w:val="2"/>
                <w:sz w:val="24"/>
                <w:szCs w:val="24"/>
                <w14:ligatures w14:val="standardContextual"/>
              </w:rPr>
              <w:t xml:space="preserve">„Patria“ pirmąjį ketvirtį tęsė sparčią plėtrą – įmonės pajamos, lyginant su tuo pačiu praėjusių metų laikotarpiu, išaugo 38 % ir pasiekė maždaug 262 mln. eurų. </w:t>
            </w:r>
            <w:r w:rsidRPr="00A73A93">
              <w:rPr>
                <w:rFonts w:ascii="Times New Roman" w:eastAsiaTheme="minorHAnsi" w:hAnsi="Times New Roman" w:cs="Times New Roman"/>
                <w:color w:val="auto"/>
                <w:kern w:val="2"/>
                <w:sz w:val="24"/>
                <w:szCs w:val="24"/>
                <w14:ligatures w14:val="standardContextual"/>
              </w:rPr>
              <w:t>Šį augimą daugiausia lėmė šarvuočių verslo segmentas, o operacinis pelnas šoktelėjo nuo 8 mln. eurų pernai iki maždaug 19 mln. eurų šiemet. Reaguodama į didėjančias veiklos apimtis, „Patria“ reikšmingai išplėtė darbuotojų gretas: kovo pabaigoje joje dirbo 4 168 darbuotojai – beveik 500 daugiau nei prieš metus.</w:t>
            </w:r>
          </w:p>
        </w:tc>
        <w:tc>
          <w:tcPr>
            <w:tcW w:w="2127" w:type="dxa"/>
          </w:tcPr>
          <w:p w14:paraId="17202778" w14:textId="1AC1FD9B" w:rsidR="00DE3DC5" w:rsidRPr="00A73A93" w:rsidRDefault="00221D41" w:rsidP="00CD0EC9">
            <w:pPr>
              <w:spacing w:after="0" w:line="240" w:lineRule="auto"/>
              <w:jc w:val="both"/>
              <w:rPr>
                <w:rFonts w:ascii="Times New Roman" w:hAnsi="Times New Roman"/>
                <w:sz w:val="24"/>
                <w:szCs w:val="24"/>
              </w:rPr>
            </w:pPr>
            <w:r w:rsidRPr="00A73A93">
              <w:rPr>
                <w:rFonts w:ascii="Times New Roman" w:hAnsi="Times New Roman"/>
                <w:sz w:val="24"/>
                <w:szCs w:val="24"/>
              </w:rPr>
              <w:t>https://yle.fi/a/74-20224469</w:t>
            </w:r>
          </w:p>
        </w:tc>
      </w:tr>
      <w:tr w:rsidR="009C496A" w:rsidRPr="00A73A93" w14:paraId="727AA8C2" w14:textId="77777777" w:rsidTr="009D4F2C">
        <w:trPr>
          <w:trHeight w:val="385"/>
        </w:trPr>
        <w:tc>
          <w:tcPr>
            <w:tcW w:w="988" w:type="dxa"/>
            <w:tcMar>
              <w:top w:w="29" w:type="dxa"/>
              <w:left w:w="115" w:type="dxa"/>
              <w:bottom w:w="29" w:type="dxa"/>
              <w:right w:w="115" w:type="dxa"/>
            </w:tcMar>
          </w:tcPr>
          <w:p w14:paraId="0BC72974" w14:textId="7C9BF98B" w:rsidR="009C496A" w:rsidRPr="00A73A93" w:rsidRDefault="00A45707"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2026-05-26</w:t>
            </w:r>
          </w:p>
        </w:tc>
        <w:tc>
          <w:tcPr>
            <w:tcW w:w="5810" w:type="dxa"/>
            <w:gridSpan w:val="2"/>
          </w:tcPr>
          <w:p w14:paraId="728DEBB4" w14:textId="76D6B501" w:rsidR="009C496A" w:rsidRPr="00A73A93" w:rsidRDefault="00F874A0" w:rsidP="00CD0EC9">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A73A93">
              <w:rPr>
                <w:rFonts w:ascii="Times New Roman" w:eastAsiaTheme="minorHAnsi" w:hAnsi="Times New Roman" w:cs="Times New Roman"/>
                <w:b/>
                <w:bCs/>
                <w:color w:val="auto"/>
                <w:kern w:val="2"/>
                <w:sz w:val="24"/>
                <w:szCs w:val="24"/>
                <w14:ligatures w14:val="standardContextual"/>
              </w:rPr>
              <w:t xml:space="preserve">„Patria“ sudarė strateginę partnerystę su Suomijos dirbtinio intelekto startuoliu „NestAI“, siekdama kurti DI valdomas bepilotes orlaivių sistemas Europos </w:t>
            </w:r>
            <w:r w:rsidRPr="00A73A93">
              <w:rPr>
                <w:rFonts w:ascii="Times New Roman" w:eastAsiaTheme="minorHAnsi" w:hAnsi="Times New Roman" w:cs="Times New Roman"/>
                <w:b/>
                <w:bCs/>
                <w:color w:val="auto"/>
                <w:kern w:val="2"/>
                <w:sz w:val="24"/>
                <w:szCs w:val="24"/>
                <w14:ligatures w14:val="standardContextual"/>
              </w:rPr>
              <w:lastRenderedPageBreak/>
              <w:t>ginkluotosioms pajėgoms.</w:t>
            </w:r>
            <w:r w:rsidRPr="00A73A93">
              <w:rPr>
                <w:rFonts w:ascii="Times New Roman" w:eastAsiaTheme="minorHAnsi" w:hAnsi="Times New Roman" w:cs="Times New Roman"/>
                <w:color w:val="auto"/>
                <w:kern w:val="2"/>
                <w:sz w:val="24"/>
                <w:szCs w:val="24"/>
                <w14:ligatures w14:val="standardContextual"/>
              </w:rPr>
              <w:t xml:space="preserve"> Pagal šį susitarimą, „Patria“ bus atsakinga už masinę dronų gamybą, o „NestAI“ suteiks programinę įrangą ir DI sprendimus, leidžiančius per kelias dienas pritaikyti techniką prie naujų operacinių aplinkų. „Patria“ vadovas Panu Routila teigė, kad įmonė siekia paversti dronų gamybą reikšmingu nauju verslo segmentu, remdamasi 2024 m. įvykdytu „Nordic Drones“ įsigijimu. Ši partnerystė atsako į Europos poreikį turėti vietines gynybos sistemas – šiuo metu „Patria“ demonstruoja tris dronų variantus, skirtus žvalgybai, stebėjimui ir tiksliems smūgiams.</w:t>
            </w:r>
          </w:p>
        </w:tc>
        <w:tc>
          <w:tcPr>
            <w:tcW w:w="2127" w:type="dxa"/>
          </w:tcPr>
          <w:p w14:paraId="49984ACE" w14:textId="2E34E944" w:rsidR="009C496A" w:rsidRPr="00A73A93" w:rsidRDefault="00A45707" w:rsidP="00CD0EC9">
            <w:pPr>
              <w:spacing w:after="0" w:line="240" w:lineRule="auto"/>
              <w:jc w:val="both"/>
              <w:rPr>
                <w:rFonts w:ascii="Times New Roman" w:hAnsi="Times New Roman"/>
                <w:sz w:val="24"/>
                <w:szCs w:val="24"/>
              </w:rPr>
            </w:pPr>
            <w:hyperlink r:id="rId12" w:history="1">
              <w:r w:rsidRPr="00A73A93">
                <w:rPr>
                  <w:rStyle w:val="Hyperlink"/>
                  <w:rFonts w:ascii="Times New Roman" w:hAnsi="Times New Roman"/>
                  <w:color w:val="auto"/>
                  <w:sz w:val="24"/>
                  <w:szCs w:val="24"/>
                </w:rPr>
                <w:t>https://www.hs.fi/visio/art-</w:t>
              </w:r>
              <w:r w:rsidRPr="00A73A93">
                <w:rPr>
                  <w:rStyle w:val="Hyperlink"/>
                  <w:rFonts w:ascii="Times New Roman" w:hAnsi="Times New Roman"/>
                  <w:color w:val="auto"/>
                  <w:sz w:val="24"/>
                  <w:szCs w:val="24"/>
                </w:rPr>
                <w:lastRenderedPageBreak/>
                <w:t>2000012030334.html</w:t>
              </w:r>
            </w:hyperlink>
            <w:r w:rsidRPr="00A73A93">
              <w:rPr>
                <w:rFonts w:ascii="Times New Roman" w:hAnsi="Times New Roman"/>
                <w:sz w:val="24"/>
                <w:szCs w:val="24"/>
              </w:rPr>
              <w:t xml:space="preserve"> </w:t>
            </w:r>
          </w:p>
        </w:tc>
      </w:tr>
      <w:tr w:rsidR="009D4F2C" w:rsidRPr="00A73A93" w14:paraId="5930831F" w14:textId="77777777" w:rsidTr="001E6D52">
        <w:trPr>
          <w:trHeight w:val="385"/>
        </w:trPr>
        <w:tc>
          <w:tcPr>
            <w:tcW w:w="8925" w:type="dxa"/>
            <w:gridSpan w:val="4"/>
            <w:tcMar>
              <w:top w:w="29" w:type="dxa"/>
              <w:left w:w="115" w:type="dxa"/>
              <w:bottom w:w="29" w:type="dxa"/>
              <w:right w:w="115" w:type="dxa"/>
            </w:tcMar>
          </w:tcPr>
          <w:p w14:paraId="05B3AE40" w14:textId="01907509" w:rsidR="009D4F2C" w:rsidRPr="00A73A93" w:rsidRDefault="009D4F2C"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lastRenderedPageBreak/>
              <w:t>Bendra akreditacijos valstybių ekonominė informacija</w:t>
            </w:r>
          </w:p>
        </w:tc>
      </w:tr>
      <w:tr w:rsidR="009D4F2C" w:rsidRPr="00A73A93" w14:paraId="330C4218" w14:textId="77777777" w:rsidTr="00F93AED">
        <w:trPr>
          <w:trHeight w:val="385"/>
        </w:trPr>
        <w:tc>
          <w:tcPr>
            <w:tcW w:w="1043" w:type="dxa"/>
            <w:gridSpan w:val="2"/>
            <w:tcMar>
              <w:top w:w="29" w:type="dxa"/>
              <w:left w:w="115" w:type="dxa"/>
              <w:bottom w:w="29" w:type="dxa"/>
              <w:right w:w="115" w:type="dxa"/>
            </w:tcMar>
          </w:tcPr>
          <w:p w14:paraId="01EAD000" w14:textId="2AA3A969" w:rsidR="009D4F2C" w:rsidRPr="00A73A93" w:rsidRDefault="009D4F2C"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2026-0</w:t>
            </w:r>
            <w:r w:rsidR="00393811" w:rsidRPr="00A73A93">
              <w:rPr>
                <w:rFonts w:ascii="Times New Roman" w:hAnsi="Times New Roman" w:cs="Times New Roman"/>
                <w:color w:val="auto"/>
                <w:sz w:val="24"/>
                <w:szCs w:val="24"/>
              </w:rPr>
              <w:t>5</w:t>
            </w:r>
            <w:r w:rsidRPr="00A73A93">
              <w:rPr>
                <w:rFonts w:ascii="Times New Roman" w:hAnsi="Times New Roman" w:cs="Times New Roman"/>
                <w:color w:val="auto"/>
                <w:sz w:val="24"/>
                <w:szCs w:val="24"/>
              </w:rPr>
              <w:t>-</w:t>
            </w:r>
            <w:r w:rsidR="00393811" w:rsidRPr="00A73A93">
              <w:rPr>
                <w:rFonts w:ascii="Times New Roman" w:hAnsi="Times New Roman" w:cs="Times New Roman"/>
                <w:color w:val="auto"/>
                <w:sz w:val="24"/>
                <w:szCs w:val="24"/>
              </w:rPr>
              <w:t>01</w:t>
            </w:r>
            <w:r w:rsidRPr="00A73A93">
              <w:rPr>
                <w:rFonts w:ascii="Times New Roman" w:hAnsi="Times New Roman" w:cs="Times New Roman"/>
                <w:color w:val="auto"/>
                <w:sz w:val="24"/>
                <w:szCs w:val="24"/>
              </w:rPr>
              <w:t xml:space="preserve"> </w:t>
            </w:r>
          </w:p>
        </w:tc>
        <w:tc>
          <w:tcPr>
            <w:tcW w:w="5755" w:type="dxa"/>
            <w:tcMar>
              <w:top w:w="29" w:type="dxa"/>
              <w:left w:w="115" w:type="dxa"/>
              <w:bottom w:w="29" w:type="dxa"/>
              <w:right w:w="115" w:type="dxa"/>
            </w:tcMar>
          </w:tcPr>
          <w:p w14:paraId="283A4C18" w14:textId="76A402C7" w:rsidR="009D4F2C" w:rsidRPr="00A73A93" w:rsidRDefault="00B71A76" w:rsidP="00CD0EC9">
            <w:pPr>
              <w:spacing w:after="0" w:line="240" w:lineRule="auto"/>
              <w:jc w:val="both"/>
              <w:rPr>
                <w:rFonts w:ascii="Times New Roman" w:hAnsi="Times New Roman"/>
                <w:sz w:val="24"/>
                <w:szCs w:val="24"/>
              </w:rPr>
            </w:pPr>
            <w:r w:rsidRPr="00A73A93">
              <w:rPr>
                <w:rFonts w:ascii="Times New Roman" w:hAnsi="Times New Roman"/>
                <w:b/>
                <w:bCs/>
                <w:sz w:val="24"/>
                <w:szCs w:val="24"/>
              </w:rPr>
              <w:t>Suomijos f</w:t>
            </w:r>
            <w:r w:rsidR="000E7EC2" w:rsidRPr="00A73A93">
              <w:rPr>
                <w:rFonts w:ascii="Times New Roman" w:hAnsi="Times New Roman"/>
                <w:b/>
                <w:bCs/>
                <w:sz w:val="24"/>
                <w:szCs w:val="24"/>
              </w:rPr>
              <w:t>inansų ministerija sumažino ekonomikos augimo prognozę ir įspėjo, kad dėl pasaulinio neapibrėžtumo bei kylančių energijos kainų Suomijos</w:t>
            </w:r>
            <w:r w:rsidR="000F7A62" w:rsidRPr="00A73A93">
              <w:rPr>
                <w:rFonts w:ascii="Times New Roman" w:hAnsi="Times New Roman"/>
                <w:b/>
                <w:bCs/>
                <w:sz w:val="24"/>
                <w:szCs w:val="24"/>
              </w:rPr>
              <w:t xml:space="preserve"> ekonomikos augimo</w:t>
            </w:r>
            <w:r w:rsidR="000E7EC2" w:rsidRPr="00A73A93">
              <w:rPr>
                <w:rFonts w:ascii="Times New Roman" w:hAnsi="Times New Roman"/>
                <w:b/>
                <w:bCs/>
                <w:sz w:val="24"/>
                <w:szCs w:val="24"/>
              </w:rPr>
              <w:t xml:space="preserve"> perspektyvos suprastėjo. </w:t>
            </w:r>
            <w:r w:rsidR="000E7EC2" w:rsidRPr="00A73A93">
              <w:rPr>
                <w:rFonts w:ascii="Times New Roman" w:hAnsi="Times New Roman"/>
                <w:sz w:val="24"/>
                <w:szCs w:val="24"/>
              </w:rPr>
              <w:t xml:space="preserve">Ministerijos vertinimu, 2026 metais bendrasis vidaus produktas (BVP) augs vos 0,6 </w:t>
            </w:r>
            <w:r w:rsidR="000F7A62" w:rsidRPr="00A73A93">
              <w:rPr>
                <w:rFonts w:ascii="Times New Roman" w:hAnsi="Times New Roman"/>
                <w:sz w:val="24"/>
                <w:szCs w:val="24"/>
                <w:lang w:val="en-US"/>
              </w:rPr>
              <w:t>%</w:t>
            </w:r>
            <w:r w:rsidR="000E7EC2" w:rsidRPr="00A73A93">
              <w:rPr>
                <w:rFonts w:ascii="Times New Roman" w:hAnsi="Times New Roman"/>
                <w:sz w:val="24"/>
                <w:szCs w:val="24"/>
              </w:rPr>
              <w:t xml:space="preserve">, nors ankstesnėje prognozėje buvo numatytas 1,1 </w:t>
            </w:r>
            <w:r w:rsidR="000F7A62" w:rsidRPr="00A73A93">
              <w:rPr>
                <w:rFonts w:ascii="Times New Roman" w:hAnsi="Times New Roman"/>
                <w:sz w:val="24"/>
                <w:szCs w:val="24"/>
              </w:rPr>
              <w:t>%</w:t>
            </w:r>
            <w:r w:rsidR="000E7EC2" w:rsidRPr="00A73A93">
              <w:rPr>
                <w:rFonts w:ascii="Times New Roman" w:hAnsi="Times New Roman"/>
                <w:sz w:val="24"/>
                <w:szCs w:val="24"/>
              </w:rPr>
              <w:t xml:space="preserve"> augimas. Pasak </w:t>
            </w:r>
            <w:r w:rsidR="0041370A" w:rsidRPr="00A73A93">
              <w:rPr>
                <w:rFonts w:ascii="Times New Roman" w:hAnsi="Times New Roman"/>
                <w:sz w:val="24"/>
                <w:szCs w:val="24"/>
              </w:rPr>
              <w:t>Ministerijos</w:t>
            </w:r>
            <w:r w:rsidR="000E7EC2" w:rsidRPr="00A73A93">
              <w:rPr>
                <w:rFonts w:ascii="Times New Roman" w:hAnsi="Times New Roman"/>
                <w:sz w:val="24"/>
                <w:szCs w:val="24"/>
              </w:rPr>
              <w:t xml:space="preserve">, su </w:t>
            </w:r>
            <w:r w:rsidR="0041370A" w:rsidRPr="00A73A93">
              <w:rPr>
                <w:rFonts w:ascii="Times New Roman" w:hAnsi="Times New Roman"/>
                <w:sz w:val="24"/>
                <w:szCs w:val="24"/>
              </w:rPr>
              <w:t>Artimųjų</w:t>
            </w:r>
            <w:r w:rsidR="000E7EC2" w:rsidRPr="00A73A93">
              <w:rPr>
                <w:rFonts w:ascii="Times New Roman" w:hAnsi="Times New Roman"/>
                <w:sz w:val="24"/>
                <w:szCs w:val="24"/>
              </w:rPr>
              <w:t xml:space="preserve"> Rytų krize susijęs nestabilumas lėtina ekonomikos plėtrą bei skatina infliaciją, o tai dar labiau slegia valstybės finansus. Prognozuojama, kad biudžeto deficitas šiemet padidės iki 4,6 </w:t>
            </w:r>
            <w:r w:rsidR="0041370A" w:rsidRPr="00A73A93">
              <w:rPr>
                <w:rFonts w:ascii="Times New Roman" w:hAnsi="Times New Roman"/>
                <w:sz w:val="24"/>
                <w:szCs w:val="24"/>
                <w:lang w:val="en-US"/>
              </w:rPr>
              <w:t>%</w:t>
            </w:r>
            <w:r w:rsidR="000E7EC2" w:rsidRPr="00A73A93">
              <w:rPr>
                <w:rFonts w:ascii="Times New Roman" w:hAnsi="Times New Roman"/>
                <w:sz w:val="24"/>
                <w:szCs w:val="24"/>
              </w:rPr>
              <w:t xml:space="preserve"> BVP ir išliks </w:t>
            </w:r>
            <w:r w:rsidR="0041370A" w:rsidRPr="00A73A93">
              <w:rPr>
                <w:rFonts w:ascii="Times New Roman" w:hAnsi="Times New Roman"/>
                <w:sz w:val="24"/>
                <w:szCs w:val="24"/>
              </w:rPr>
              <w:t xml:space="preserve">panašiai tiek </w:t>
            </w:r>
            <w:r w:rsidR="000E7EC2" w:rsidRPr="00A73A93">
              <w:rPr>
                <w:rFonts w:ascii="Times New Roman" w:hAnsi="Times New Roman"/>
                <w:sz w:val="24"/>
                <w:szCs w:val="24"/>
              </w:rPr>
              <w:t xml:space="preserve">išaugęs visą </w:t>
            </w:r>
            <w:r w:rsidR="0041370A" w:rsidRPr="00A73A93">
              <w:rPr>
                <w:rFonts w:ascii="Times New Roman" w:hAnsi="Times New Roman"/>
                <w:sz w:val="24"/>
                <w:szCs w:val="24"/>
              </w:rPr>
              <w:t xml:space="preserve">likusį </w:t>
            </w:r>
            <w:r w:rsidR="000E7EC2" w:rsidRPr="00A73A93">
              <w:rPr>
                <w:rFonts w:ascii="Times New Roman" w:hAnsi="Times New Roman"/>
                <w:sz w:val="24"/>
                <w:szCs w:val="24"/>
              </w:rPr>
              <w:t xml:space="preserve">dešimtmetį, o valstybės skola iki 2030 metų turėtų pasiekti beveik 100 </w:t>
            </w:r>
            <w:r w:rsidR="0041370A" w:rsidRPr="00A73A93">
              <w:rPr>
                <w:rFonts w:ascii="Times New Roman" w:hAnsi="Times New Roman"/>
                <w:sz w:val="24"/>
                <w:szCs w:val="24"/>
                <w:lang w:val="en-US"/>
              </w:rPr>
              <w:t>%</w:t>
            </w:r>
            <w:r w:rsidR="000E7EC2" w:rsidRPr="00A73A93">
              <w:rPr>
                <w:rFonts w:ascii="Times New Roman" w:hAnsi="Times New Roman"/>
                <w:sz w:val="24"/>
                <w:szCs w:val="24"/>
              </w:rPr>
              <w:t xml:space="preserve"> BVP. Jei krizė </w:t>
            </w:r>
            <w:r w:rsidR="0041370A" w:rsidRPr="00A73A93">
              <w:rPr>
                <w:rFonts w:ascii="Times New Roman" w:hAnsi="Times New Roman"/>
                <w:sz w:val="24"/>
                <w:szCs w:val="24"/>
              </w:rPr>
              <w:t xml:space="preserve">Artimuosiuose Rytuose </w:t>
            </w:r>
            <w:r w:rsidR="000E7EC2" w:rsidRPr="00A73A93">
              <w:rPr>
                <w:rFonts w:ascii="Times New Roman" w:hAnsi="Times New Roman"/>
                <w:sz w:val="24"/>
                <w:szCs w:val="24"/>
              </w:rPr>
              <w:t xml:space="preserve">užsitęstų, </w:t>
            </w:r>
            <w:r w:rsidR="0041370A" w:rsidRPr="00A73A93">
              <w:rPr>
                <w:rFonts w:ascii="Times New Roman" w:hAnsi="Times New Roman"/>
                <w:sz w:val="24"/>
                <w:szCs w:val="24"/>
              </w:rPr>
              <w:t xml:space="preserve">šalies šių metų </w:t>
            </w:r>
            <w:r w:rsidR="000E7EC2" w:rsidRPr="00A73A93">
              <w:rPr>
                <w:rFonts w:ascii="Times New Roman" w:hAnsi="Times New Roman"/>
                <w:sz w:val="24"/>
                <w:szCs w:val="24"/>
              </w:rPr>
              <w:t>augimas gali smukti iki nulio. Nors tikimasi, kad situacijai stabilizavusis ekonomika nuo kitų metų pradės pamažu atsigauti, šiuo metu šį atsigavimą stabdo menkas vartotojų pasitikėjimas, didelis nedarbas ir augančios energijos sąnaudos.</w:t>
            </w:r>
          </w:p>
        </w:tc>
        <w:tc>
          <w:tcPr>
            <w:tcW w:w="2127" w:type="dxa"/>
            <w:tcMar>
              <w:top w:w="29" w:type="dxa"/>
              <w:left w:w="115" w:type="dxa"/>
              <w:bottom w:w="29" w:type="dxa"/>
              <w:right w:w="115" w:type="dxa"/>
            </w:tcMar>
          </w:tcPr>
          <w:p w14:paraId="2464D513" w14:textId="68DCD289" w:rsidR="009D4F2C" w:rsidRPr="00A73A93" w:rsidRDefault="00252683" w:rsidP="00CD0EC9">
            <w:pPr>
              <w:spacing w:after="0" w:line="240" w:lineRule="auto"/>
              <w:jc w:val="both"/>
              <w:rPr>
                <w:rFonts w:ascii="Times New Roman" w:hAnsi="Times New Roman"/>
                <w:sz w:val="24"/>
                <w:szCs w:val="24"/>
              </w:rPr>
            </w:pPr>
            <w:hyperlink r:id="rId13" w:history="1">
              <w:r w:rsidRPr="00A73A93">
                <w:rPr>
                  <w:rStyle w:val="Hyperlink"/>
                  <w:rFonts w:ascii="Times New Roman" w:hAnsi="Times New Roman"/>
                  <w:color w:val="auto"/>
                  <w:sz w:val="24"/>
                  <w:szCs w:val="24"/>
                </w:rPr>
                <w:t>https://valtioneuvosto.fi/-/10623/energian-hinnan-nousu-hidastaa-talouden-kasvua?languageId=en_US</w:t>
              </w:r>
            </w:hyperlink>
            <w:r w:rsidRPr="00A73A93">
              <w:rPr>
                <w:rFonts w:ascii="Times New Roman" w:hAnsi="Times New Roman"/>
                <w:sz w:val="24"/>
                <w:szCs w:val="24"/>
              </w:rPr>
              <w:t xml:space="preserve"> </w:t>
            </w:r>
          </w:p>
          <w:p w14:paraId="5F86021F" w14:textId="304C96C9" w:rsidR="009D4F2C" w:rsidRPr="00A73A93" w:rsidRDefault="009D4F2C" w:rsidP="00CD0EC9">
            <w:pPr>
              <w:spacing w:after="0" w:line="240" w:lineRule="auto"/>
              <w:jc w:val="both"/>
              <w:rPr>
                <w:rFonts w:ascii="Times New Roman" w:hAnsi="Times New Roman"/>
                <w:sz w:val="24"/>
                <w:szCs w:val="24"/>
              </w:rPr>
            </w:pPr>
          </w:p>
        </w:tc>
      </w:tr>
      <w:tr w:rsidR="009D4F2C" w:rsidRPr="00A73A93" w14:paraId="478E5D00" w14:textId="77777777" w:rsidTr="00F93AED">
        <w:trPr>
          <w:trHeight w:val="385"/>
        </w:trPr>
        <w:tc>
          <w:tcPr>
            <w:tcW w:w="1043" w:type="dxa"/>
            <w:gridSpan w:val="2"/>
            <w:tcMar>
              <w:top w:w="29" w:type="dxa"/>
              <w:left w:w="115" w:type="dxa"/>
              <w:bottom w:w="29" w:type="dxa"/>
              <w:right w:w="115" w:type="dxa"/>
            </w:tcMar>
          </w:tcPr>
          <w:p w14:paraId="50983747" w14:textId="75DA03E1" w:rsidR="009D4F2C" w:rsidRPr="00A73A93" w:rsidRDefault="009D4F2C"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2026-0</w:t>
            </w:r>
            <w:r w:rsidR="00CD5E57" w:rsidRPr="00A73A93">
              <w:rPr>
                <w:rFonts w:ascii="Times New Roman" w:hAnsi="Times New Roman" w:cs="Times New Roman"/>
                <w:color w:val="auto"/>
                <w:sz w:val="24"/>
                <w:szCs w:val="24"/>
              </w:rPr>
              <w:t>5</w:t>
            </w:r>
            <w:r w:rsidRPr="00A73A93">
              <w:rPr>
                <w:rFonts w:ascii="Times New Roman" w:hAnsi="Times New Roman" w:cs="Times New Roman"/>
                <w:color w:val="auto"/>
                <w:sz w:val="24"/>
                <w:szCs w:val="24"/>
              </w:rPr>
              <w:t>-</w:t>
            </w:r>
            <w:r w:rsidR="00CD5E57" w:rsidRPr="00A73A93">
              <w:rPr>
                <w:rFonts w:ascii="Times New Roman" w:hAnsi="Times New Roman" w:cs="Times New Roman"/>
                <w:color w:val="auto"/>
                <w:sz w:val="24"/>
                <w:szCs w:val="24"/>
              </w:rPr>
              <w:t>02</w:t>
            </w:r>
          </w:p>
        </w:tc>
        <w:tc>
          <w:tcPr>
            <w:tcW w:w="5755" w:type="dxa"/>
            <w:tcMar>
              <w:top w:w="29" w:type="dxa"/>
              <w:left w:w="115" w:type="dxa"/>
              <w:bottom w:w="29" w:type="dxa"/>
              <w:right w:w="115" w:type="dxa"/>
            </w:tcMar>
          </w:tcPr>
          <w:p w14:paraId="7A8D728F" w14:textId="78EA75E9" w:rsidR="009D4F2C" w:rsidRPr="00A73A93" w:rsidRDefault="00C723CE" w:rsidP="00CD0EC9">
            <w:pPr>
              <w:spacing w:after="0" w:line="240" w:lineRule="auto"/>
              <w:jc w:val="both"/>
              <w:rPr>
                <w:rFonts w:ascii="Times New Roman" w:hAnsi="Times New Roman"/>
                <w:b/>
                <w:bCs/>
                <w:sz w:val="24"/>
                <w:szCs w:val="24"/>
              </w:rPr>
            </w:pPr>
            <w:r w:rsidRPr="00A73A93">
              <w:rPr>
                <w:rFonts w:ascii="Times New Roman" w:hAnsi="Times New Roman"/>
                <w:b/>
                <w:bCs/>
                <w:sz w:val="24"/>
                <w:szCs w:val="24"/>
              </w:rPr>
              <w:t xml:space="preserve">„Eurostat“ duomenimis, Suomijoje išlieka didžiausias nedarbo lygis ES – kovą jis siekė 10,5 </w:t>
            </w:r>
            <w:r w:rsidRPr="00A73A93">
              <w:rPr>
                <w:rFonts w:ascii="Times New Roman" w:hAnsi="Times New Roman"/>
                <w:b/>
                <w:bCs/>
                <w:sz w:val="24"/>
                <w:szCs w:val="24"/>
                <w:lang w:val="en-US"/>
              </w:rPr>
              <w:t>%</w:t>
            </w:r>
            <w:r w:rsidRPr="00A73A93">
              <w:rPr>
                <w:rFonts w:ascii="Times New Roman" w:hAnsi="Times New Roman"/>
                <w:b/>
                <w:bCs/>
                <w:sz w:val="24"/>
                <w:szCs w:val="24"/>
              </w:rPr>
              <w:t xml:space="preserve"> (ES vidurkis – 6 %). </w:t>
            </w:r>
            <w:r w:rsidRPr="00A73A93">
              <w:rPr>
                <w:rFonts w:ascii="Times New Roman" w:hAnsi="Times New Roman"/>
                <w:sz w:val="24"/>
                <w:szCs w:val="24"/>
              </w:rPr>
              <w:t>Suomijos ekonomisto Jukkos Appelqvisto teigimu, tai lėmė užsitęsęs šalies ekonomikos nuosmukis ir auganti darbo jėgos pasiūla, besiskirianti nuo darbuotojų stygiumi pasižyminčios likusios Europos. Nors fone matyti pirmųjų atsigavimo ženklų, situacijai pakeisti reikalingas platesnio masto ekonomikos augimas.</w:t>
            </w:r>
            <w:r w:rsidR="00406613" w:rsidRPr="00A73A93">
              <w:rPr>
                <w:rFonts w:ascii="Times New Roman" w:hAnsi="Times New Roman"/>
                <w:sz w:val="24"/>
                <w:szCs w:val="24"/>
              </w:rPr>
              <w:t xml:space="preserve"> </w:t>
            </w:r>
            <w:r w:rsidRPr="00A73A93">
              <w:rPr>
                <w:rFonts w:ascii="Times New Roman" w:hAnsi="Times New Roman"/>
                <w:sz w:val="24"/>
                <w:szCs w:val="24"/>
              </w:rPr>
              <w:t>Suomijos banko vadovas Olli Rehnas situaciją vadina neraminančia, o pagrindinėmis vang</w:t>
            </w:r>
            <w:r w:rsidR="00406613" w:rsidRPr="00A73A93">
              <w:rPr>
                <w:rFonts w:ascii="Times New Roman" w:hAnsi="Times New Roman"/>
                <w:sz w:val="24"/>
                <w:szCs w:val="24"/>
              </w:rPr>
              <w:t>aus</w:t>
            </w:r>
            <w:r w:rsidRPr="00A73A93">
              <w:rPr>
                <w:rFonts w:ascii="Times New Roman" w:hAnsi="Times New Roman"/>
                <w:sz w:val="24"/>
                <w:szCs w:val="24"/>
              </w:rPr>
              <w:t xml:space="preserve"> užimtumo priežastimis įvardija pasaulinį neapibrėžtumą, menką vidaus paklausą, sąstingį statybose bei aukštą gyventojų taupymo normą. Nepaisant pozityvių signalų gamybos sektoriuje, Suomija atsilieka nuo kitų Europos šalių kurdama naujas darbo vietas. O. Rehno vertinimu, prioritetu turėtų tapti produktyvumo didinimas, o ne darbo valandų ilginimas.</w:t>
            </w:r>
          </w:p>
        </w:tc>
        <w:tc>
          <w:tcPr>
            <w:tcW w:w="2127" w:type="dxa"/>
            <w:tcMar>
              <w:top w:w="29" w:type="dxa"/>
              <w:left w:w="115" w:type="dxa"/>
              <w:bottom w:w="29" w:type="dxa"/>
              <w:right w:w="115" w:type="dxa"/>
            </w:tcMar>
          </w:tcPr>
          <w:p w14:paraId="26F34D84" w14:textId="1725A211" w:rsidR="009D4F2C" w:rsidRPr="00A73A93" w:rsidRDefault="002569E6" w:rsidP="00CD0EC9">
            <w:pPr>
              <w:spacing w:after="0" w:line="240" w:lineRule="auto"/>
              <w:jc w:val="both"/>
              <w:rPr>
                <w:rFonts w:ascii="Times New Roman" w:hAnsi="Times New Roman"/>
                <w:sz w:val="24"/>
                <w:szCs w:val="24"/>
              </w:rPr>
            </w:pPr>
            <w:hyperlink r:id="rId14" w:history="1">
              <w:r w:rsidRPr="00A73A93">
                <w:rPr>
                  <w:rStyle w:val="Hyperlink"/>
                  <w:rFonts w:ascii="Times New Roman" w:hAnsi="Times New Roman"/>
                  <w:color w:val="auto"/>
                  <w:sz w:val="24"/>
                  <w:szCs w:val="24"/>
                </w:rPr>
                <w:t>https://yle.fi/a/74-20223567</w:t>
              </w:r>
            </w:hyperlink>
          </w:p>
          <w:p w14:paraId="1B242837" w14:textId="77777777" w:rsidR="002569E6" w:rsidRPr="00A73A93" w:rsidRDefault="002569E6" w:rsidP="00CD0EC9">
            <w:pPr>
              <w:spacing w:after="0" w:line="240" w:lineRule="auto"/>
              <w:jc w:val="both"/>
              <w:rPr>
                <w:rFonts w:ascii="Times New Roman" w:hAnsi="Times New Roman"/>
                <w:sz w:val="24"/>
                <w:szCs w:val="24"/>
              </w:rPr>
            </w:pPr>
          </w:p>
          <w:p w14:paraId="1F70DB00" w14:textId="67774249" w:rsidR="002569E6" w:rsidRPr="00A73A93" w:rsidRDefault="00CD5E57" w:rsidP="00CD0EC9">
            <w:pPr>
              <w:spacing w:after="0" w:line="240" w:lineRule="auto"/>
              <w:jc w:val="both"/>
              <w:rPr>
                <w:rFonts w:ascii="Times New Roman" w:hAnsi="Times New Roman"/>
                <w:sz w:val="24"/>
                <w:szCs w:val="24"/>
              </w:rPr>
            </w:pPr>
            <w:hyperlink r:id="rId15" w:history="1">
              <w:r w:rsidRPr="00A73A93">
                <w:rPr>
                  <w:rStyle w:val="Hyperlink"/>
                  <w:rFonts w:ascii="Times New Roman" w:hAnsi="Times New Roman"/>
                  <w:color w:val="auto"/>
                  <w:sz w:val="24"/>
                  <w:szCs w:val="24"/>
                </w:rPr>
                <w:t>https://yle.fi/a/74-20223783</w:t>
              </w:r>
            </w:hyperlink>
            <w:r w:rsidRPr="00A73A93">
              <w:rPr>
                <w:rFonts w:ascii="Times New Roman" w:hAnsi="Times New Roman"/>
                <w:sz w:val="24"/>
                <w:szCs w:val="24"/>
              </w:rPr>
              <w:t xml:space="preserve"> </w:t>
            </w:r>
          </w:p>
        </w:tc>
      </w:tr>
      <w:tr w:rsidR="009D4F2C" w:rsidRPr="00A73A93" w14:paraId="70A2172D" w14:textId="77777777" w:rsidTr="00F93AED">
        <w:trPr>
          <w:trHeight w:val="385"/>
        </w:trPr>
        <w:tc>
          <w:tcPr>
            <w:tcW w:w="1043" w:type="dxa"/>
            <w:gridSpan w:val="2"/>
            <w:tcMar>
              <w:top w:w="29" w:type="dxa"/>
              <w:left w:w="115" w:type="dxa"/>
              <w:bottom w:w="29" w:type="dxa"/>
              <w:right w:w="115" w:type="dxa"/>
            </w:tcMar>
          </w:tcPr>
          <w:p w14:paraId="03440A8C" w14:textId="39B317FB" w:rsidR="009D4F2C" w:rsidRPr="00A73A93" w:rsidRDefault="009D4F2C"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lastRenderedPageBreak/>
              <w:t>2026-0</w:t>
            </w:r>
            <w:r w:rsidR="00B17766" w:rsidRPr="00A73A93">
              <w:rPr>
                <w:rFonts w:ascii="Times New Roman" w:hAnsi="Times New Roman" w:cs="Times New Roman"/>
                <w:color w:val="auto"/>
                <w:sz w:val="24"/>
                <w:szCs w:val="24"/>
              </w:rPr>
              <w:t>5</w:t>
            </w:r>
            <w:r w:rsidRPr="00A73A93">
              <w:rPr>
                <w:rFonts w:ascii="Times New Roman" w:hAnsi="Times New Roman" w:cs="Times New Roman"/>
                <w:color w:val="auto"/>
                <w:sz w:val="24"/>
                <w:szCs w:val="24"/>
              </w:rPr>
              <w:t>-0</w:t>
            </w:r>
            <w:r w:rsidR="00B17766" w:rsidRPr="00A73A93">
              <w:rPr>
                <w:rFonts w:ascii="Times New Roman" w:hAnsi="Times New Roman" w:cs="Times New Roman"/>
                <w:color w:val="auto"/>
                <w:sz w:val="24"/>
                <w:szCs w:val="24"/>
              </w:rPr>
              <w:t>1</w:t>
            </w:r>
          </w:p>
        </w:tc>
        <w:tc>
          <w:tcPr>
            <w:tcW w:w="5755" w:type="dxa"/>
            <w:tcMar>
              <w:top w:w="29" w:type="dxa"/>
              <w:left w:w="115" w:type="dxa"/>
              <w:bottom w:w="29" w:type="dxa"/>
              <w:right w:w="115" w:type="dxa"/>
            </w:tcMar>
          </w:tcPr>
          <w:p w14:paraId="645546E4" w14:textId="7E93BB8C" w:rsidR="009D4F2C" w:rsidRPr="00A73A93" w:rsidRDefault="0033767D" w:rsidP="00CD0EC9">
            <w:pPr>
              <w:spacing w:after="0" w:line="240" w:lineRule="auto"/>
              <w:jc w:val="both"/>
              <w:rPr>
                <w:rFonts w:ascii="Times New Roman" w:eastAsiaTheme="minorHAnsi" w:hAnsi="Times New Roman"/>
                <w:b/>
                <w:bCs/>
                <w:kern w:val="2"/>
                <w:sz w:val="24"/>
                <w:szCs w:val="24"/>
                <w14:ligatures w14:val="standardContextual"/>
              </w:rPr>
            </w:pPr>
            <w:r w:rsidRPr="00A73A93">
              <w:rPr>
                <w:rFonts w:ascii="Times New Roman" w:eastAsiaTheme="minorHAnsi" w:hAnsi="Times New Roman"/>
                <w:b/>
                <w:bCs/>
                <w:kern w:val="2"/>
                <w:sz w:val="24"/>
                <w:szCs w:val="24"/>
                <w14:ligatures w14:val="standardContextual"/>
              </w:rPr>
              <w:t xml:space="preserve">„Uber Eats“ pradėjo veiklą Suomijoje, leisdama vartotojams per „Uber“ programėlę užsisakyti maistą ir prekių pristatymą. </w:t>
            </w:r>
            <w:r w:rsidRPr="00A73A93">
              <w:rPr>
                <w:rFonts w:ascii="Times New Roman" w:eastAsiaTheme="minorHAnsi" w:hAnsi="Times New Roman"/>
                <w:kern w:val="2"/>
                <w:sz w:val="24"/>
                <w:szCs w:val="24"/>
                <w14:ligatures w14:val="standardContextual"/>
              </w:rPr>
              <w:t>Šis žingsnis sudaro naują konkurenciją vietos rinkoje dominavusiai Suomijos „Wolt“ bendrovei, ypač po to, kai anksčiau šiais metais iš Suomijos pasitraukė „Foodora“. Ši plėtra yra platesnės „Uber“ strategijos Europoje dalis, kuria siekiama per ateinančius trejus metus generuoti papildomą 1 mlrd. JAV dol. pajamų.</w:t>
            </w:r>
          </w:p>
        </w:tc>
        <w:tc>
          <w:tcPr>
            <w:tcW w:w="2127" w:type="dxa"/>
            <w:tcMar>
              <w:top w:w="29" w:type="dxa"/>
              <w:left w:w="115" w:type="dxa"/>
              <w:bottom w:w="29" w:type="dxa"/>
              <w:right w:w="115" w:type="dxa"/>
            </w:tcMar>
          </w:tcPr>
          <w:p w14:paraId="368D9536" w14:textId="160E0DD1" w:rsidR="009D4F2C" w:rsidRPr="00A73A93" w:rsidRDefault="00B17766" w:rsidP="00CD0EC9">
            <w:pPr>
              <w:spacing w:after="0" w:line="240" w:lineRule="auto"/>
              <w:jc w:val="both"/>
              <w:rPr>
                <w:rFonts w:ascii="Times New Roman" w:eastAsiaTheme="majorEastAsia" w:hAnsi="Times New Roman"/>
                <w:sz w:val="24"/>
                <w:szCs w:val="24"/>
              </w:rPr>
            </w:pPr>
            <w:hyperlink r:id="rId16" w:history="1">
              <w:r w:rsidRPr="00A73A93">
                <w:rPr>
                  <w:rStyle w:val="Hyperlink"/>
                  <w:rFonts w:ascii="Times New Roman" w:eastAsiaTheme="majorEastAsia" w:hAnsi="Times New Roman"/>
                  <w:color w:val="auto"/>
                  <w:sz w:val="24"/>
                  <w:szCs w:val="24"/>
                </w:rPr>
                <w:t>https://yle.fi/a/74-20223577</w:t>
              </w:r>
            </w:hyperlink>
            <w:r w:rsidRPr="00A73A93">
              <w:rPr>
                <w:rFonts w:ascii="Times New Roman" w:eastAsiaTheme="majorEastAsia" w:hAnsi="Times New Roman"/>
                <w:sz w:val="24"/>
                <w:szCs w:val="24"/>
              </w:rPr>
              <w:t xml:space="preserve"> </w:t>
            </w:r>
          </w:p>
        </w:tc>
      </w:tr>
      <w:tr w:rsidR="009D4F2C" w:rsidRPr="00A73A93" w14:paraId="3D85B851" w14:textId="77777777" w:rsidTr="00F93AED">
        <w:trPr>
          <w:trHeight w:val="385"/>
        </w:trPr>
        <w:tc>
          <w:tcPr>
            <w:tcW w:w="1043" w:type="dxa"/>
            <w:gridSpan w:val="2"/>
            <w:tcMar>
              <w:top w:w="29" w:type="dxa"/>
              <w:left w:w="115" w:type="dxa"/>
              <w:bottom w:w="29" w:type="dxa"/>
              <w:right w:w="115" w:type="dxa"/>
            </w:tcMar>
          </w:tcPr>
          <w:p w14:paraId="64257A4A" w14:textId="2EB64250" w:rsidR="009D4F2C" w:rsidRPr="00A73A93" w:rsidRDefault="009D4F2C"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2026-0</w:t>
            </w:r>
            <w:r w:rsidR="00760621" w:rsidRPr="00A73A93">
              <w:rPr>
                <w:rFonts w:ascii="Times New Roman" w:hAnsi="Times New Roman" w:cs="Times New Roman"/>
                <w:color w:val="auto"/>
                <w:sz w:val="24"/>
                <w:szCs w:val="24"/>
              </w:rPr>
              <w:t>5</w:t>
            </w:r>
            <w:r w:rsidRPr="00A73A93">
              <w:rPr>
                <w:rFonts w:ascii="Times New Roman" w:hAnsi="Times New Roman" w:cs="Times New Roman"/>
                <w:color w:val="auto"/>
                <w:sz w:val="24"/>
                <w:szCs w:val="24"/>
              </w:rPr>
              <w:t>-</w:t>
            </w:r>
            <w:r w:rsidR="00760621" w:rsidRPr="00A73A93">
              <w:rPr>
                <w:rFonts w:ascii="Times New Roman" w:hAnsi="Times New Roman" w:cs="Times New Roman"/>
                <w:color w:val="auto"/>
                <w:sz w:val="24"/>
                <w:szCs w:val="24"/>
              </w:rPr>
              <w:t>05</w:t>
            </w:r>
          </w:p>
        </w:tc>
        <w:tc>
          <w:tcPr>
            <w:tcW w:w="5755" w:type="dxa"/>
            <w:tcMar>
              <w:top w:w="29" w:type="dxa"/>
              <w:left w:w="115" w:type="dxa"/>
              <w:bottom w:w="29" w:type="dxa"/>
              <w:right w:w="115" w:type="dxa"/>
            </w:tcMar>
          </w:tcPr>
          <w:p w14:paraId="0CD14606" w14:textId="3DA913E1" w:rsidR="009D4F2C" w:rsidRPr="00A73A93" w:rsidRDefault="00A74566" w:rsidP="00CD0EC9">
            <w:pPr>
              <w:spacing w:after="0" w:line="240" w:lineRule="auto"/>
              <w:jc w:val="both"/>
              <w:rPr>
                <w:rFonts w:ascii="Times New Roman" w:hAnsi="Times New Roman"/>
                <w:sz w:val="24"/>
                <w:szCs w:val="24"/>
              </w:rPr>
            </w:pPr>
            <w:r w:rsidRPr="00A73A93">
              <w:rPr>
                <w:rFonts w:ascii="Times New Roman" w:hAnsi="Times New Roman"/>
                <w:b/>
                <w:bCs/>
                <w:sz w:val="24"/>
                <w:szCs w:val="24"/>
              </w:rPr>
              <w:t>Suomijos p</w:t>
            </w:r>
            <w:r w:rsidR="00DE0DE2" w:rsidRPr="00A73A93">
              <w:rPr>
                <w:rFonts w:ascii="Times New Roman" w:hAnsi="Times New Roman"/>
                <w:b/>
                <w:bCs/>
                <w:sz w:val="24"/>
                <w:szCs w:val="24"/>
              </w:rPr>
              <w:t>rekybos rūmų apklausa rodo, kad dauguma Suomijos įmonių, nepaisant augančio pasaulinio neapibrėžtumo, teigiamai vertina artimiausias perspektyvas.</w:t>
            </w:r>
            <w:r w:rsidR="00DE0DE2" w:rsidRPr="00A73A93">
              <w:rPr>
                <w:rFonts w:ascii="Times New Roman" w:hAnsi="Times New Roman"/>
                <w:sz w:val="24"/>
                <w:szCs w:val="24"/>
              </w:rPr>
              <w:t xml:space="preserve"> Apie 80 % respondentų tikisi, kad jų apyvarta per ateinančius šešis mėnesius išliks stabili arba augs, ir tik penktadalis prognozuoja nuosmukį. Visgi, palyginti su sausio mėnesiu, lūkesčiai nežymiai suprastėjo, o didžiausią susirūpinimą kelia pelningumas. Suomijos prekybos rūmų vyriausiasis ekonomistas Jukka Appelqvist pažymėjo, kad rezultatai nesuteikia pagrindo pesimizmui dėl šalies ekonomikos atsigavimo, nes net ir suprastėję eksporto lūkesčiai išlieka pakankamai tvirti.</w:t>
            </w:r>
          </w:p>
        </w:tc>
        <w:tc>
          <w:tcPr>
            <w:tcW w:w="2127" w:type="dxa"/>
            <w:tcMar>
              <w:top w:w="29" w:type="dxa"/>
              <w:left w:w="115" w:type="dxa"/>
              <w:bottom w:w="29" w:type="dxa"/>
              <w:right w:w="115" w:type="dxa"/>
            </w:tcMar>
          </w:tcPr>
          <w:p w14:paraId="5377FF30" w14:textId="548AE9E6" w:rsidR="009D4F2C" w:rsidRPr="00A73A93" w:rsidRDefault="00760621" w:rsidP="00CD0EC9">
            <w:pPr>
              <w:spacing w:after="0" w:line="240" w:lineRule="auto"/>
              <w:jc w:val="both"/>
              <w:rPr>
                <w:rFonts w:ascii="Times New Roman" w:hAnsi="Times New Roman"/>
                <w:sz w:val="24"/>
                <w:szCs w:val="24"/>
              </w:rPr>
            </w:pPr>
            <w:hyperlink r:id="rId17" w:history="1">
              <w:r w:rsidRPr="00A73A93">
                <w:rPr>
                  <w:rStyle w:val="Hyperlink"/>
                  <w:rFonts w:ascii="Times New Roman" w:hAnsi="Times New Roman"/>
                  <w:color w:val="auto"/>
                  <w:sz w:val="24"/>
                  <w:szCs w:val="24"/>
                </w:rPr>
                <w:t>https://yle.fi/a/74-20224188</w:t>
              </w:r>
            </w:hyperlink>
            <w:r w:rsidRPr="00A73A93">
              <w:rPr>
                <w:rFonts w:ascii="Times New Roman" w:hAnsi="Times New Roman"/>
                <w:sz w:val="24"/>
                <w:szCs w:val="24"/>
              </w:rPr>
              <w:t xml:space="preserve"> </w:t>
            </w:r>
          </w:p>
        </w:tc>
      </w:tr>
      <w:tr w:rsidR="009D4F2C" w:rsidRPr="00A73A93" w14:paraId="5630A61C" w14:textId="77777777" w:rsidTr="00F93AED">
        <w:trPr>
          <w:trHeight w:val="385"/>
        </w:trPr>
        <w:tc>
          <w:tcPr>
            <w:tcW w:w="1043" w:type="dxa"/>
            <w:gridSpan w:val="2"/>
            <w:tcMar>
              <w:top w:w="29" w:type="dxa"/>
              <w:left w:w="115" w:type="dxa"/>
              <w:bottom w:w="29" w:type="dxa"/>
              <w:right w:w="115" w:type="dxa"/>
            </w:tcMar>
          </w:tcPr>
          <w:p w14:paraId="1044946A" w14:textId="4296B95C" w:rsidR="009D4F2C" w:rsidRPr="00A73A93" w:rsidRDefault="009D4F2C"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2026-0</w:t>
            </w:r>
            <w:r w:rsidR="009C3649" w:rsidRPr="00A73A93">
              <w:rPr>
                <w:rFonts w:ascii="Times New Roman" w:hAnsi="Times New Roman" w:cs="Times New Roman"/>
                <w:color w:val="auto"/>
                <w:sz w:val="24"/>
                <w:szCs w:val="24"/>
              </w:rPr>
              <w:t>5</w:t>
            </w:r>
            <w:r w:rsidRPr="00A73A93">
              <w:rPr>
                <w:rFonts w:ascii="Times New Roman" w:hAnsi="Times New Roman" w:cs="Times New Roman"/>
                <w:color w:val="auto"/>
                <w:sz w:val="24"/>
                <w:szCs w:val="24"/>
              </w:rPr>
              <w:t>-</w:t>
            </w:r>
            <w:r w:rsidR="009C3649" w:rsidRPr="00A73A93">
              <w:rPr>
                <w:rFonts w:ascii="Times New Roman" w:hAnsi="Times New Roman" w:cs="Times New Roman"/>
                <w:color w:val="auto"/>
                <w:sz w:val="24"/>
                <w:szCs w:val="24"/>
              </w:rPr>
              <w:t>04</w:t>
            </w:r>
          </w:p>
        </w:tc>
        <w:tc>
          <w:tcPr>
            <w:tcW w:w="5755" w:type="dxa"/>
            <w:tcMar>
              <w:top w:w="29" w:type="dxa"/>
              <w:left w:w="115" w:type="dxa"/>
              <w:bottom w:w="29" w:type="dxa"/>
              <w:right w:w="115" w:type="dxa"/>
            </w:tcMar>
          </w:tcPr>
          <w:p w14:paraId="31FE6094" w14:textId="58C4BCD4" w:rsidR="009D4F2C" w:rsidRPr="00A73A93" w:rsidRDefault="008A3EBC" w:rsidP="00CD0EC9">
            <w:pPr>
              <w:spacing w:after="0" w:line="240" w:lineRule="auto"/>
              <w:jc w:val="both"/>
              <w:rPr>
                <w:rFonts w:ascii="Times New Roman" w:hAnsi="Times New Roman"/>
                <w:bCs/>
                <w:sz w:val="24"/>
                <w:szCs w:val="24"/>
              </w:rPr>
            </w:pPr>
            <w:r w:rsidRPr="00A73A93">
              <w:rPr>
                <w:rFonts w:ascii="Times New Roman" w:hAnsi="Times New Roman"/>
                <w:b/>
                <w:sz w:val="24"/>
                <w:szCs w:val="24"/>
              </w:rPr>
              <w:t>Suomijos f</w:t>
            </w:r>
            <w:r w:rsidR="007B5E82" w:rsidRPr="00A73A93">
              <w:rPr>
                <w:rFonts w:ascii="Times New Roman" w:hAnsi="Times New Roman"/>
                <w:b/>
                <w:sz w:val="24"/>
                <w:szCs w:val="24"/>
              </w:rPr>
              <w:t>inansų ministerijos teigimu, Suomijos kelias per ES deficito procedūrą bus ilgas ir sunkus.</w:t>
            </w:r>
            <w:r w:rsidR="007B5E82" w:rsidRPr="00A73A93">
              <w:rPr>
                <w:rFonts w:ascii="Times New Roman" w:hAnsi="Times New Roman"/>
                <w:bCs/>
                <w:sz w:val="24"/>
                <w:szCs w:val="24"/>
              </w:rPr>
              <w:t xml:space="preserve"> Naujausios prognozės rodo, kad šalies biudžeto deficitas šiemet pagilės iki 4,6 </w:t>
            </w:r>
            <w:r w:rsidR="00B71A76" w:rsidRPr="00A73A93">
              <w:rPr>
                <w:rFonts w:ascii="Times New Roman" w:hAnsi="Times New Roman"/>
                <w:bCs/>
                <w:sz w:val="24"/>
                <w:szCs w:val="24"/>
              </w:rPr>
              <w:t>%</w:t>
            </w:r>
            <w:r w:rsidR="007B5E82" w:rsidRPr="00A73A93">
              <w:rPr>
                <w:rFonts w:ascii="Times New Roman" w:hAnsi="Times New Roman"/>
                <w:bCs/>
                <w:sz w:val="24"/>
                <w:szCs w:val="24"/>
              </w:rPr>
              <w:t xml:space="preserve"> BVP ir tokiame lygyje išliks iki 2029 metų, o nežymiai pagerės tik 2030-aisiais. Kadangi pagal ES Stabilumo ir augimo paktą deficitas negali viršyti 3 </w:t>
            </w:r>
            <w:r w:rsidR="00C31008" w:rsidRPr="00A73A93">
              <w:rPr>
                <w:rFonts w:ascii="Times New Roman" w:hAnsi="Times New Roman"/>
                <w:bCs/>
                <w:sz w:val="24"/>
                <w:szCs w:val="24"/>
              </w:rPr>
              <w:t>%</w:t>
            </w:r>
            <w:r w:rsidR="007B5E82" w:rsidRPr="00A73A93">
              <w:rPr>
                <w:rFonts w:ascii="Times New Roman" w:hAnsi="Times New Roman"/>
                <w:bCs/>
                <w:sz w:val="24"/>
                <w:szCs w:val="24"/>
              </w:rPr>
              <w:t xml:space="preserve"> BVP, Suomija iš šios procedūros neišsipainios tol, kol faktiniai rodikliai nesukris žemiau šios ribos. Tai reiškia, kad procesas gali užsitęsti iki kito dešimtmečio pradžios.</w:t>
            </w:r>
          </w:p>
        </w:tc>
        <w:tc>
          <w:tcPr>
            <w:tcW w:w="2127" w:type="dxa"/>
            <w:tcMar>
              <w:top w:w="29" w:type="dxa"/>
              <w:left w:w="115" w:type="dxa"/>
              <w:bottom w:w="29" w:type="dxa"/>
              <w:right w:w="115" w:type="dxa"/>
            </w:tcMar>
          </w:tcPr>
          <w:p w14:paraId="06CBDED8" w14:textId="6D46F14B" w:rsidR="009D4F2C" w:rsidRPr="00A73A93" w:rsidRDefault="009C3649" w:rsidP="00CD0EC9">
            <w:pPr>
              <w:spacing w:after="0" w:line="240" w:lineRule="auto"/>
              <w:jc w:val="both"/>
              <w:rPr>
                <w:rFonts w:ascii="Times New Roman" w:hAnsi="Times New Roman"/>
                <w:sz w:val="24"/>
                <w:szCs w:val="24"/>
              </w:rPr>
            </w:pPr>
            <w:hyperlink r:id="rId18" w:history="1">
              <w:r w:rsidRPr="00A73A93">
                <w:rPr>
                  <w:rStyle w:val="Hyperlink"/>
                  <w:rFonts w:ascii="Times New Roman" w:hAnsi="Times New Roman"/>
                  <w:color w:val="auto"/>
                  <w:sz w:val="24"/>
                  <w:szCs w:val="24"/>
                </w:rPr>
                <w:t>https://www.iltalehti.fi/politiikka/a/0ce50927-2ae0-43fc-ac82-b2f1b24dd448</w:t>
              </w:r>
            </w:hyperlink>
            <w:r w:rsidRPr="00A73A93">
              <w:rPr>
                <w:rFonts w:ascii="Times New Roman" w:hAnsi="Times New Roman"/>
                <w:sz w:val="24"/>
                <w:szCs w:val="24"/>
              </w:rPr>
              <w:t xml:space="preserve"> </w:t>
            </w:r>
          </w:p>
        </w:tc>
      </w:tr>
      <w:tr w:rsidR="009D4F2C" w:rsidRPr="00A73A93" w14:paraId="4DBA26A2" w14:textId="77777777" w:rsidTr="00F93AED">
        <w:trPr>
          <w:trHeight w:val="385"/>
        </w:trPr>
        <w:tc>
          <w:tcPr>
            <w:tcW w:w="1043" w:type="dxa"/>
            <w:gridSpan w:val="2"/>
            <w:tcMar>
              <w:top w:w="29" w:type="dxa"/>
              <w:left w:w="115" w:type="dxa"/>
              <w:bottom w:w="29" w:type="dxa"/>
              <w:right w:w="115" w:type="dxa"/>
            </w:tcMar>
          </w:tcPr>
          <w:p w14:paraId="15B9B5F8" w14:textId="76197C40" w:rsidR="009D4F2C" w:rsidRPr="00A73A93" w:rsidRDefault="009D4F2C"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2026-0</w:t>
            </w:r>
            <w:r w:rsidR="00C64799" w:rsidRPr="00A73A93">
              <w:rPr>
                <w:rFonts w:ascii="Times New Roman" w:hAnsi="Times New Roman" w:cs="Times New Roman"/>
                <w:color w:val="auto"/>
                <w:sz w:val="24"/>
                <w:szCs w:val="24"/>
              </w:rPr>
              <w:t>5</w:t>
            </w:r>
            <w:r w:rsidRPr="00A73A93">
              <w:rPr>
                <w:rFonts w:ascii="Times New Roman" w:hAnsi="Times New Roman" w:cs="Times New Roman"/>
                <w:color w:val="auto"/>
                <w:sz w:val="24"/>
                <w:szCs w:val="24"/>
              </w:rPr>
              <w:t>-</w:t>
            </w:r>
            <w:r w:rsidR="00C64799" w:rsidRPr="00A73A93">
              <w:rPr>
                <w:rFonts w:ascii="Times New Roman" w:hAnsi="Times New Roman" w:cs="Times New Roman"/>
                <w:color w:val="auto"/>
                <w:sz w:val="24"/>
                <w:szCs w:val="24"/>
              </w:rPr>
              <w:t>05</w:t>
            </w:r>
          </w:p>
        </w:tc>
        <w:tc>
          <w:tcPr>
            <w:tcW w:w="5755" w:type="dxa"/>
            <w:tcMar>
              <w:top w:w="29" w:type="dxa"/>
              <w:left w:w="115" w:type="dxa"/>
              <w:bottom w:w="29" w:type="dxa"/>
              <w:right w:w="115" w:type="dxa"/>
            </w:tcMar>
          </w:tcPr>
          <w:p w14:paraId="10869F2C" w14:textId="5EAC72E9" w:rsidR="009D4F2C" w:rsidRPr="00A73A93" w:rsidRDefault="00EF5C05" w:rsidP="00CD0EC9">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A73A93">
              <w:rPr>
                <w:rFonts w:ascii="Times New Roman" w:eastAsiaTheme="minorHAnsi" w:hAnsi="Times New Roman" w:cs="Times New Roman"/>
                <w:b/>
                <w:bCs/>
                <w:color w:val="auto"/>
                <w:kern w:val="2"/>
                <w:sz w:val="24"/>
                <w:szCs w:val="24"/>
                <w14:ligatures w14:val="standardContextual"/>
              </w:rPr>
              <w:t>2026 m. balandį bankrotų skaičius Suomijoje su</w:t>
            </w:r>
            <w:r w:rsidR="007D3650" w:rsidRPr="00A73A93">
              <w:rPr>
                <w:rFonts w:ascii="Times New Roman" w:eastAsiaTheme="minorHAnsi" w:hAnsi="Times New Roman" w:cs="Times New Roman"/>
                <w:b/>
                <w:bCs/>
                <w:color w:val="auto"/>
                <w:kern w:val="2"/>
                <w:sz w:val="24"/>
                <w:szCs w:val="24"/>
                <w14:ligatures w14:val="standardContextual"/>
              </w:rPr>
              <w:t>mažėjo</w:t>
            </w:r>
            <w:r w:rsidRPr="00A73A93">
              <w:rPr>
                <w:rFonts w:ascii="Times New Roman" w:eastAsiaTheme="minorHAnsi" w:hAnsi="Times New Roman" w:cs="Times New Roman"/>
                <w:b/>
                <w:bCs/>
                <w:color w:val="auto"/>
                <w:kern w:val="2"/>
                <w:sz w:val="24"/>
                <w:szCs w:val="24"/>
                <w14:ligatures w14:val="standardContextual"/>
              </w:rPr>
              <w:t xml:space="preserve"> 18 % (iki 278 atvejų), lyginant su kovu, tačiau bendra tendencija išlieka prasta – šių metų rodikliai jau viršija 2025 m. tą patį laikotarpį</w:t>
            </w:r>
            <w:r w:rsidR="007D3650" w:rsidRPr="00A73A93">
              <w:rPr>
                <w:rFonts w:ascii="Times New Roman" w:eastAsiaTheme="minorHAnsi" w:hAnsi="Times New Roman" w:cs="Times New Roman"/>
                <w:b/>
                <w:bCs/>
                <w:color w:val="auto"/>
                <w:kern w:val="2"/>
                <w:sz w:val="24"/>
                <w:szCs w:val="24"/>
                <w14:ligatures w14:val="standardContextual"/>
              </w:rPr>
              <w:t xml:space="preserve">. </w:t>
            </w:r>
            <w:r w:rsidRPr="00A73A93">
              <w:rPr>
                <w:rFonts w:ascii="Times New Roman" w:eastAsiaTheme="minorHAnsi" w:hAnsi="Times New Roman" w:cs="Times New Roman"/>
                <w:color w:val="auto"/>
                <w:kern w:val="2"/>
                <w:sz w:val="24"/>
                <w:szCs w:val="24"/>
                <w14:ligatures w14:val="standardContextual"/>
              </w:rPr>
              <w:t xml:space="preserve">Jei ši tendencija tęsis, metinis bankrotų skaičius gali viršyti 3 600 ir pasiekti </w:t>
            </w:r>
            <w:r w:rsidR="0012012C" w:rsidRPr="00A73A93">
              <w:rPr>
                <w:rFonts w:ascii="Times New Roman" w:eastAsiaTheme="minorHAnsi" w:hAnsi="Times New Roman" w:cs="Times New Roman"/>
                <w:color w:val="auto"/>
                <w:kern w:val="2"/>
                <w:sz w:val="24"/>
                <w:szCs w:val="24"/>
                <w14:ligatures w14:val="standardContextual"/>
              </w:rPr>
              <w:t>devyniasdešimtųjų pradžios recesijos šalyje lygį</w:t>
            </w:r>
            <w:r w:rsidRPr="00A73A93">
              <w:rPr>
                <w:rFonts w:ascii="Times New Roman" w:eastAsiaTheme="minorHAnsi" w:hAnsi="Times New Roman" w:cs="Times New Roman"/>
                <w:color w:val="auto"/>
                <w:kern w:val="2"/>
                <w:sz w:val="24"/>
                <w:szCs w:val="24"/>
                <w14:ligatures w14:val="standardContextual"/>
              </w:rPr>
              <w:t>. Augantys mokėjimų vėlavimai bei ekonominis neapibrėžtumas slegia verslą, o bankrotai valstybei neša nuostolius dėl prarastų mokesčių, kreditų praradimų ir išaugusių viešųjų išlaidų. Padėtį sunkina ir institucijų fiksuojamas finansinių nusikaltimų, susijusių su nemokumu, augimas.</w:t>
            </w:r>
          </w:p>
        </w:tc>
        <w:tc>
          <w:tcPr>
            <w:tcW w:w="2127" w:type="dxa"/>
            <w:tcMar>
              <w:top w:w="29" w:type="dxa"/>
              <w:left w:w="115" w:type="dxa"/>
              <w:bottom w:w="29" w:type="dxa"/>
              <w:right w:w="115" w:type="dxa"/>
            </w:tcMar>
          </w:tcPr>
          <w:p w14:paraId="179517AE" w14:textId="054A81A3" w:rsidR="009D4F2C" w:rsidRPr="00A73A93" w:rsidRDefault="00C64799"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https://www.iltalehti.fi/talous/a/ac97370f-cb07-47ed-b657-b2f34fba55f3</w:t>
            </w:r>
          </w:p>
        </w:tc>
      </w:tr>
      <w:tr w:rsidR="009D4F2C" w:rsidRPr="00A73A93" w14:paraId="4FE782A0" w14:textId="77777777" w:rsidTr="00F93AED">
        <w:trPr>
          <w:trHeight w:val="385"/>
        </w:trPr>
        <w:tc>
          <w:tcPr>
            <w:tcW w:w="1043" w:type="dxa"/>
            <w:gridSpan w:val="2"/>
            <w:tcMar>
              <w:top w:w="29" w:type="dxa"/>
              <w:left w:w="115" w:type="dxa"/>
              <w:bottom w:w="29" w:type="dxa"/>
              <w:right w:w="115" w:type="dxa"/>
            </w:tcMar>
          </w:tcPr>
          <w:p w14:paraId="5820584B" w14:textId="7FBAD1E4" w:rsidR="009D4F2C" w:rsidRPr="00A73A93" w:rsidRDefault="009D4F2C"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2026-0</w:t>
            </w:r>
            <w:r w:rsidR="003B5EA9" w:rsidRPr="00A73A93">
              <w:rPr>
                <w:rFonts w:ascii="Times New Roman" w:hAnsi="Times New Roman" w:cs="Times New Roman"/>
                <w:color w:val="auto"/>
                <w:sz w:val="24"/>
                <w:szCs w:val="24"/>
              </w:rPr>
              <w:t>5</w:t>
            </w:r>
            <w:r w:rsidRPr="00A73A93">
              <w:rPr>
                <w:rFonts w:ascii="Times New Roman" w:hAnsi="Times New Roman" w:cs="Times New Roman"/>
                <w:color w:val="auto"/>
                <w:sz w:val="24"/>
                <w:szCs w:val="24"/>
              </w:rPr>
              <w:t>-</w:t>
            </w:r>
            <w:r w:rsidR="003B5EA9" w:rsidRPr="00A73A93">
              <w:rPr>
                <w:rFonts w:ascii="Times New Roman" w:hAnsi="Times New Roman" w:cs="Times New Roman"/>
                <w:color w:val="auto"/>
                <w:sz w:val="24"/>
                <w:szCs w:val="24"/>
              </w:rPr>
              <w:t>05</w:t>
            </w:r>
          </w:p>
        </w:tc>
        <w:tc>
          <w:tcPr>
            <w:tcW w:w="5755" w:type="dxa"/>
            <w:tcMar>
              <w:top w:w="29" w:type="dxa"/>
              <w:left w:w="115" w:type="dxa"/>
              <w:bottom w:w="29" w:type="dxa"/>
              <w:right w:w="115" w:type="dxa"/>
            </w:tcMar>
          </w:tcPr>
          <w:p w14:paraId="6BE82AF5" w14:textId="2DF18FF0" w:rsidR="009D4F2C" w:rsidRPr="00A73A93" w:rsidRDefault="003F6A59" w:rsidP="00CD0EC9">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A73A93">
              <w:rPr>
                <w:rFonts w:ascii="Times New Roman" w:hAnsi="Times New Roman" w:cs="Times New Roman"/>
                <w:b/>
                <w:bCs/>
                <w:color w:val="auto"/>
                <w:sz w:val="24"/>
                <w:szCs w:val="24"/>
              </w:rPr>
              <w:t xml:space="preserve">Dėl kintančios saugumo situacijos </w:t>
            </w:r>
            <w:r w:rsidR="0096420D" w:rsidRPr="00A73A93">
              <w:rPr>
                <w:rFonts w:ascii="Times New Roman" w:hAnsi="Times New Roman" w:cs="Times New Roman"/>
                <w:b/>
                <w:bCs/>
                <w:color w:val="auto"/>
                <w:sz w:val="24"/>
                <w:szCs w:val="24"/>
              </w:rPr>
              <w:t>ir narystės NATO,</w:t>
            </w:r>
            <w:r w:rsidRPr="00A73A93">
              <w:rPr>
                <w:rFonts w:ascii="Times New Roman" w:hAnsi="Times New Roman" w:cs="Times New Roman"/>
                <w:b/>
                <w:bCs/>
                <w:color w:val="auto"/>
                <w:sz w:val="24"/>
                <w:szCs w:val="24"/>
              </w:rPr>
              <w:t xml:space="preserve"> Suomijos universitetai, ypač Aalto</w:t>
            </w:r>
            <w:r w:rsidR="0096420D" w:rsidRPr="00A73A93">
              <w:rPr>
                <w:rFonts w:ascii="Times New Roman" w:hAnsi="Times New Roman" w:cs="Times New Roman"/>
                <w:b/>
                <w:bCs/>
                <w:color w:val="auto"/>
                <w:sz w:val="24"/>
                <w:szCs w:val="24"/>
              </w:rPr>
              <w:t xml:space="preserve"> universitetas</w:t>
            </w:r>
            <w:r w:rsidRPr="00A73A93">
              <w:rPr>
                <w:rFonts w:ascii="Times New Roman" w:hAnsi="Times New Roman" w:cs="Times New Roman"/>
                <w:b/>
                <w:bCs/>
                <w:color w:val="auto"/>
                <w:sz w:val="24"/>
                <w:szCs w:val="24"/>
              </w:rPr>
              <w:t xml:space="preserve">, tampa svarbiu gynybos sektoriaus inovacijų šaltiniu, o riba tarp civilinių ir karinių tyrimų nyksta. </w:t>
            </w:r>
            <w:r w:rsidRPr="00A73A93">
              <w:rPr>
                <w:rFonts w:ascii="Times New Roman" w:hAnsi="Times New Roman" w:cs="Times New Roman"/>
                <w:color w:val="auto"/>
                <w:sz w:val="24"/>
                <w:szCs w:val="24"/>
              </w:rPr>
              <w:t xml:space="preserve">Tokie startuoliai kaip „Metaktik“ ar „Agate Sensors“ rodo, kaip dvigubos paskirties technologijos (antenos, vaizdo </w:t>
            </w:r>
            <w:r w:rsidRPr="00A73A93">
              <w:rPr>
                <w:rFonts w:ascii="Times New Roman" w:hAnsi="Times New Roman" w:cs="Times New Roman"/>
                <w:color w:val="auto"/>
                <w:sz w:val="24"/>
                <w:szCs w:val="24"/>
              </w:rPr>
              <w:lastRenderedPageBreak/>
              <w:t>sistemos dronams) pritaikomos kariuomenei, o investuotojai ir ES fondai tam skiria vis didesnį finansavimą. Nors universitetai pabrėžia akademinę laisvę bei etiką, mokslo ir gynybos pramonės integracija sparčiai gilėja, keisdama inovacijų ir saugumo sankirtą.</w:t>
            </w:r>
          </w:p>
        </w:tc>
        <w:tc>
          <w:tcPr>
            <w:tcW w:w="2127" w:type="dxa"/>
            <w:tcMar>
              <w:top w:w="29" w:type="dxa"/>
              <w:left w:w="115" w:type="dxa"/>
              <w:bottom w:w="29" w:type="dxa"/>
              <w:right w:w="115" w:type="dxa"/>
            </w:tcMar>
          </w:tcPr>
          <w:p w14:paraId="44C4E08E" w14:textId="43A103DD" w:rsidR="009D4F2C" w:rsidRPr="00A73A93" w:rsidRDefault="003B5EA9"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lastRenderedPageBreak/>
              <w:t>https://yle.fi/a/74-20224175</w:t>
            </w:r>
          </w:p>
        </w:tc>
      </w:tr>
      <w:tr w:rsidR="009D4F2C" w:rsidRPr="00A73A93" w14:paraId="22A55BE9" w14:textId="77777777" w:rsidTr="00F93AED">
        <w:trPr>
          <w:trHeight w:val="385"/>
        </w:trPr>
        <w:tc>
          <w:tcPr>
            <w:tcW w:w="1043" w:type="dxa"/>
            <w:gridSpan w:val="2"/>
            <w:tcMar>
              <w:top w:w="29" w:type="dxa"/>
              <w:left w:w="115" w:type="dxa"/>
              <w:bottom w:w="29" w:type="dxa"/>
              <w:right w:w="115" w:type="dxa"/>
            </w:tcMar>
          </w:tcPr>
          <w:p w14:paraId="7A3E3EB2" w14:textId="6F437BF9" w:rsidR="009D4F2C" w:rsidRPr="00A73A93" w:rsidRDefault="009D4F2C" w:rsidP="00CD0EC9">
            <w:pPr>
              <w:pStyle w:val="Heading1"/>
              <w:spacing w:before="0" w:after="0" w:line="240" w:lineRule="auto"/>
              <w:jc w:val="both"/>
              <w:rPr>
                <w:rFonts w:ascii="Times New Roman" w:hAnsi="Times New Roman" w:cs="Times New Roman"/>
                <w:color w:val="auto"/>
                <w:sz w:val="24"/>
                <w:szCs w:val="24"/>
              </w:rPr>
            </w:pPr>
            <w:r w:rsidRPr="00A73A93">
              <w:rPr>
                <w:rFonts w:ascii="Times New Roman" w:hAnsi="Times New Roman" w:cs="Times New Roman"/>
                <w:color w:val="auto"/>
                <w:sz w:val="24"/>
                <w:szCs w:val="24"/>
              </w:rPr>
              <w:t>202</w:t>
            </w:r>
            <w:r w:rsidR="00DD7BF9">
              <w:rPr>
                <w:rFonts w:ascii="Times New Roman" w:hAnsi="Times New Roman" w:cs="Times New Roman"/>
                <w:color w:val="auto"/>
                <w:sz w:val="24"/>
                <w:szCs w:val="24"/>
              </w:rPr>
              <w:t>6</w:t>
            </w:r>
            <w:r w:rsidRPr="00A73A93">
              <w:rPr>
                <w:rFonts w:ascii="Times New Roman" w:hAnsi="Times New Roman" w:cs="Times New Roman"/>
                <w:color w:val="auto"/>
                <w:sz w:val="24"/>
                <w:szCs w:val="24"/>
              </w:rPr>
              <w:t>-0</w:t>
            </w:r>
            <w:r w:rsidR="00CA5EB3" w:rsidRPr="00A73A93">
              <w:rPr>
                <w:rFonts w:ascii="Times New Roman" w:hAnsi="Times New Roman" w:cs="Times New Roman"/>
                <w:color w:val="auto"/>
                <w:sz w:val="24"/>
                <w:szCs w:val="24"/>
              </w:rPr>
              <w:t>5</w:t>
            </w:r>
            <w:r w:rsidRPr="00A73A93">
              <w:rPr>
                <w:rFonts w:ascii="Times New Roman" w:hAnsi="Times New Roman" w:cs="Times New Roman"/>
                <w:color w:val="auto"/>
                <w:sz w:val="24"/>
                <w:szCs w:val="24"/>
              </w:rPr>
              <w:t>-</w:t>
            </w:r>
            <w:r w:rsidR="00CA5EB3" w:rsidRPr="00A73A93">
              <w:rPr>
                <w:rFonts w:ascii="Times New Roman" w:hAnsi="Times New Roman" w:cs="Times New Roman"/>
                <w:color w:val="auto"/>
                <w:sz w:val="24"/>
                <w:szCs w:val="24"/>
              </w:rPr>
              <w:t>05</w:t>
            </w:r>
          </w:p>
        </w:tc>
        <w:tc>
          <w:tcPr>
            <w:tcW w:w="5755" w:type="dxa"/>
            <w:tcMar>
              <w:top w:w="29" w:type="dxa"/>
              <w:left w:w="115" w:type="dxa"/>
              <w:bottom w:w="29" w:type="dxa"/>
              <w:right w:w="115" w:type="dxa"/>
            </w:tcMar>
          </w:tcPr>
          <w:p w14:paraId="1044F994" w14:textId="75624780" w:rsidR="00641296" w:rsidRPr="00A73A93" w:rsidRDefault="00641296" w:rsidP="00CD0EC9">
            <w:pPr>
              <w:pStyle w:val="Heading1"/>
              <w:spacing w:before="0" w:after="0" w:line="240" w:lineRule="auto"/>
              <w:jc w:val="both"/>
              <w:rPr>
                <w:rFonts w:ascii="Times New Roman" w:eastAsiaTheme="minorHAnsi" w:hAnsi="Times New Roman" w:cs="Times New Roman"/>
                <w:color w:val="auto"/>
                <w:kern w:val="2"/>
                <w:sz w:val="24"/>
                <w:szCs w:val="24"/>
                <w14:ligatures w14:val="standardContextual"/>
              </w:rPr>
            </w:pPr>
            <w:r w:rsidRPr="00A73A93">
              <w:rPr>
                <w:rFonts w:ascii="Times New Roman" w:eastAsiaTheme="minorHAnsi" w:hAnsi="Times New Roman" w:cs="Times New Roman"/>
                <w:b/>
                <w:bCs/>
                <w:color w:val="auto"/>
                <w:kern w:val="2"/>
                <w:sz w:val="24"/>
                <w:szCs w:val="24"/>
                <w14:ligatures w14:val="standardContextual"/>
              </w:rPr>
              <w:t xml:space="preserve">Suomijos mokesčių administratoriaus vadovas Markku Heikura interviu paragino realistiškai vertinti šalyje kylančių duomenų centrų bumą. </w:t>
            </w:r>
            <w:r w:rsidR="00F64104" w:rsidRPr="00A73A93">
              <w:rPr>
                <w:rFonts w:ascii="Times New Roman" w:eastAsiaTheme="minorHAnsi" w:hAnsi="Times New Roman" w:cs="Times New Roman"/>
                <w:color w:val="auto"/>
                <w:kern w:val="2"/>
                <w:sz w:val="24"/>
                <w:szCs w:val="24"/>
                <w14:ligatures w14:val="standardContextual"/>
              </w:rPr>
              <w:t>Š</w:t>
            </w:r>
            <w:r w:rsidRPr="00A73A93">
              <w:rPr>
                <w:rFonts w:ascii="Times New Roman" w:eastAsiaTheme="minorHAnsi" w:hAnsi="Times New Roman" w:cs="Times New Roman"/>
                <w:color w:val="auto"/>
                <w:kern w:val="2"/>
                <w:sz w:val="24"/>
                <w:szCs w:val="24"/>
                <w14:ligatures w14:val="standardContextual"/>
              </w:rPr>
              <w:t xml:space="preserve">is sektorius valstybei sugeneruoja labai mažai mokesčių (daugiausia tik pelno nesiekiantį nekilnojamojo turto mokestį), o kai kuriais atvejais mokesčių pajamos yra netgi neigiamos. Taip yra todėl, kad vidinės sąskaitos, pardavimai užsienyje, investicijų nusidėvėjimas ir milžiniški PVM grąžinimai </w:t>
            </w:r>
            <w:r w:rsidR="005B1684" w:rsidRPr="00A73A93">
              <w:rPr>
                <w:rFonts w:ascii="Times New Roman" w:eastAsiaTheme="minorHAnsi" w:hAnsi="Times New Roman" w:cs="Times New Roman"/>
                <w:color w:val="auto"/>
                <w:kern w:val="2"/>
                <w:sz w:val="24"/>
                <w:szCs w:val="24"/>
                <w14:ligatures w14:val="standardContextual"/>
              </w:rPr>
              <w:t>suryja</w:t>
            </w:r>
            <w:r w:rsidRPr="00A73A93">
              <w:rPr>
                <w:rFonts w:ascii="Times New Roman" w:eastAsiaTheme="minorHAnsi" w:hAnsi="Times New Roman" w:cs="Times New Roman"/>
                <w:color w:val="auto"/>
                <w:kern w:val="2"/>
                <w:sz w:val="24"/>
                <w:szCs w:val="24"/>
                <w14:ligatures w14:val="standardContextual"/>
              </w:rPr>
              <w:t xml:space="preserve"> valstybės </w:t>
            </w:r>
            <w:r w:rsidR="005B1684" w:rsidRPr="00A73A93">
              <w:rPr>
                <w:rFonts w:ascii="Times New Roman" w:eastAsiaTheme="minorHAnsi" w:hAnsi="Times New Roman" w:cs="Times New Roman"/>
                <w:color w:val="auto"/>
                <w:kern w:val="2"/>
                <w:sz w:val="24"/>
                <w:szCs w:val="24"/>
                <w14:ligatures w14:val="standardContextual"/>
              </w:rPr>
              <w:t xml:space="preserve">teikiamą </w:t>
            </w:r>
            <w:r w:rsidRPr="00A73A93">
              <w:rPr>
                <w:rFonts w:ascii="Times New Roman" w:eastAsiaTheme="minorHAnsi" w:hAnsi="Times New Roman" w:cs="Times New Roman"/>
                <w:color w:val="auto"/>
                <w:kern w:val="2"/>
                <w:sz w:val="24"/>
                <w:szCs w:val="24"/>
                <w14:ligatures w14:val="standardContextual"/>
              </w:rPr>
              <w:t>dalį: pavyzdžiui, didžiausios mokesčių pajamos iš vieno centro siekė 11 mln. eurų, o didžiausias vienkartinis PVM grąžinimas – net 240 mln. eurų.</w:t>
            </w:r>
          </w:p>
          <w:p w14:paraId="4FC42BAF" w14:textId="77777777" w:rsidR="009D4F2C" w:rsidRPr="00A73A93" w:rsidRDefault="00641296" w:rsidP="00CD0EC9">
            <w:pPr>
              <w:pStyle w:val="Heading1"/>
              <w:spacing w:before="0" w:after="0" w:line="240" w:lineRule="auto"/>
              <w:jc w:val="both"/>
              <w:rPr>
                <w:rFonts w:ascii="Times New Roman" w:eastAsiaTheme="minorHAnsi" w:hAnsi="Times New Roman" w:cs="Times New Roman"/>
                <w:color w:val="auto"/>
                <w:kern w:val="2"/>
                <w:sz w:val="24"/>
                <w:szCs w:val="24"/>
                <w14:ligatures w14:val="standardContextual"/>
              </w:rPr>
            </w:pPr>
            <w:r w:rsidRPr="00A73A93">
              <w:rPr>
                <w:rFonts w:ascii="Times New Roman" w:eastAsiaTheme="minorHAnsi" w:hAnsi="Times New Roman" w:cs="Times New Roman"/>
                <w:color w:val="auto"/>
                <w:kern w:val="2"/>
                <w:sz w:val="24"/>
                <w:szCs w:val="24"/>
                <w14:ligatures w14:val="standardContextual"/>
              </w:rPr>
              <w:t>Be to, duomenų centrų poveikis užimtumui yra itin ribotas: iš 44 šalyje veikiančių centrų tik septyni turi daugiau nei 20 darbuotojų (dažniausiai 20–50), ir tik vienas tiesiogiai įdarbina virš 100 žmonių. Nors statybų etapas sukuria laikinų darbo vietų, veikiantys objektai yra visiškai automatizuoti, o techninius</w:t>
            </w:r>
            <w:r w:rsidRPr="00A73A93">
              <w:rPr>
                <w:rFonts w:ascii="Times New Roman" w:eastAsiaTheme="minorHAnsi" w:hAnsi="Times New Roman" w:cs="Times New Roman"/>
                <w:b/>
                <w:bCs/>
                <w:color w:val="auto"/>
                <w:kern w:val="2"/>
                <w:sz w:val="24"/>
                <w:szCs w:val="24"/>
                <w14:ligatures w14:val="standardContextual"/>
              </w:rPr>
              <w:t xml:space="preserve"> </w:t>
            </w:r>
            <w:r w:rsidRPr="00A73A93">
              <w:rPr>
                <w:rFonts w:ascii="Times New Roman" w:eastAsiaTheme="minorHAnsi" w:hAnsi="Times New Roman" w:cs="Times New Roman"/>
                <w:color w:val="auto"/>
                <w:kern w:val="2"/>
                <w:sz w:val="24"/>
                <w:szCs w:val="24"/>
                <w14:ligatures w14:val="standardContextual"/>
              </w:rPr>
              <w:t>montavimo darbus dažnai atlieka greitai migruojančios tarptautinės komandos.</w:t>
            </w:r>
            <w:r w:rsidR="005B1684" w:rsidRPr="00A73A93">
              <w:rPr>
                <w:rFonts w:ascii="Times New Roman" w:eastAsiaTheme="minorHAnsi" w:hAnsi="Times New Roman" w:cs="Times New Roman"/>
                <w:color w:val="auto"/>
                <w:kern w:val="2"/>
                <w:sz w:val="24"/>
                <w:szCs w:val="24"/>
                <w14:ligatures w14:val="standardContextual"/>
              </w:rPr>
              <w:t xml:space="preserve"> Mokesčių administracijos vadovas</w:t>
            </w:r>
            <w:r w:rsidRPr="00A73A93">
              <w:rPr>
                <w:rFonts w:ascii="Times New Roman" w:eastAsiaTheme="minorHAnsi" w:hAnsi="Times New Roman" w:cs="Times New Roman"/>
                <w:color w:val="auto"/>
                <w:kern w:val="2"/>
                <w:sz w:val="24"/>
                <w:szCs w:val="24"/>
                <w14:ligatures w14:val="standardContextual"/>
              </w:rPr>
              <w:t xml:space="preserve"> pabrėžė nenorintis, kad Suomija taptų šalimi, kurios ištekliai ir infrastruktūra išnaudojami verslui, o finansinė nauda iškeliauja į užsienį, ir paragino užtikrinti, kad ateities investicijos neštų realią naudą bei garantuotų mokesčių pajamas ir </w:t>
            </w:r>
            <w:r w:rsidR="00CA5EB3" w:rsidRPr="00A73A93">
              <w:rPr>
                <w:rFonts w:ascii="Times New Roman" w:eastAsiaTheme="minorHAnsi" w:hAnsi="Times New Roman" w:cs="Times New Roman"/>
                <w:color w:val="auto"/>
                <w:kern w:val="2"/>
                <w:sz w:val="24"/>
                <w:szCs w:val="24"/>
                <w14:ligatures w14:val="standardContextual"/>
              </w:rPr>
              <w:t>kitą dešimtmetį</w:t>
            </w:r>
            <w:r w:rsidRPr="00A73A93">
              <w:rPr>
                <w:rFonts w:ascii="Times New Roman" w:eastAsiaTheme="minorHAnsi" w:hAnsi="Times New Roman" w:cs="Times New Roman"/>
                <w:color w:val="auto"/>
                <w:kern w:val="2"/>
                <w:sz w:val="24"/>
                <w:szCs w:val="24"/>
                <w14:ligatures w14:val="standardContextual"/>
              </w:rPr>
              <w:t>.</w:t>
            </w:r>
          </w:p>
          <w:p w14:paraId="50C84874" w14:textId="77777777" w:rsidR="00FE5849" w:rsidRPr="00A73A93" w:rsidRDefault="00FE5849" w:rsidP="00CD0EC9">
            <w:pPr>
              <w:spacing w:after="0" w:line="240" w:lineRule="auto"/>
              <w:jc w:val="both"/>
              <w:rPr>
                <w:rFonts w:ascii="Times New Roman" w:hAnsi="Times New Roman"/>
                <w:sz w:val="24"/>
                <w:szCs w:val="24"/>
              </w:rPr>
            </w:pPr>
          </w:p>
          <w:p w14:paraId="40F83BC8" w14:textId="7E92A090" w:rsidR="00FE5849" w:rsidRPr="00A73A93" w:rsidRDefault="00FE5849" w:rsidP="00CD0EC9">
            <w:pPr>
              <w:spacing w:after="0" w:line="240" w:lineRule="auto"/>
              <w:jc w:val="both"/>
              <w:rPr>
                <w:rFonts w:ascii="Times New Roman" w:hAnsi="Times New Roman"/>
                <w:sz w:val="24"/>
                <w:szCs w:val="24"/>
              </w:rPr>
            </w:pPr>
            <w:r w:rsidRPr="002A7A7C">
              <w:rPr>
                <w:rFonts w:ascii="Times New Roman" w:hAnsi="Times New Roman"/>
                <w:b/>
                <w:bCs/>
                <w:sz w:val="24"/>
                <w:szCs w:val="24"/>
              </w:rPr>
              <w:t>Nepaisant to, sparčiai augančios investicijos į duomenų centrus tapo pagrindiniu Suomijos statybų pramonės varikliu</w:t>
            </w:r>
            <w:r w:rsidRPr="00A73A93">
              <w:rPr>
                <w:rFonts w:ascii="Times New Roman" w:hAnsi="Times New Roman"/>
                <w:sz w:val="24"/>
                <w:szCs w:val="24"/>
              </w:rPr>
              <w:t>, o vietos įmonės dabar atlieka gerokai didesnį vaidmenį nei ankstesniuose projektuose. Tokie didelio masto objektai kaip „Microsoft“ projektai Espo, Kirkonumyje ir Vihtyje įdarbina tūkstančius žmonių, o Suomijos statybų bei inžinerijos bendrovės vis dažniau veikia kaip pagrindinės rangovės, taip sušvelnindamos kito būsto sektoriaus sąstingį. Nors šalyje netrūksta kritikos, kad duomenų centrai neša naudą tik užsienio technologijų milžinėms, statybų sektoriaus lyderiai pabrėžia, kad šie projektai sukuria reikšmingą vietinį užimtumą ir skatina investicijas į susijusią infrastruktūrą – elektros tinklus, centralizuotą šildymą bei atsinaujinančią energetiką. Projektai Lahtyje, Kouvoloje ir Helsinkio regione augina suomiškos elektros sistemų bei aušinimo technologijų ekspertizės paklausą, o patys duomenų centrai tampa vis svarbesne šalies pramonės ir energetikos strategijos dalimi.</w:t>
            </w:r>
          </w:p>
        </w:tc>
        <w:tc>
          <w:tcPr>
            <w:tcW w:w="2127" w:type="dxa"/>
            <w:tcMar>
              <w:top w:w="29" w:type="dxa"/>
              <w:left w:w="115" w:type="dxa"/>
              <w:bottom w:w="29" w:type="dxa"/>
              <w:right w:w="115" w:type="dxa"/>
            </w:tcMar>
          </w:tcPr>
          <w:p w14:paraId="7E0779A0" w14:textId="573EB436" w:rsidR="009D4F2C" w:rsidRPr="00A73A93" w:rsidRDefault="0021385E" w:rsidP="00CD0EC9">
            <w:pPr>
              <w:pStyle w:val="Heading1"/>
              <w:spacing w:before="0" w:after="0" w:line="240" w:lineRule="auto"/>
              <w:jc w:val="both"/>
              <w:rPr>
                <w:rFonts w:ascii="Times New Roman" w:hAnsi="Times New Roman" w:cs="Times New Roman"/>
                <w:color w:val="auto"/>
                <w:sz w:val="24"/>
                <w:szCs w:val="24"/>
              </w:rPr>
            </w:pPr>
            <w:hyperlink r:id="rId19" w:history="1">
              <w:r w:rsidRPr="00A73A93">
                <w:rPr>
                  <w:rStyle w:val="Hyperlink"/>
                  <w:rFonts w:ascii="Times New Roman" w:hAnsi="Times New Roman" w:cs="Times New Roman"/>
                  <w:color w:val="auto"/>
                  <w:sz w:val="24"/>
                  <w:szCs w:val="24"/>
                </w:rPr>
                <w:t>https://www.mtvuutiset.fi/artikkeli/suomesta-datakeskusten-eldorado-veropomolta-suorat-sanat-miinusmerkkisia/9334084</w:t>
              </w:r>
            </w:hyperlink>
          </w:p>
          <w:p w14:paraId="5C9347EC" w14:textId="77777777" w:rsidR="0021385E" w:rsidRPr="00A73A93" w:rsidRDefault="0021385E" w:rsidP="00CD0EC9">
            <w:pPr>
              <w:spacing w:after="0" w:line="240" w:lineRule="auto"/>
              <w:jc w:val="both"/>
              <w:rPr>
                <w:rFonts w:ascii="Times New Roman" w:hAnsi="Times New Roman"/>
                <w:sz w:val="24"/>
                <w:szCs w:val="24"/>
              </w:rPr>
            </w:pPr>
          </w:p>
          <w:p w14:paraId="0E1A5115" w14:textId="300CCE90" w:rsidR="0021385E" w:rsidRPr="00A73A93" w:rsidRDefault="0021385E" w:rsidP="00CD0EC9">
            <w:pPr>
              <w:spacing w:after="0" w:line="240" w:lineRule="auto"/>
              <w:jc w:val="both"/>
              <w:rPr>
                <w:rFonts w:ascii="Times New Roman" w:hAnsi="Times New Roman"/>
                <w:sz w:val="24"/>
                <w:szCs w:val="24"/>
              </w:rPr>
            </w:pPr>
            <w:hyperlink r:id="rId20" w:history="1">
              <w:r w:rsidRPr="00A73A93">
                <w:rPr>
                  <w:rStyle w:val="Hyperlink"/>
                  <w:rFonts w:ascii="Times New Roman" w:hAnsi="Times New Roman"/>
                  <w:color w:val="auto"/>
                  <w:sz w:val="24"/>
                  <w:szCs w:val="24"/>
                </w:rPr>
                <w:t>https://www.hs.fi/visio/art-2000011958767.html</w:t>
              </w:r>
            </w:hyperlink>
            <w:r w:rsidRPr="00A73A93">
              <w:rPr>
                <w:rFonts w:ascii="Times New Roman" w:hAnsi="Times New Roman"/>
                <w:sz w:val="24"/>
                <w:szCs w:val="24"/>
              </w:rPr>
              <w:t xml:space="preserve"> </w:t>
            </w:r>
          </w:p>
        </w:tc>
      </w:tr>
      <w:tr w:rsidR="009D4F2C" w:rsidRPr="00A73A93" w14:paraId="6A6F6B41" w14:textId="77777777" w:rsidTr="00334608">
        <w:trPr>
          <w:trHeight w:val="216"/>
        </w:trPr>
        <w:tc>
          <w:tcPr>
            <w:tcW w:w="1043" w:type="dxa"/>
            <w:gridSpan w:val="2"/>
            <w:tcMar>
              <w:top w:w="29" w:type="dxa"/>
              <w:left w:w="115" w:type="dxa"/>
              <w:bottom w:w="29" w:type="dxa"/>
              <w:right w:w="115" w:type="dxa"/>
            </w:tcMar>
          </w:tcPr>
          <w:p w14:paraId="17AF63FE" w14:textId="3E5919C1" w:rsidR="009D4F2C" w:rsidRPr="00A73A93" w:rsidRDefault="009D4F2C" w:rsidP="00CD0EC9">
            <w:pPr>
              <w:spacing w:after="0" w:line="240" w:lineRule="auto"/>
              <w:jc w:val="both"/>
              <w:rPr>
                <w:rFonts w:ascii="Times New Roman" w:hAnsi="Times New Roman"/>
                <w:sz w:val="24"/>
                <w:szCs w:val="24"/>
              </w:rPr>
            </w:pPr>
            <w:r w:rsidRPr="00A73A93">
              <w:rPr>
                <w:rFonts w:ascii="Times New Roman" w:hAnsi="Times New Roman"/>
                <w:sz w:val="24"/>
                <w:szCs w:val="24"/>
              </w:rPr>
              <w:lastRenderedPageBreak/>
              <w:t>2026-0</w:t>
            </w:r>
            <w:r w:rsidR="007918FD" w:rsidRPr="00A73A93">
              <w:rPr>
                <w:rFonts w:ascii="Times New Roman" w:hAnsi="Times New Roman"/>
                <w:sz w:val="24"/>
                <w:szCs w:val="24"/>
              </w:rPr>
              <w:t>5</w:t>
            </w:r>
            <w:r w:rsidRPr="00A73A93">
              <w:rPr>
                <w:rFonts w:ascii="Times New Roman" w:hAnsi="Times New Roman"/>
                <w:sz w:val="24"/>
                <w:szCs w:val="24"/>
              </w:rPr>
              <w:t>-</w:t>
            </w:r>
            <w:r w:rsidR="007918FD" w:rsidRPr="00A73A93">
              <w:rPr>
                <w:rFonts w:ascii="Times New Roman" w:hAnsi="Times New Roman"/>
                <w:sz w:val="24"/>
                <w:szCs w:val="24"/>
              </w:rPr>
              <w:t>06</w:t>
            </w:r>
          </w:p>
        </w:tc>
        <w:tc>
          <w:tcPr>
            <w:tcW w:w="5755" w:type="dxa"/>
            <w:tcMar>
              <w:top w:w="29" w:type="dxa"/>
              <w:left w:w="115" w:type="dxa"/>
              <w:bottom w:w="29" w:type="dxa"/>
              <w:right w:w="115" w:type="dxa"/>
            </w:tcMar>
          </w:tcPr>
          <w:p w14:paraId="3E9BC756" w14:textId="0AAEE269" w:rsidR="009D4F2C" w:rsidRPr="00A73A93" w:rsidRDefault="00006D17" w:rsidP="00CD0EC9">
            <w:pPr>
              <w:spacing w:after="0" w:line="240" w:lineRule="auto"/>
              <w:jc w:val="both"/>
              <w:rPr>
                <w:rFonts w:ascii="Times New Roman" w:eastAsiaTheme="minorHAnsi" w:hAnsi="Times New Roman"/>
                <w:kern w:val="2"/>
                <w:sz w:val="24"/>
                <w:szCs w:val="24"/>
                <w14:ligatures w14:val="standardContextual"/>
              </w:rPr>
            </w:pPr>
            <w:r w:rsidRPr="00A73A93">
              <w:rPr>
                <w:rFonts w:ascii="Times New Roman" w:eastAsiaTheme="minorHAnsi" w:hAnsi="Times New Roman"/>
                <w:b/>
                <w:bCs/>
                <w:kern w:val="2"/>
                <w:sz w:val="24"/>
                <w:szCs w:val="24"/>
                <w14:ligatures w14:val="standardContextual"/>
              </w:rPr>
              <w:t xml:space="preserve">Suomijos biudžeto deficitas išliktų net ir įdarbinus visus 315 000 šiuo metu bedarbių piliečių. </w:t>
            </w:r>
            <w:r w:rsidRPr="00A73A93">
              <w:rPr>
                <w:rFonts w:ascii="Times New Roman" w:eastAsiaTheme="minorHAnsi" w:hAnsi="Times New Roman"/>
                <w:kern w:val="2"/>
                <w:sz w:val="24"/>
                <w:szCs w:val="24"/>
                <w14:ligatures w14:val="standardContextual"/>
              </w:rPr>
              <w:t>Finansų ministerijos atstovas Simo Mentula patvirtina, kad visiškas užimtumas valstybės finansus pagerintų maždaug 8 mlrd. eurų, tačiau dabartinis deficitas vis tiek viršija 13 mlrd. eurų. Helsinkio universiteto profesorius Niku Määttänenas pabrėžia, kad Suomija susiduria ne su ciklo lemtu, o su struktūriniu nedarbu, ir kaip pavyzdį pateikia Daniją, kur nedarbo lygis siekia vos 2,7 %. Jo teigimu, efektyvesnis sprendimas būtų ne darbo vietų apsaugos griežtinimas, o lengvesnės atleidimo procedūros bei solidžios investicijos į darbo rinkos paslaugas.</w:t>
            </w:r>
          </w:p>
        </w:tc>
        <w:tc>
          <w:tcPr>
            <w:tcW w:w="2127" w:type="dxa"/>
            <w:tcMar>
              <w:top w:w="29" w:type="dxa"/>
              <w:left w:w="115" w:type="dxa"/>
              <w:bottom w:w="29" w:type="dxa"/>
              <w:right w:w="115" w:type="dxa"/>
            </w:tcMar>
          </w:tcPr>
          <w:p w14:paraId="793B13B1" w14:textId="658FAC05" w:rsidR="009D4F2C" w:rsidRPr="00A73A93" w:rsidRDefault="007918FD" w:rsidP="00CD0EC9">
            <w:pPr>
              <w:spacing w:after="0" w:line="240" w:lineRule="auto"/>
              <w:jc w:val="both"/>
              <w:rPr>
                <w:rFonts w:ascii="Times New Roman" w:hAnsi="Times New Roman"/>
                <w:sz w:val="24"/>
                <w:szCs w:val="24"/>
              </w:rPr>
            </w:pPr>
            <w:hyperlink r:id="rId21" w:history="1">
              <w:r w:rsidRPr="00A73A93">
                <w:rPr>
                  <w:rStyle w:val="Hyperlink"/>
                  <w:rFonts w:ascii="Times New Roman" w:hAnsi="Times New Roman"/>
                  <w:color w:val="auto"/>
                  <w:sz w:val="24"/>
                  <w:szCs w:val="24"/>
                </w:rPr>
                <w:t>https://www.hs.fi/visio/art-2000011940522.html</w:t>
              </w:r>
            </w:hyperlink>
            <w:r w:rsidRPr="00A73A93">
              <w:rPr>
                <w:rFonts w:ascii="Times New Roman" w:hAnsi="Times New Roman"/>
                <w:sz w:val="24"/>
                <w:szCs w:val="24"/>
              </w:rPr>
              <w:t xml:space="preserve"> </w:t>
            </w:r>
          </w:p>
        </w:tc>
      </w:tr>
      <w:tr w:rsidR="009D4F2C" w:rsidRPr="00A73A93" w14:paraId="0B433D35" w14:textId="77777777" w:rsidTr="00334608">
        <w:trPr>
          <w:trHeight w:val="216"/>
        </w:trPr>
        <w:tc>
          <w:tcPr>
            <w:tcW w:w="1043" w:type="dxa"/>
            <w:gridSpan w:val="2"/>
            <w:tcMar>
              <w:top w:w="29" w:type="dxa"/>
              <w:left w:w="115" w:type="dxa"/>
              <w:bottom w:w="29" w:type="dxa"/>
              <w:right w:w="115" w:type="dxa"/>
            </w:tcMar>
          </w:tcPr>
          <w:p w14:paraId="1DCAAE5F" w14:textId="4400F79D" w:rsidR="009D4F2C" w:rsidRPr="00A73A93" w:rsidRDefault="009D4F2C" w:rsidP="00CD0EC9">
            <w:pPr>
              <w:spacing w:after="0" w:line="240" w:lineRule="auto"/>
              <w:jc w:val="both"/>
              <w:rPr>
                <w:rFonts w:ascii="Times New Roman" w:hAnsi="Times New Roman"/>
                <w:sz w:val="24"/>
                <w:szCs w:val="24"/>
              </w:rPr>
            </w:pPr>
            <w:r w:rsidRPr="00A73A93">
              <w:rPr>
                <w:rFonts w:ascii="Times New Roman" w:hAnsi="Times New Roman"/>
                <w:sz w:val="24"/>
                <w:szCs w:val="24"/>
              </w:rPr>
              <w:t>2026-0</w:t>
            </w:r>
            <w:r w:rsidR="007F5742" w:rsidRPr="00A73A93">
              <w:rPr>
                <w:rFonts w:ascii="Times New Roman" w:hAnsi="Times New Roman"/>
                <w:sz w:val="24"/>
                <w:szCs w:val="24"/>
              </w:rPr>
              <w:t>5</w:t>
            </w:r>
            <w:r w:rsidRPr="00A73A93">
              <w:rPr>
                <w:rFonts w:ascii="Times New Roman" w:hAnsi="Times New Roman"/>
                <w:sz w:val="24"/>
                <w:szCs w:val="24"/>
              </w:rPr>
              <w:t>-</w:t>
            </w:r>
            <w:r w:rsidR="007F5742" w:rsidRPr="00A73A93">
              <w:rPr>
                <w:rFonts w:ascii="Times New Roman" w:hAnsi="Times New Roman"/>
                <w:sz w:val="24"/>
                <w:szCs w:val="24"/>
              </w:rPr>
              <w:t>06</w:t>
            </w:r>
          </w:p>
        </w:tc>
        <w:tc>
          <w:tcPr>
            <w:tcW w:w="5755" w:type="dxa"/>
            <w:tcMar>
              <w:top w:w="29" w:type="dxa"/>
              <w:left w:w="115" w:type="dxa"/>
              <w:bottom w:w="29" w:type="dxa"/>
              <w:right w:w="115" w:type="dxa"/>
            </w:tcMar>
          </w:tcPr>
          <w:p w14:paraId="039042FD" w14:textId="6F438DD2" w:rsidR="009D4F2C" w:rsidRPr="00A73A93" w:rsidRDefault="009019A9" w:rsidP="00CD0EC9">
            <w:pPr>
              <w:spacing w:after="0" w:line="240" w:lineRule="auto"/>
              <w:jc w:val="both"/>
              <w:rPr>
                <w:rFonts w:ascii="Times New Roman" w:eastAsiaTheme="minorHAnsi" w:hAnsi="Times New Roman"/>
                <w:kern w:val="2"/>
                <w:sz w:val="24"/>
                <w:szCs w:val="24"/>
                <w14:ligatures w14:val="standardContextual"/>
              </w:rPr>
            </w:pPr>
            <w:r w:rsidRPr="00A73A93">
              <w:rPr>
                <w:rFonts w:ascii="Times New Roman" w:eastAsiaTheme="minorHAnsi" w:hAnsi="Times New Roman"/>
                <w:b/>
                <w:bCs/>
                <w:kern w:val="2"/>
                <w:sz w:val="24"/>
                <w:szCs w:val="24"/>
                <w14:ligatures w14:val="standardContextual"/>
              </w:rPr>
              <w:t xml:space="preserve">Suomijos technologijų įmonių gauti užsakymai pirmąjį 2026 m. ketvirtį sumažėjo, nors metų pradžioje lūkesčiai buvo optimistiški. </w:t>
            </w:r>
            <w:r w:rsidRPr="00A73A93">
              <w:rPr>
                <w:rFonts w:ascii="Times New Roman" w:eastAsiaTheme="minorHAnsi" w:hAnsi="Times New Roman"/>
                <w:kern w:val="2"/>
                <w:sz w:val="24"/>
                <w:szCs w:val="24"/>
                <w14:ligatures w14:val="standardContextual"/>
              </w:rPr>
              <w:t>Naujų užsakymų skaičius, lyginant su praėjusiu ketvirčiu, smuko 23 % – tai iš dalies lėmė išskirtinai dideli jūrinės pramonės užsakymai, užfiksuoti 2025 m. pabaigoje. Visgi, metinis palyginimas išlieka pozityvesnis – užsakymai buvo beveik 20 % didesni nei tuo pačiu laikotarpiu 2025 m. Asociacij</w:t>
            </w:r>
            <w:r w:rsidR="002A3EA8" w:rsidRPr="00A73A93">
              <w:rPr>
                <w:rFonts w:ascii="Times New Roman" w:eastAsiaTheme="minorHAnsi" w:hAnsi="Times New Roman"/>
                <w:kern w:val="2"/>
                <w:sz w:val="24"/>
                <w:szCs w:val="24"/>
                <w14:ligatures w14:val="standardContextual"/>
              </w:rPr>
              <w:t>a</w:t>
            </w:r>
            <w:r w:rsidRPr="00A73A93">
              <w:rPr>
                <w:rFonts w:ascii="Times New Roman" w:eastAsiaTheme="minorHAnsi" w:hAnsi="Times New Roman"/>
                <w:kern w:val="2"/>
                <w:sz w:val="24"/>
                <w:szCs w:val="24"/>
                <w14:ligatures w14:val="standardContextual"/>
              </w:rPr>
              <w:t xml:space="preserve"> „Teknologiateollisuus“</w:t>
            </w:r>
            <w:r w:rsidR="002A3EA8" w:rsidRPr="00A73A93">
              <w:rPr>
                <w:rFonts w:ascii="Times New Roman" w:eastAsiaTheme="minorHAnsi" w:hAnsi="Times New Roman"/>
                <w:kern w:val="2"/>
                <w:sz w:val="24"/>
                <w:szCs w:val="24"/>
                <w14:ligatures w14:val="standardContextual"/>
              </w:rPr>
              <w:t xml:space="preserve"> </w:t>
            </w:r>
            <w:r w:rsidRPr="00A73A93">
              <w:rPr>
                <w:rFonts w:ascii="Times New Roman" w:eastAsiaTheme="minorHAnsi" w:hAnsi="Times New Roman"/>
                <w:kern w:val="2"/>
                <w:sz w:val="24"/>
                <w:szCs w:val="24"/>
                <w14:ligatures w14:val="standardContextual"/>
              </w:rPr>
              <w:t>situaciją metų pradžioje įvertino kaip pakenčiamą ir priminė, kad technologijų sektoriaus eksportas sudaro apie pusę viso Suomijos eksporto.</w:t>
            </w:r>
          </w:p>
        </w:tc>
        <w:tc>
          <w:tcPr>
            <w:tcW w:w="2127" w:type="dxa"/>
            <w:tcMar>
              <w:top w:w="29" w:type="dxa"/>
              <w:left w:w="115" w:type="dxa"/>
              <w:bottom w:w="29" w:type="dxa"/>
              <w:right w:w="115" w:type="dxa"/>
            </w:tcMar>
          </w:tcPr>
          <w:p w14:paraId="50669A88" w14:textId="03B591A3" w:rsidR="009D4F2C" w:rsidRPr="00A73A93" w:rsidRDefault="007F5742" w:rsidP="00CD0EC9">
            <w:pPr>
              <w:spacing w:after="0" w:line="240" w:lineRule="auto"/>
              <w:jc w:val="both"/>
              <w:rPr>
                <w:rFonts w:ascii="Times New Roman" w:hAnsi="Times New Roman"/>
                <w:sz w:val="24"/>
                <w:szCs w:val="24"/>
              </w:rPr>
            </w:pPr>
            <w:hyperlink r:id="rId22" w:history="1">
              <w:r w:rsidRPr="00A73A93">
                <w:rPr>
                  <w:rStyle w:val="Hyperlink"/>
                  <w:rFonts w:ascii="Times New Roman" w:hAnsi="Times New Roman"/>
                  <w:color w:val="auto"/>
                  <w:sz w:val="24"/>
                  <w:szCs w:val="24"/>
                </w:rPr>
                <w:t>https://yle.fi/a/74-20224445</w:t>
              </w:r>
            </w:hyperlink>
            <w:r w:rsidRPr="00A73A93">
              <w:rPr>
                <w:rFonts w:ascii="Times New Roman" w:hAnsi="Times New Roman"/>
                <w:sz w:val="24"/>
                <w:szCs w:val="24"/>
              </w:rPr>
              <w:t xml:space="preserve"> </w:t>
            </w:r>
          </w:p>
        </w:tc>
      </w:tr>
      <w:tr w:rsidR="009D4F2C" w:rsidRPr="00A73A93" w14:paraId="7EA206A9" w14:textId="77777777" w:rsidTr="00334608">
        <w:trPr>
          <w:trHeight w:val="216"/>
        </w:trPr>
        <w:tc>
          <w:tcPr>
            <w:tcW w:w="1043" w:type="dxa"/>
            <w:gridSpan w:val="2"/>
            <w:tcMar>
              <w:top w:w="29" w:type="dxa"/>
              <w:left w:w="115" w:type="dxa"/>
              <w:bottom w:w="29" w:type="dxa"/>
              <w:right w:w="115" w:type="dxa"/>
            </w:tcMar>
          </w:tcPr>
          <w:p w14:paraId="6F298B82" w14:textId="64A2D0E5" w:rsidR="009D4F2C" w:rsidRPr="00A73A93" w:rsidRDefault="009D4F2C" w:rsidP="00CD0EC9">
            <w:pPr>
              <w:spacing w:after="0" w:line="240" w:lineRule="auto"/>
              <w:jc w:val="both"/>
              <w:rPr>
                <w:rFonts w:ascii="Times New Roman" w:hAnsi="Times New Roman"/>
                <w:sz w:val="24"/>
                <w:szCs w:val="24"/>
              </w:rPr>
            </w:pPr>
            <w:r w:rsidRPr="00A73A93">
              <w:rPr>
                <w:rFonts w:ascii="Times New Roman" w:hAnsi="Times New Roman"/>
                <w:sz w:val="24"/>
                <w:szCs w:val="24"/>
              </w:rPr>
              <w:t>2026-0</w:t>
            </w:r>
            <w:r w:rsidR="00672714" w:rsidRPr="00A73A93">
              <w:rPr>
                <w:rFonts w:ascii="Times New Roman" w:hAnsi="Times New Roman"/>
                <w:sz w:val="24"/>
                <w:szCs w:val="24"/>
              </w:rPr>
              <w:t>5</w:t>
            </w:r>
            <w:r w:rsidRPr="00A73A93">
              <w:rPr>
                <w:rFonts w:ascii="Times New Roman" w:hAnsi="Times New Roman"/>
                <w:sz w:val="24"/>
                <w:szCs w:val="24"/>
              </w:rPr>
              <w:t>-</w:t>
            </w:r>
            <w:r w:rsidR="00672714" w:rsidRPr="00A73A93">
              <w:rPr>
                <w:rFonts w:ascii="Times New Roman" w:hAnsi="Times New Roman"/>
                <w:sz w:val="24"/>
                <w:szCs w:val="24"/>
              </w:rPr>
              <w:t>07</w:t>
            </w:r>
          </w:p>
        </w:tc>
        <w:tc>
          <w:tcPr>
            <w:tcW w:w="5755" w:type="dxa"/>
            <w:tcMar>
              <w:top w:w="29" w:type="dxa"/>
              <w:left w:w="115" w:type="dxa"/>
              <w:bottom w:w="29" w:type="dxa"/>
              <w:right w:w="115" w:type="dxa"/>
            </w:tcMar>
          </w:tcPr>
          <w:p w14:paraId="27D9E78C" w14:textId="0C97FA91" w:rsidR="009D4F2C" w:rsidRPr="00A73A93" w:rsidRDefault="00011FD0" w:rsidP="00CD0EC9">
            <w:pPr>
              <w:spacing w:after="0" w:line="240" w:lineRule="auto"/>
              <w:jc w:val="both"/>
              <w:rPr>
                <w:rFonts w:ascii="Times New Roman" w:eastAsiaTheme="minorHAnsi" w:hAnsi="Times New Roman"/>
                <w:b/>
                <w:bCs/>
                <w:kern w:val="2"/>
                <w:sz w:val="24"/>
                <w:szCs w:val="24"/>
                <w14:ligatures w14:val="standardContextual"/>
              </w:rPr>
            </w:pPr>
            <w:r w:rsidRPr="00A73A93">
              <w:rPr>
                <w:rFonts w:ascii="Times New Roman" w:eastAsiaTheme="minorHAnsi" w:hAnsi="Times New Roman"/>
                <w:b/>
                <w:bCs/>
                <w:kern w:val="2"/>
                <w:sz w:val="24"/>
                <w:szCs w:val="24"/>
                <w14:ligatures w14:val="standardContextual"/>
              </w:rPr>
              <w:t xml:space="preserve">Europos Komisija 2025 m. vandenilio aukcione atsirinko devynis pavyzdinius projektus, iš kurių didžiausią paramą Suomijos istorijoje iš ES inovacijų fondo – apie 224 mln. eurų – gavo bendrovės „Vetyalfa Oy“ </w:t>
            </w:r>
            <w:r w:rsidR="009249E9" w:rsidRPr="00A73A93">
              <w:rPr>
                <w:rFonts w:ascii="Times New Roman" w:eastAsiaTheme="minorHAnsi" w:hAnsi="Times New Roman"/>
                <w:b/>
                <w:bCs/>
                <w:kern w:val="2"/>
                <w:sz w:val="24"/>
                <w:szCs w:val="24"/>
                <w14:ligatures w14:val="standardContextual"/>
              </w:rPr>
              <w:t xml:space="preserve">įmonės </w:t>
            </w:r>
            <w:r w:rsidRPr="00A73A93">
              <w:rPr>
                <w:rFonts w:ascii="Times New Roman" w:eastAsiaTheme="minorHAnsi" w:hAnsi="Times New Roman"/>
                <w:b/>
                <w:bCs/>
                <w:kern w:val="2"/>
                <w:sz w:val="24"/>
                <w:szCs w:val="24"/>
                <w14:ligatures w14:val="standardContextual"/>
              </w:rPr>
              <w:t xml:space="preserve">iniciatyva „Cloudberry“. </w:t>
            </w:r>
            <w:r w:rsidRPr="00A73A93">
              <w:rPr>
                <w:rFonts w:ascii="Times New Roman" w:eastAsiaTheme="minorHAnsi" w:hAnsi="Times New Roman"/>
                <w:kern w:val="2"/>
                <w:sz w:val="24"/>
                <w:szCs w:val="24"/>
                <w14:ligatures w14:val="standardContextual"/>
              </w:rPr>
              <w:t>Mažiausią kainą aukcione pasiūliusi „Vetyalfa Oy“ planuoja per metus pagaminti beveik 509 kilotonas vandenilio</w:t>
            </w:r>
            <w:r w:rsidR="00E74C69" w:rsidRPr="00A73A93">
              <w:rPr>
                <w:rFonts w:ascii="Times New Roman" w:eastAsiaTheme="minorHAnsi" w:hAnsi="Times New Roman"/>
                <w:kern w:val="2"/>
                <w:sz w:val="24"/>
                <w:szCs w:val="24"/>
                <w14:ligatures w14:val="standardContextual"/>
              </w:rPr>
              <w:t>.</w:t>
            </w:r>
            <w:r w:rsidRPr="00A73A93">
              <w:rPr>
                <w:rFonts w:ascii="Times New Roman" w:eastAsiaTheme="minorHAnsi" w:hAnsi="Times New Roman"/>
                <w:kern w:val="2"/>
                <w:sz w:val="24"/>
                <w:szCs w:val="24"/>
                <w14:ligatures w14:val="standardContextual"/>
              </w:rPr>
              <w:t xml:space="preserve"> Sutartis </w:t>
            </w:r>
            <w:r w:rsidR="00E74C69" w:rsidRPr="00A73A93">
              <w:rPr>
                <w:rFonts w:ascii="Times New Roman" w:eastAsiaTheme="minorHAnsi" w:hAnsi="Times New Roman"/>
                <w:kern w:val="2"/>
                <w:sz w:val="24"/>
                <w:szCs w:val="24"/>
                <w14:ligatures w14:val="standardContextual"/>
              </w:rPr>
              <w:t xml:space="preserve"> t</w:t>
            </w:r>
            <w:r w:rsidRPr="00A73A93">
              <w:rPr>
                <w:rFonts w:ascii="Times New Roman" w:eastAsiaTheme="minorHAnsi" w:hAnsi="Times New Roman"/>
                <w:kern w:val="2"/>
                <w:sz w:val="24"/>
                <w:szCs w:val="24"/>
                <w14:ligatures w14:val="standardContextual"/>
              </w:rPr>
              <w:t>ikimasi pasirašyti paskutinį 2026 m. ketvirtį, po to įmonės turės 2,5 metų investiciniams sprendimams priimti ir 5 metus veiklai pradėti.</w:t>
            </w:r>
          </w:p>
        </w:tc>
        <w:tc>
          <w:tcPr>
            <w:tcW w:w="2127" w:type="dxa"/>
            <w:tcMar>
              <w:top w:w="29" w:type="dxa"/>
              <w:left w:w="115" w:type="dxa"/>
              <w:bottom w:w="29" w:type="dxa"/>
              <w:right w:w="115" w:type="dxa"/>
            </w:tcMar>
          </w:tcPr>
          <w:p w14:paraId="6D94C04C" w14:textId="155BC476" w:rsidR="009D4F2C" w:rsidRPr="00A73A93" w:rsidRDefault="00C05966" w:rsidP="00CD0EC9">
            <w:pPr>
              <w:spacing w:after="0" w:line="240" w:lineRule="auto"/>
              <w:jc w:val="both"/>
              <w:rPr>
                <w:rFonts w:ascii="Times New Roman" w:hAnsi="Times New Roman"/>
                <w:sz w:val="24"/>
                <w:szCs w:val="24"/>
              </w:rPr>
            </w:pPr>
            <w:hyperlink r:id="rId23" w:history="1">
              <w:r w:rsidRPr="00A73A93">
                <w:rPr>
                  <w:rStyle w:val="Hyperlink"/>
                  <w:rFonts w:ascii="Times New Roman" w:hAnsi="Times New Roman"/>
                  <w:color w:val="auto"/>
                  <w:sz w:val="24"/>
                  <w:szCs w:val="24"/>
                </w:rPr>
                <w:t>https://www.iltalehti.fi/talous/a/6d96a513-fd8f-4e68-aeff-cc7d4a840dce</w:t>
              </w:r>
            </w:hyperlink>
            <w:r w:rsidRPr="00A73A93">
              <w:rPr>
                <w:rFonts w:ascii="Times New Roman" w:hAnsi="Times New Roman"/>
                <w:sz w:val="24"/>
                <w:szCs w:val="24"/>
              </w:rPr>
              <w:t xml:space="preserve"> </w:t>
            </w:r>
          </w:p>
        </w:tc>
      </w:tr>
      <w:tr w:rsidR="009D4F2C" w:rsidRPr="00A73A93" w14:paraId="48E45537" w14:textId="77777777" w:rsidTr="00334608">
        <w:trPr>
          <w:trHeight w:val="216"/>
        </w:trPr>
        <w:tc>
          <w:tcPr>
            <w:tcW w:w="1043" w:type="dxa"/>
            <w:gridSpan w:val="2"/>
            <w:tcMar>
              <w:top w:w="29" w:type="dxa"/>
              <w:left w:w="115" w:type="dxa"/>
              <w:bottom w:w="29" w:type="dxa"/>
              <w:right w:w="115" w:type="dxa"/>
            </w:tcMar>
          </w:tcPr>
          <w:p w14:paraId="6B498F48" w14:textId="12828D7C" w:rsidR="009D4F2C" w:rsidRPr="00A73A93" w:rsidRDefault="009D4F2C" w:rsidP="00CD0EC9">
            <w:pPr>
              <w:spacing w:after="0" w:line="240" w:lineRule="auto"/>
              <w:jc w:val="both"/>
              <w:rPr>
                <w:rFonts w:ascii="Times New Roman" w:hAnsi="Times New Roman"/>
                <w:sz w:val="24"/>
                <w:szCs w:val="24"/>
              </w:rPr>
            </w:pPr>
            <w:r w:rsidRPr="00A73A93">
              <w:rPr>
                <w:rFonts w:ascii="Times New Roman" w:hAnsi="Times New Roman"/>
                <w:sz w:val="24"/>
                <w:szCs w:val="24"/>
              </w:rPr>
              <w:t>2026-0</w:t>
            </w:r>
            <w:r w:rsidR="00E013DB" w:rsidRPr="00A73A93">
              <w:rPr>
                <w:rFonts w:ascii="Times New Roman" w:hAnsi="Times New Roman"/>
                <w:sz w:val="24"/>
                <w:szCs w:val="24"/>
              </w:rPr>
              <w:t>5</w:t>
            </w:r>
            <w:r w:rsidRPr="00A73A93">
              <w:rPr>
                <w:rFonts w:ascii="Times New Roman" w:hAnsi="Times New Roman"/>
                <w:sz w:val="24"/>
                <w:szCs w:val="24"/>
              </w:rPr>
              <w:t>-</w:t>
            </w:r>
            <w:r w:rsidR="00E013DB" w:rsidRPr="00A73A93">
              <w:rPr>
                <w:rFonts w:ascii="Times New Roman" w:hAnsi="Times New Roman"/>
                <w:sz w:val="24"/>
                <w:szCs w:val="24"/>
              </w:rPr>
              <w:t>10</w:t>
            </w:r>
          </w:p>
        </w:tc>
        <w:tc>
          <w:tcPr>
            <w:tcW w:w="5755" w:type="dxa"/>
            <w:tcMar>
              <w:top w:w="29" w:type="dxa"/>
              <w:left w:w="115" w:type="dxa"/>
              <w:bottom w:w="29" w:type="dxa"/>
              <w:right w:w="115" w:type="dxa"/>
            </w:tcMar>
          </w:tcPr>
          <w:p w14:paraId="000A9CFE" w14:textId="2025E314" w:rsidR="009D4F2C" w:rsidRPr="00A73A93" w:rsidRDefault="00A076F7" w:rsidP="00CD0EC9">
            <w:pPr>
              <w:spacing w:after="0" w:line="240" w:lineRule="auto"/>
              <w:jc w:val="both"/>
              <w:rPr>
                <w:rFonts w:ascii="Times New Roman" w:hAnsi="Times New Roman"/>
                <w:sz w:val="24"/>
                <w:szCs w:val="24"/>
              </w:rPr>
            </w:pPr>
            <w:r w:rsidRPr="00A73A93">
              <w:rPr>
                <w:rFonts w:ascii="Times New Roman" w:hAnsi="Times New Roman"/>
                <w:b/>
                <w:bCs/>
                <w:sz w:val="24"/>
                <w:szCs w:val="24"/>
              </w:rPr>
              <w:t xml:space="preserve">2026 m. gegužę Suomijos statistikos departamento sprendimas būsto statybos lengvatines paskolas priskirti prie valstybės skolos sukėlė rimtų problemų šalies fiskalinei politikai ir būsto rinkos strategijai. </w:t>
            </w:r>
            <w:r w:rsidRPr="00A73A93">
              <w:rPr>
                <w:rFonts w:ascii="Times New Roman" w:hAnsi="Times New Roman"/>
                <w:sz w:val="24"/>
                <w:szCs w:val="24"/>
              </w:rPr>
              <w:t xml:space="preserve">Šis žingsnis valstybės skolą akimirksniu padidino apie 15 mlrd. eurų (bendra tokių paskolų vertė siekia 20 mlrd. eurų) ir apribojo vyriausybės galimybes naudoti šį įrankį ekonomikai skatinti būsto rinkos stagnacijos metu. Ekspertai ir politikai sprendimą kritikuoja kaip nelogišką, nes paskolos grąžinamos iš privačių nuomos pajamų, o ne iš mokesčių mokėtojų pinigų, ir yra užtikrintos vertingu nekilnojamuoju turtu. Nors Statistikos departamentas teigia, kad taip tiesiog laikomasi „Eurostat“ standartų dėl didelės valstybės kontrolės socialinio būsto sektoriuje, šis sprendimas apribojo valdžios galimybes investuoti į </w:t>
            </w:r>
            <w:r w:rsidRPr="00A73A93">
              <w:rPr>
                <w:rFonts w:ascii="Times New Roman" w:hAnsi="Times New Roman"/>
                <w:sz w:val="24"/>
                <w:szCs w:val="24"/>
              </w:rPr>
              <w:lastRenderedPageBreak/>
              <w:t>prieinamą būstą mažas pajamas turinčioms bei pažeidžiamoms grupėms.</w:t>
            </w:r>
          </w:p>
        </w:tc>
        <w:tc>
          <w:tcPr>
            <w:tcW w:w="2127" w:type="dxa"/>
            <w:tcMar>
              <w:top w:w="29" w:type="dxa"/>
              <w:left w:w="115" w:type="dxa"/>
              <w:bottom w:w="29" w:type="dxa"/>
              <w:right w:w="115" w:type="dxa"/>
            </w:tcMar>
          </w:tcPr>
          <w:p w14:paraId="32357C0A" w14:textId="36311C4D" w:rsidR="009D4F2C" w:rsidRPr="00A73A93" w:rsidRDefault="00E013DB" w:rsidP="00CD0EC9">
            <w:pPr>
              <w:spacing w:after="0" w:line="240" w:lineRule="auto"/>
              <w:jc w:val="both"/>
              <w:rPr>
                <w:rFonts w:ascii="Times New Roman" w:hAnsi="Times New Roman"/>
                <w:sz w:val="24"/>
                <w:szCs w:val="24"/>
              </w:rPr>
            </w:pPr>
            <w:r w:rsidRPr="00A73A93">
              <w:rPr>
                <w:rFonts w:ascii="Times New Roman" w:hAnsi="Times New Roman"/>
                <w:sz w:val="24"/>
                <w:szCs w:val="24"/>
              </w:rPr>
              <w:lastRenderedPageBreak/>
              <w:t>https://yle.fi/a/74-20224539</w:t>
            </w:r>
          </w:p>
        </w:tc>
      </w:tr>
      <w:tr w:rsidR="009D4F2C" w:rsidRPr="00A73A93" w14:paraId="6E5D6DAA" w14:textId="77777777" w:rsidTr="00334608">
        <w:trPr>
          <w:trHeight w:val="216"/>
        </w:trPr>
        <w:tc>
          <w:tcPr>
            <w:tcW w:w="1043" w:type="dxa"/>
            <w:gridSpan w:val="2"/>
            <w:tcMar>
              <w:top w:w="29" w:type="dxa"/>
              <w:left w:w="115" w:type="dxa"/>
              <w:bottom w:w="29" w:type="dxa"/>
              <w:right w:w="115" w:type="dxa"/>
            </w:tcMar>
          </w:tcPr>
          <w:p w14:paraId="246B10C0" w14:textId="02E17785" w:rsidR="009D4F2C" w:rsidRPr="00A73A93" w:rsidRDefault="009D4F2C" w:rsidP="00CD0EC9">
            <w:pPr>
              <w:spacing w:after="0" w:line="240" w:lineRule="auto"/>
              <w:jc w:val="both"/>
              <w:rPr>
                <w:rFonts w:ascii="Times New Roman" w:hAnsi="Times New Roman"/>
                <w:sz w:val="24"/>
                <w:szCs w:val="24"/>
              </w:rPr>
            </w:pPr>
            <w:r w:rsidRPr="00A73A93">
              <w:rPr>
                <w:rFonts w:ascii="Times New Roman" w:hAnsi="Times New Roman"/>
                <w:sz w:val="24"/>
                <w:szCs w:val="24"/>
              </w:rPr>
              <w:t>2026-0</w:t>
            </w:r>
            <w:r w:rsidR="004E359B" w:rsidRPr="00A73A93">
              <w:rPr>
                <w:rFonts w:ascii="Times New Roman" w:hAnsi="Times New Roman"/>
                <w:sz w:val="24"/>
                <w:szCs w:val="24"/>
              </w:rPr>
              <w:t>5</w:t>
            </w:r>
            <w:r w:rsidRPr="00A73A93">
              <w:rPr>
                <w:rFonts w:ascii="Times New Roman" w:hAnsi="Times New Roman"/>
                <w:sz w:val="24"/>
                <w:szCs w:val="24"/>
              </w:rPr>
              <w:t>-</w:t>
            </w:r>
            <w:r w:rsidR="004E359B" w:rsidRPr="00A73A93">
              <w:rPr>
                <w:rFonts w:ascii="Times New Roman" w:hAnsi="Times New Roman"/>
                <w:sz w:val="24"/>
                <w:szCs w:val="24"/>
              </w:rPr>
              <w:t>14</w:t>
            </w:r>
          </w:p>
        </w:tc>
        <w:tc>
          <w:tcPr>
            <w:tcW w:w="5755" w:type="dxa"/>
            <w:tcMar>
              <w:top w:w="29" w:type="dxa"/>
              <w:left w:w="115" w:type="dxa"/>
              <w:bottom w:w="29" w:type="dxa"/>
              <w:right w:w="115" w:type="dxa"/>
            </w:tcMar>
          </w:tcPr>
          <w:p w14:paraId="3A6E5404" w14:textId="2A1994E6" w:rsidR="009D4F2C" w:rsidRPr="00A73A93" w:rsidRDefault="008F7CD4" w:rsidP="00CD0EC9">
            <w:pPr>
              <w:spacing w:after="0" w:line="240" w:lineRule="auto"/>
              <w:jc w:val="both"/>
              <w:rPr>
                <w:rFonts w:ascii="Times New Roman" w:hAnsi="Times New Roman"/>
                <w:sz w:val="24"/>
                <w:szCs w:val="24"/>
              </w:rPr>
            </w:pPr>
            <w:r w:rsidRPr="00A73A93">
              <w:rPr>
                <w:rFonts w:ascii="Times New Roman" w:hAnsi="Times New Roman"/>
                <w:b/>
                <w:bCs/>
                <w:sz w:val="24"/>
                <w:szCs w:val="24"/>
              </w:rPr>
              <w:t xml:space="preserve">Dėl finansinės rizikos valstybės skolos valdymo strategijoje Suomijos vyriausybė 2023–2025 m. patyrė apie 1,4 mlrd. eurų papildomų išlaidų skolai aptarnauti. </w:t>
            </w:r>
            <w:r w:rsidRPr="00A73A93">
              <w:rPr>
                <w:rFonts w:ascii="Times New Roman" w:hAnsi="Times New Roman"/>
                <w:sz w:val="24"/>
                <w:szCs w:val="24"/>
              </w:rPr>
              <w:t xml:space="preserve">Išvestinės finansinės priemonės (palūkanų normų apsikeitimo sandoriai) ilgą laiką padėjo valstybei valdyti išlaidas, tačiau vėlesnis palūkanų normų šuolis virto didele finansine našta mokesčių mokėtojams. 2026–2030 m. laikotarpiu tikėtini tolesni nuostoliai, o jei palūkanos augs ir toliau, papildomi kaštai gali siekti milijardus eurų. </w:t>
            </w:r>
            <w:r w:rsidR="005C155E" w:rsidRPr="00A73A93">
              <w:rPr>
                <w:rFonts w:ascii="Times New Roman" w:hAnsi="Times New Roman"/>
                <w:sz w:val="24"/>
                <w:szCs w:val="24"/>
              </w:rPr>
              <w:t>Pavėluota skolos valdymo strategijos reforma šaliai brangiai kainavo, nes dėl turimų išvestinių finansinių priemonių vyriausybė liko pažeidžiama palūkanų normų augimui, o kilę dideli fiskaliniai nuostoliai galiausiai guls ant mokesčių mokėtojų pečių.</w:t>
            </w:r>
          </w:p>
        </w:tc>
        <w:tc>
          <w:tcPr>
            <w:tcW w:w="2127" w:type="dxa"/>
            <w:tcMar>
              <w:top w:w="29" w:type="dxa"/>
              <w:left w:w="115" w:type="dxa"/>
              <w:bottom w:w="29" w:type="dxa"/>
              <w:right w:w="115" w:type="dxa"/>
            </w:tcMar>
          </w:tcPr>
          <w:p w14:paraId="3599F51F" w14:textId="4E17B40F" w:rsidR="009D4F2C" w:rsidRPr="00A73A93" w:rsidRDefault="004E359B" w:rsidP="00CD0EC9">
            <w:pPr>
              <w:spacing w:after="0" w:line="240" w:lineRule="auto"/>
              <w:jc w:val="both"/>
              <w:rPr>
                <w:rFonts w:ascii="Times New Roman" w:hAnsi="Times New Roman"/>
                <w:sz w:val="24"/>
                <w:szCs w:val="24"/>
              </w:rPr>
            </w:pPr>
            <w:hyperlink r:id="rId24" w:history="1">
              <w:r w:rsidRPr="00A73A93">
                <w:rPr>
                  <w:rStyle w:val="Hyperlink"/>
                  <w:rFonts w:ascii="Times New Roman" w:hAnsi="Times New Roman"/>
                  <w:color w:val="auto"/>
                  <w:sz w:val="24"/>
                  <w:szCs w:val="24"/>
                </w:rPr>
                <w:t>https://www.hs.fi/visio/art-2000011913757.html</w:t>
              </w:r>
            </w:hyperlink>
            <w:r w:rsidRPr="00A73A93">
              <w:rPr>
                <w:rFonts w:ascii="Times New Roman" w:hAnsi="Times New Roman"/>
                <w:sz w:val="24"/>
                <w:szCs w:val="24"/>
              </w:rPr>
              <w:t xml:space="preserve"> </w:t>
            </w:r>
          </w:p>
        </w:tc>
      </w:tr>
      <w:tr w:rsidR="009D4F2C" w:rsidRPr="00A73A93" w14:paraId="00041D9C" w14:textId="77777777" w:rsidTr="00334608">
        <w:trPr>
          <w:trHeight w:val="216"/>
        </w:trPr>
        <w:tc>
          <w:tcPr>
            <w:tcW w:w="1043" w:type="dxa"/>
            <w:gridSpan w:val="2"/>
            <w:tcMar>
              <w:top w:w="29" w:type="dxa"/>
              <w:left w:w="115" w:type="dxa"/>
              <w:bottom w:w="29" w:type="dxa"/>
              <w:right w:w="115" w:type="dxa"/>
            </w:tcMar>
          </w:tcPr>
          <w:p w14:paraId="4730585B" w14:textId="2300C002" w:rsidR="009D4F2C" w:rsidRPr="00A73A93" w:rsidRDefault="009D4F2C" w:rsidP="00CD0EC9">
            <w:pPr>
              <w:spacing w:after="0" w:line="240" w:lineRule="auto"/>
              <w:jc w:val="both"/>
              <w:rPr>
                <w:rFonts w:ascii="Times New Roman" w:hAnsi="Times New Roman"/>
                <w:sz w:val="24"/>
                <w:szCs w:val="24"/>
              </w:rPr>
            </w:pPr>
            <w:r w:rsidRPr="00A73A93">
              <w:rPr>
                <w:rFonts w:ascii="Times New Roman" w:hAnsi="Times New Roman"/>
                <w:sz w:val="24"/>
                <w:szCs w:val="24"/>
              </w:rPr>
              <w:t>2026-0</w:t>
            </w:r>
            <w:r w:rsidR="00097E93" w:rsidRPr="00A73A93">
              <w:rPr>
                <w:rFonts w:ascii="Times New Roman" w:hAnsi="Times New Roman"/>
                <w:sz w:val="24"/>
                <w:szCs w:val="24"/>
              </w:rPr>
              <w:t>5</w:t>
            </w:r>
            <w:r w:rsidRPr="00A73A93">
              <w:rPr>
                <w:rFonts w:ascii="Times New Roman" w:hAnsi="Times New Roman"/>
                <w:sz w:val="24"/>
                <w:szCs w:val="24"/>
              </w:rPr>
              <w:t>-</w:t>
            </w:r>
            <w:r w:rsidR="00097E93" w:rsidRPr="00A73A93">
              <w:rPr>
                <w:rFonts w:ascii="Times New Roman" w:hAnsi="Times New Roman"/>
                <w:sz w:val="24"/>
                <w:szCs w:val="24"/>
              </w:rPr>
              <w:t>12</w:t>
            </w:r>
          </w:p>
        </w:tc>
        <w:tc>
          <w:tcPr>
            <w:tcW w:w="5755" w:type="dxa"/>
            <w:tcMar>
              <w:top w:w="29" w:type="dxa"/>
              <w:left w:w="115" w:type="dxa"/>
              <w:bottom w:w="29" w:type="dxa"/>
              <w:right w:w="115" w:type="dxa"/>
            </w:tcMar>
          </w:tcPr>
          <w:p w14:paraId="086A9B39" w14:textId="77777777" w:rsidR="009D4F2C" w:rsidRPr="00A73A93" w:rsidRDefault="00EC28E4" w:rsidP="00CD0EC9">
            <w:pPr>
              <w:spacing w:after="0" w:line="240" w:lineRule="auto"/>
              <w:jc w:val="both"/>
              <w:rPr>
                <w:rFonts w:ascii="Times New Roman" w:hAnsi="Times New Roman"/>
                <w:sz w:val="24"/>
                <w:szCs w:val="24"/>
              </w:rPr>
            </w:pPr>
            <w:r w:rsidRPr="00A73A93">
              <w:rPr>
                <w:rFonts w:ascii="Times New Roman" w:hAnsi="Times New Roman"/>
                <w:b/>
                <w:bCs/>
                <w:sz w:val="24"/>
                <w:szCs w:val="24"/>
              </w:rPr>
              <w:t>Bankas „Nordea“ Suomijos ekonomikoje pagaliau įžvelgia aiškius atsigavimo ženklus: pramonės gamyba kovą pasiekė aukščiausią lygį nuo 2008 metų, o mažmeninė prekyba auga pirmą kartą per ketverius metus.</w:t>
            </w:r>
            <w:r w:rsidRPr="00A73A93">
              <w:rPr>
                <w:rFonts w:ascii="Times New Roman" w:hAnsi="Times New Roman"/>
                <w:sz w:val="24"/>
                <w:szCs w:val="24"/>
              </w:rPr>
              <w:t xml:space="preserve"> Vartotojai vėl daugiau išleidžia kultūrai bei laisvalaikiui, o pramonės ir statybų sektorių lūkesčius stiprina augantys užsakymai (pavyzdžiui, Turku laivų statykloje) bei numatomi infrastruktūros, duomenų centrų ir renovacijos projektai. Nepaisant to, „Nordea“ išlaikė nepakeistą 1 % bendrojo vidaus produkto augimo prognozę 2026 metams. Tokį atsargumą lemia geopolitinis neapibrėžtumas dėl konflikto su Iranu ir situacijos </w:t>
            </w:r>
            <w:r w:rsidR="005860E5" w:rsidRPr="00A73A93">
              <w:rPr>
                <w:rFonts w:ascii="Times New Roman" w:hAnsi="Times New Roman"/>
                <w:sz w:val="24"/>
                <w:szCs w:val="24"/>
              </w:rPr>
              <w:t>Ho</w:t>
            </w:r>
            <w:r w:rsidRPr="00A73A93">
              <w:rPr>
                <w:rFonts w:ascii="Times New Roman" w:hAnsi="Times New Roman"/>
                <w:sz w:val="24"/>
                <w:szCs w:val="24"/>
              </w:rPr>
              <w:t>rm</w:t>
            </w:r>
            <w:r w:rsidR="005860E5" w:rsidRPr="00A73A93">
              <w:rPr>
                <w:rFonts w:ascii="Times New Roman" w:hAnsi="Times New Roman"/>
                <w:sz w:val="24"/>
                <w:szCs w:val="24"/>
              </w:rPr>
              <w:t>ū</w:t>
            </w:r>
            <w:r w:rsidRPr="00A73A93">
              <w:rPr>
                <w:rFonts w:ascii="Times New Roman" w:hAnsi="Times New Roman"/>
                <w:sz w:val="24"/>
                <w:szCs w:val="24"/>
              </w:rPr>
              <w:t>zo sąsiauryje – įspėjama, kad užsitęsęs nestabilumas gali vėl padidinti infliaciją bei palūkanų normas ir susilpninti trapų ekonomikos atsigavimą.</w:t>
            </w:r>
          </w:p>
          <w:p w14:paraId="0F94E511" w14:textId="77777777" w:rsidR="00562986" w:rsidRPr="00A73A93" w:rsidRDefault="00562986" w:rsidP="00CD0EC9">
            <w:pPr>
              <w:spacing w:after="0" w:line="240" w:lineRule="auto"/>
              <w:jc w:val="both"/>
              <w:rPr>
                <w:rFonts w:ascii="Times New Roman" w:hAnsi="Times New Roman"/>
                <w:sz w:val="24"/>
                <w:szCs w:val="24"/>
              </w:rPr>
            </w:pPr>
          </w:p>
          <w:p w14:paraId="24BA7FC4" w14:textId="30CFFFEE" w:rsidR="00562986" w:rsidRPr="00A73A93" w:rsidRDefault="00562986" w:rsidP="00CD0EC9">
            <w:pPr>
              <w:spacing w:after="0" w:line="240" w:lineRule="auto"/>
              <w:jc w:val="both"/>
              <w:rPr>
                <w:rFonts w:ascii="Times New Roman" w:hAnsi="Times New Roman"/>
                <w:sz w:val="24"/>
                <w:szCs w:val="24"/>
              </w:rPr>
            </w:pPr>
            <w:r w:rsidRPr="00A73A93">
              <w:rPr>
                <w:rFonts w:ascii="Times New Roman" w:hAnsi="Times New Roman"/>
                <w:b/>
                <w:bCs/>
                <w:sz w:val="24"/>
                <w:szCs w:val="24"/>
              </w:rPr>
              <w:t xml:space="preserve">Remiantis EBPO duomenimis, Suomijos BVP augimas pirmąjį 2026 m. ketvirtį pasiekė 0,9 % ir buvo antras stipriausias tarp organizacijos šalių, nusileidęs tik Pietų Korėjai (1,7 %) bei pastebimai viršijęs EBPO vidurkį (0,4 %). </w:t>
            </w:r>
            <w:r w:rsidRPr="00A73A93">
              <w:rPr>
                <w:rFonts w:ascii="Times New Roman" w:hAnsi="Times New Roman"/>
                <w:sz w:val="24"/>
                <w:szCs w:val="24"/>
              </w:rPr>
              <w:t xml:space="preserve">Visgi šį ekonominį pasiekimą temdo sunki nedarbo krizė: kovą Suomijoje užfiksuotas didžiausias nedarbo lygis tarp visų EBPO narių, pasiekęs 10,5 % ir aplenkęs Ispaniją (10,3 %), kai tuo tarpu bendras </w:t>
            </w:r>
            <w:r w:rsidR="007833FD" w:rsidRPr="00A73A93">
              <w:rPr>
                <w:rFonts w:ascii="Times New Roman" w:hAnsi="Times New Roman"/>
                <w:sz w:val="24"/>
                <w:szCs w:val="24"/>
              </w:rPr>
              <w:t>EBPO</w:t>
            </w:r>
            <w:r w:rsidRPr="00A73A93">
              <w:rPr>
                <w:rFonts w:ascii="Times New Roman" w:hAnsi="Times New Roman"/>
                <w:sz w:val="24"/>
                <w:szCs w:val="24"/>
              </w:rPr>
              <w:t xml:space="preserve"> šalių nedarbo vidurkis tėra 5 %.</w:t>
            </w:r>
          </w:p>
        </w:tc>
        <w:tc>
          <w:tcPr>
            <w:tcW w:w="2127" w:type="dxa"/>
            <w:tcMar>
              <w:top w:w="29" w:type="dxa"/>
              <w:left w:w="115" w:type="dxa"/>
              <w:bottom w:w="29" w:type="dxa"/>
              <w:right w:w="115" w:type="dxa"/>
            </w:tcMar>
          </w:tcPr>
          <w:p w14:paraId="671A6F67" w14:textId="77777777" w:rsidR="009D4F2C" w:rsidRPr="00A73A93" w:rsidRDefault="00097E93" w:rsidP="00CD0EC9">
            <w:pPr>
              <w:spacing w:after="0" w:line="240" w:lineRule="auto"/>
              <w:jc w:val="both"/>
              <w:rPr>
                <w:rFonts w:ascii="Times New Roman" w:hAnsi="Times New Roman"/>
                <w:sz w:val="24"/>
                <w:szCs w:val="24"/>
              </w:rPr>
            </w:pPr>
            <w:hyperlink r:id="rId25" w:history="1">
              <w:r w:rsidRPr="00A73A93">
                <w:rPr>
                  <w:rStyle w:val="Hyperlink"/>
                  <w:rFonts w:ascii="Times New Roman" w:hAnsi="Times New Roman"/>
                  <w:color w:val="auto"/>
                  <w:sz w:val="24"/>
                  <w:szCs w:val="24"/>
                </w:rPr>
                <w:t>https://www.hs.fi/visio/art-2000011998973.html</w:t>
              </w:r>
            </w:hyperlink>
            <w:r w:rsidRPr="00A73A93">
              <w:rPr>
                <w:rFonts w:ascii="Times New Roman" w:hAnsi="Times New Roman"/>
                <w:sz w:val="24"/>
                <w:szCs w:val="24"/>
              </w:rPr>
              <w:t xml:space="preserve"> </w:t>
            </w:r>
          </w:p>
          <w:p w14:paraId="7431703E" w14:textId="77777777" w:rsidR="008B76D7" w:rsidRPr="00A73A93" w:rsidRDefault="008B76D7" w:rsidP="00CD0EC9">
            <w:pPr>
              <w:spacing w:after="0" w:line="240" w:lineRule="auto"/>
              <w:jc w:val="both"/>
              <w:rPr>
                <w:rFonts w:ascii="Times New Roman" w:hAnsi="Times New Roman"/>
                <w:sz w:val="24"/>
                <w:szCs w:val="24"/>
              </w:rPr>
            </w:pPr>
          </w:p>
          <w:p w14:paraId="21C43A7A" w14:textId="4BC79F93" w:rsidR="008B76D7" w:rsidRPr="00A73A93" w:rsidRDefault="008B76D7" w:rsidP="00CD0EC9">
            <w:pPr>
              <w:spacing w:after="0" w:line="240" w:lineRule="auto"/>
              <w:jc w:val="both"/>
              <w:rPr>
                <w:rFonts w:ascii="Times New Roman" w:hAnsi="Times New Roman"/>
                <w:sz w:val="24"/>
                <w:szCs w:val="24"/>
              </w:rPr>
            </w:pPr>
            <w:hyperlink r:id="rId26" w:history="1">
              <w:r w:rsidRPr="00A73A93">
                <w:rPr>
                  <w:rStyle w:val="Hyperlink"/>
                  <w:rFonts w:ascii="Times New Roman" w:hAnsi="Times New Roman"/>
                  <w:color w:val="auto"/>
                  <w:sz w:val="24"/>
                  <w:szCs w:val="24"/>
                </w:rPr>
                <w:t>https://yle.fi/a/74-20227573</w:t>
              </w:r>
            </w:hyperlink>
            <w:r w:rsidRPr="00A73A93">
              <w:rPr>
                <w:rFonts w:ascii="Times New Roman" w:hAnsi="Times New Roman"/>
                <w:sz w:val="24"/>
                <w:szCs w:val="24"/>
              </w:rPr>
              <w:t xml:space="preserve"> </w:t>
            </w:r>
          </w:p>
        </w:tc>
      </w:tr>
      <w:tr w:rsidR="00BC713B" w:rsidRPr="00A73A93" w14:paraId="00F95BF7" w14:textId="77777777" w:rsidTr="00334608">
        <w:trPr>
          <w:trHeight w:val="216"/>
        </w:trPr>
        <w:tc>
          <w:tcPr>
            <w:tcW w:w="1043" w:type="dxa"/>
            <w:gridSpan w:val="2"/>
            <w:tcMar>
              <w:top w:w="29" w:type="dxa"/>
              <w:left w:w="115" w:type="dxa"/>
              <w:bottom w:w="29" w:type="dxa"/>
              <w:right w:w="115" w:type="dxa"/>
            </w:tcMar>
          </w:tcPr>
          <w:p w14:paraId="528A5F0C" w14:textId="561EA2B6" w:rsidR="00BC713B" w:rsidRPr="00A73A93" w:rsidRDefault="00BC713B" w:rsidP="00CD0EC9">
            <w:pPr>
              <w:spacing w:after="0" w:line="240" w:lineRule="auto"/>
              <w:jc w:val="both"/>
              <w:rPr>
                <w:rFonts w:ascii="Times New Roman" w:hAnsi="Times New Roman"/>
                <w:sz w:val="24"/>
                <w:szCs w:val="24"/>
              </w:rPr>
            </w:pPr>
            <w:r w:rsidRPr="00A73A93">
              <w:rPr>
                <w:rFonts w:ascii="Times New Roman" w:hAnsi="Times New Roman"/>
                <w:sz w:val="24"/>
                <w:szCs w:val="24"/>
              </w:rPr>
              <w:t>2026-0</w:t>
            </w:r>
            <w:r w:rsidR="00A10E2C" w:rsidRPr="00A73A93">
              <w:rPr>
                <w:rFonts w:ascii="Times New Roman" w:hAnsi="Times New Roman"/>
                <w:sz w:val="24"/>
                <w:szCs w:val="24"/>
              </w:rPr>
              <w:t>5</w:t>
            </w:r>
            <w:r w:rsidRPr="00A73A93">
              <w:rPr>
                <w:rFonts w:ascii="Times New Roman" w:hAnsi="Times New Roman"/>
                <w:sz w:val="24"/>
                <w:szCs w:val="24"/>
              </w:rPr>
              <w:t>-1</w:t>
            </w:r>
            <w:r w:rsidR="00A10E2C" w:rsidRPr="00A73A93">
              <w:rPr>
                <w:rFonts w:ascii="Times New Roman" w:hAnsi="Times New Roman"/>
                <w:sz w:val="24"/>
                <w:szCs w:val="24"/>
              </w:rPr>
              <w:t>2</w:t>
            </w:r>
          </w:p>
        </w:tc>
        <w:tc>
          <w:tcPr>
            <w:tcW w:w="5755" w:type="dxa"/>
            <w:tcMar>
              <w:top w:w="29" w:type="dxa"/>
              <w:left w:w="115" w:type="dxa"/>
              <w:bottom w:w="29" w:type="dxa"/>
              <w:right w:w="115" w:type="dxa"/>
            </w:tcMar>
          </w:tcPr>
          <w:p w14:paraId="216D4287" w14:textId="220AA318" w:rsidR="00BC713B" w:rsidRPr="00A73A93" w:rsidRDefault="00BB754D" w:rsidP="00CD0EC9">
            <w:pPr>
              <w:spacing w:after="0" w:line="240" w:lineRule="auto"/>
              <w:jc w:val="both"/>
              <w:rPr>
                <w:rFonts w:ascii="Times New Roman" w:hAnsi="Times New Roman"/>
                <w:b/>
                <w:bCs/>
                <w:sz w:val="24"/>
                <w:szCs w:val="24"/>
              </w:rPr>
            </w:pPr>
            <w:r w:rsidRPr="00A73A93">
              <w:rPr>
                <w:rFonts w:ascii="Times New Roman" w:eastAsiaTheme="minorHAnsi" w:hAnsi="Times New Roman"/>
                <w:b/>
                <w:bCs/>
                <w:kern w:val="2"/>
                <w:sz w:val="24"/>
                <w:szCs w:val="24"/>
                <w14:ligatures w14:val="standardContextual"/>
              </w:rPr>
              <w:t xml:space="preserve">Didžiosios Šiaurės šalių įmonės ir fondai (įskaitant „KONE“, „Nokia“, „Nordea“, „Saab“, „Ericsson“, „Ørsted“ ir „Novo Nordisk“ fondą) įkūrė aljansą „Nordic Compass“, skirtą regiono konkurencingumui kapitalo rinkų, gynybos, </w:t>
            </w:r>
            <w:r w:rsidR="00A10E2C" w:rsidRPr="00A73A93">
              <w:rPr>
                <w:rFonts w:ascii="Times New Roman" w:eastAsiaTheme="minorHAnsi" w:hAnsi="Times New Roman"/>
                <w:b/>
                <w:bCs/>
                <w:kern w:val="2"/>
                <w:sz w:val="24"/>
                <w:szCs w:val="24"/>
                <w14:ligatures w14:val="standardContextual"/>
              </w:rPr>
              <w:t>aukštųjų</w:t>
            </w:r>
            <w:r w:rsidRPr="00A73A93">
              <w:rPr>
                <w:rFonts w:ascii="Times New Roman" w:eastAsiaTheme="minorHAnsi" w:hAnsi="Times New Roman"/>
                <w:b/>
                <w:bCs/>
                <w:kern w:val="2"/>
                <w:sz w:val="24"/>
                <w:szCs w:val="24"/>
                <w14:ligatures w14:val="standardContextual"/>
              </w:rPr>
              <w:t xml:space="preserve"> technologijų ir energetikos srityse stiprinti. </w:t>
            </w:r>
            <w:r w:rsidRPr="00A73A93">
              <w:rPr>
                <w:rFonts w:ascii="Times New Roman" w:eastAsiaTheme="minorHAnsi" w:hAnsi="Times New Roman"/>
                <w:kern w:val="2"/>
                <w:sz w:val="24"/>
                <w:szCs w:val="24"/>
                <w14:ligatures w14:val="standardContextual"/>
              </w:rPr>
              <w:t xml:space="preserve">Pasak aljanso vadovų Jyrki Kataineno ir Antti Herlino, iniciatyvą paskatino nusivylimas lėtu ES sprendimų priėmimu ir būtinybė </w:t>
            </w:r>
            <w:r w:rsidRPr="00A73A93">
              <w:rPr>
                <w:rFonts w:ascii="Times New Roman" w:eastAsiaTheme="minorHAnsi" w:hAnsi="Times New Roman"/>
                <w:kern w:val="2"/>
                <w:sz w:val="24"/>
                <w:szCs w:val="24"/>
                <w14:ligatures w14:val="standardContextual"/>
              </w:rPr>
              <w:lastRenderedPageBreak/>
              <w:t>glaudžiau bendradarbiauti reaguojant į geopolitinius poslinkius. Danijoje registruota organizacija, įkvėpta Mario Draghi ataskaitos, sieks idėjas paversti konkrečiais projektais bei politiniais siūlymais, kurdama darbo grupes ir stiprindama verslo, valdžios bei mokslo ryšius. Įkūrėjų teigimu, stipresn</w:t>
            </w:r>
            <w:r w:rsidR="00C0495D" w:rsidRPr="00A73A93">
              <w:rPr>
                <w:rFonts w:ascii="Times New Roman" w:eastAsiaTheme="minorHAnsi" w:hAnsi="Times New Roman"/>
                <w:kern w:val="2"/>
                <w:sz w:val="24"/>
                <w:szCs w:val="24"/>
                <w14:ligatures w14:val="standardContextual"/>
              </w:rPr>
              <w:t>is</w:t>
            </w:r>
            <w:r w:rsidRPr="00A73A93">
              <w:rPr>
                <w:rFonts w:ascii="Times New Roman" w:eastAsiaTheme="minorHAnsi" w:hAnsi="Times New Roman"/>
                <w:kern w:val="2"/>
                <w:sz w:val="24"/>
                <w:szCs w:val="24"/>
                <w14:ligatures w14:val="standardContextual"/>
              </w:rPr>
              <w:t xml:space="preserve"> regionin</w:t>
            </w:r>
            <w:r w:rsidR="00C0495D" w:rsidRPr="00A73A93">
              <w:rPr>
                <w:rFonts w:ascii="Times New Roman" w:eastAsiaTheme="minorHAnsi" w:hAnsi="Times New Roman"/>
                <w:kern w:val="2"/>
                <w:sz w:val="24"/>
                <w:szCs w:val="24"/>
                <w14:ligatures w14:val="standardContextual"/>
              </w:rPr>
              <w:t>is</w:t>
            </w:r>
            <w:r w:rsidRPr="00A73A93">
              <w:rPr>
                <w:rFonts w:ascii="Times New Roman" w:eastAsiaTheme="minorHAnsi" w:hAnsi="Times New Roman"/>
                <w:kern w:val="2"/>
                <w:sz w:val="24"/>
                <w:szCs w:val="24"/>
                <w14:ligatures w14:val="standardContextual"/>
              </w:rPr>
              <w:t xml:space="preserve"> koordina</w:t>
            </w:r>
            <w:r w:rsidR="00C0495D" w:rsidRPr="00A73A93">
              <w:rPr>
                <w:rFonts w:ascii="Times New Roman" w:eastAsiaTheme="minorHAnsi" w:hAnsi="Times New Roman"/>
                <w:kern w:val="2"/>
                <w:sz w:val="24"/>
                <w:szCs w:val="24"/>
                <w14:ligatures w14:val="standardContextual"/>
              </w:rPr>
              <w:t>vimas</w:t>
            </w:r>
            <w:r w:rsidRPr="00A73A93">
              <w:rPr>
                <w:rFonts w:ascii="Times New Roman" w:eastAsiaTheme="minorHAnsi" w:hAnsi="Times New Roman"/>
                <w:kern w:val="2"/>
                <w:sz w:val="24"/>
                <w:szCs w:val="24"/>
                <w14:ligatures w14:val="standardContextual"/>
              </w:rPr>
              <w:t xml:space="preserve"> yra būtina</w:t>
            </w:r>
            <w:r w:rsidR="00C0495D" w:rsidRPr="00A73A93">
              <w:rPr>
                <w:rFonts w:ascii="Times New Roman" w:eastAsiaTheme="minorHAnsi" w:hAnsi="Times New Roman"/>
                <w:kern w:val="2"/>
                <w:sz w:val="24"/>
                <w:szCs w:val="24"/>
                <w14:ligatures w14:val="standardContextual"/>
              </w:rPr>
              <w:t>s</w:t>
            </w:r>
            <w:r w:rsidRPr="00A73A93">
              <w:rPr>
                <w:rFonts w:ascii="Times New Roman" w:eastAsiaTheme="minorHAnsi" w:hAnsi="Times New Roman"/>
                <w:kern w:val="2"/>
                <w:sz w:val="24"/>
                <w:szCs w:val="24"/>
                <w14:ligatures w14:val="standardContextual"/>
              </w:rPr>
              <w:t xml:space="preserve"> augant globaliai konkurencijai, o aljanso sėkmė priklausys nuo gebėjimo pasiekti praktinių rezultatų.</w:t>
            </w:r>
          </w:p>
        </w:tc>
        <w:tc>
          <w:tcPr>
            <w:tcW w:w="2127" w:type="dxa"/>
            <w:tcMar>
              <w:top w:w="29" w:type="dxa"/>
              <w:left w:w="115" w:type="dxa"/>
              <w:bottom w:w="29" w:type="dxa"/>
              <w:right w:w="115" w:type="dxa"/>
            </w:tcMar>
          </w:tcPr>
          <w:p w14:paraId="779DEF7C" w14:textId="6A2122C4" w:rsidR="00BC713B" w:rsidRPr="00A73A93" w:rsidRDefault="00A10E2C" w:rsidP="00CD0EC9">
            <w:pPr>
              <w:spacing w:after="0" w:line="240" w:lineRule="auto"/>
              <w:jc w:val="both"/>
              <w:rPr>
                <w:rFonts w:ascii="Times New Roman" w:hAnsi="Times New Roman"/>
                <w:sz w:val="24"/>
                <w:szCs w:val="24"/>
              </w:rPr>
            </w:pPr>
            <w:hyperlink r:id="rId27" w:history="1">
              <w:r w:rsidRPr="00A73A93">
                <w:rPr>
                  <w:rStyle w:val="Hyperlink"/>
                  <w:rFonts w:ascii="Times New Roman" w:hAnsi="Times New Roman"/>
                  <w:color w:val="auto"/>
                  <w:sz w:val="24"/>
                  <w:szCs w:val="24"/>
                </w:rPr>
                <w:t>https://www.hs.fi/visio/art-2000011984327.html</w:t>
              </w:r>
            </w:hyperlink>
            <w:r w:rsidRPr="00A73A93">
              <w:rPr>
                <w:rFonts w:ascii="Times New Roman" w:hAnsi="Times New Roman"/>
                <w:sz w:val="24"/>
                <w:szCs w:val="24"/>
              </w:rPr>
              <w:t xml:space="preserve"> </w:t>
            </w:r>
          </w:p>
        </w:tc>
      </w:tr>
      <w:tr w:rsidR="00BC713B" w:rsidRPr="00A73A93" w14:paraId="7F5C1C15" w14:textId="77777777" w:rsidTr="00334608">
        <w:trPr>
          <w:trHeight w:val="216"/>
        </w:trPr>
        <w:tc>
          <w:tcPr>
            <w:tcW w:w="1043" w:type="dxa"/>
            <w:gridSpan w:val="2"/>
            <w:tcMar>
              <w:top w:w="29" w:type="dxa"/>
              <w:left w:w="115" w:type="dxa"/>
              <w:bottom w:w="29" w:type="dxa"/>
              <w:right w:w="115" w:type="dxa"/>
            </w:tcMar>
          </w:tcPr>
          <w:p w14:paraId="57C82F5C" w14:textId="4129C733" w:rsidR="00BC713B" w:rsidRPr="00A73A93" w:rsidRDefault="00BC713B" w:rsidP="00CD0EC9">
            <w:pPr>
              <w:spacing w:after="0" w:line="240" w:lineRule="auto"/>
              <w:jc w:val="both"/>
              <w:rPr>
                <w:rFonts w:ascii="Times New Roman" w:hAnsi="Times New Roman"/>
                <w:sz w:val="24"/>
                <w:szCs w:val="24"/>
                <w:lang w:val="en-US"/>
              </w:rPr>
            </w:pPr>
            <w:r w:rsidRPr="00A73A93">
              <w:rPr>
                <w:rFonts w:ascii="Times New Roman" w:hAnsi="Times New Roman"/>
                <w:sz w:val="24"/>
                <w:szCs w:val="24"/>
              </w:rPr>
              <w:t>2026-0</w:t>
            </w:r>
            <w:r w:rsidR="00630D32" w:rsidRPr="00A73A93">
              <w:rPr>
                <w:rFonts w:ascii="Times New Roman" w:hAnsi="Times New Roman"/>
                <w:sz w:val="24"/>
                <w:szCs w:val="24"/>
              </w:rPr>
              <w:t>5</w:t>
            </w:r>
            <w:r w:rsidRPr="00A73A93">
              <w:rPr>
                <w:rFonts w:ascii="Times New Roman" w:hAnsi="Times New Roman"/>
                <w:sz w:val="24"/>
                <w:szCs w:val="24"/>
              </w:rPr>
              <w:t>-</w:t>
            </w:r>
            <w:r w:rsidR="00630D32" w:rsidRPr="00A73A93">
              <w:rPr>
                <w:rFonts w:ascii="Times New Roman" w:hAnsi="Times New Roman"/>
                <w:sz w:val="24"/>
                <w:szCs w:val="24"/>
              </w:rPr>
              <w:t>11</w:t>
            </w:r>
          </w:p>
        </w:tc>
        <w:tc>
          <w:tcPr>
            <w:tcW w:w="5755" w:type="dxa"/>
            <w:tcMar>
              <w:top w:w="29" w:type="dxa"/>
              <w:left w:w="115" w:type="dxa"/>
              <w:bottom w:w="29" w:type="dxa"/>
              <w:right w:w="115" w:type="dxa"/>
            </w:tcMar>
          </w:tcPr>
          <w:p w14:paraId="35CDCB18" w14:textId="604A9B13" w:rsidR="00BC713B" w:rsidRPr="00A73A93" w:rsidRDefault="008B1145" w:rsidP="00CD0EC9">
            <w:pPr>
              <w:spacing w:after="0" w:line="240" w:lineRule="auto"/>
              <w:jc w:val="both"/>
              <w:rPr>
                <w:rFonts w:ascii="Times New Roman" w:hAnsi="Times New Roman"/>
                <w:sz w:val="24"/>
                <w:szCs w:val="24"/>
              </w:rPr>
            </w:pPr>
            <w:r w:rsidRPr="00A73A93">
              <w:rPr>
                <w:rFonts w:ascii="Times New Roman" w:hAnsi="Times New Roman"/>
                <w:b/>
                <w:bCs/>
                <w:sz w:val="24"/>
                <w:szCs w:val="24"/>
              </w:rPr>
              <w:t>Suomija siekia tapti svarbia vandenilio ekonomikos šalimi – valstybinė įmonė „Gasgrid Finland“ planuoja 1 300 kilometrų ilgio vandenilio dujotiekį nuo pietinės pakrantės iki Laplandijos.</w:t>
            </w:r>
            <w:r w:rsidRPr="00A73A93">
              <w:rPr>
                <w:rFonts w:ascii="Times New Roman" w:hAnsi="Times New Roman"/>
                <w:sz w:val="24"/>
                <w:szCs w:val="24"/>
              </w:rPr>
              <w:t xml:space="preserve"> Projektas yra dalis šalies ambicijos iki 2030 m. pagaminti iki 10 % ES švaraus vandenilio, išnaudojant pigią atsinaujinančią elektros energiją, vėjo jėgaines ir miško pramonės anglies dvideginį sintetinio kuro gamybai. Nors pastaraisiais metais keli dideli vandenilio projektai buvo atšaukti, o tokios gamyklos kaip „P2X Solutions“ Harjavaltoje jau veikia ar yra vystomos, sektorius vis dar susiduria su rimtais iššūkiais – ypač silpna paklausa ir didesne žaliojo vandenilio kaina, lyginant su iškastiniu kuru. Dėl šios priežasties „Gasgrid“ tęsia trasos planavimą bei poveikio aplinkai vertinimą, kartu stebėdama, ar rinka taps komerciškai gyvybinga.</w:t>
            </w:r>
          </w:p>
        </w:tc>
        <w:tc>
          <w:tcPr>
            <w:tcW w:w="2127" w:type="dxa"/>
            <w:tcMar>
              <w:top w:w="29" w:type="dxa"/>
              <w:left w:w="115" w:type="dxa"/>
              <w:bottom w:w="29" w:type="dxa"/>
              <w:right w:w="115" w:type="dxa"/>
            </w:tcMar>
          </w:tcPr>
          <w:p w14:paraId="32F5160F" w14:textId="7293B97B" w:rsidR="00BC713B" w:rsidRPr="00A73A93" w:rsidRDefault="00630D32" w:rsidP="00CD0EC9">
            <w:pPr>
              <w:spacing w:after="0" w:line="240" w:lineRule="auto"/>
              <w:jc w:val="both"/>
              <w:rPr>
                <w:rFonts w:ascii="Times New Roman" w:hAnsi="Times New Roman"/>
                <w:sz w:val="24"/>
                <w:szCs w:val="24"/>
              </w:rPr>
            </w:pPr>
            <w:hyperlink r:id="rId28" w:history="1">
              <w:r w:rsidRPr="00A73A93">
                <w:rPr>
                  <w:rStyle w:val="Hyperlink"/>
                  <w:rFonts w:ascii="Times New Roman" w:hAnsi="Times New Roman"/>
                  <w:color w:val="auto"/>
                  <w:sz w:val="24"/>
                  <w:szCs w:val="24"/>
                </w:rPr>
                <w:t>https://www.hs.fi/alueet/art-2000011955926.html</w:t>
              </w:r>
            </w:hyperlink>
            <w:r w:rsidRPr="00A73A93">
              <w:rPr>
                <w:rFonts w:ascii="Times New Roman" w:hAnsi="Times New Roman"/>
                <w:sz w:val="24"/>
                <w:szCs w:val="24"/>
              </w:rPr>
              <w:t xml:space="preserve"> </w:t>
            </w:r>
          </w:p>
        </w:tc>
      </w:tr>
      <w:tr w:rsidR="00630D32" w:rsidRPr="00A73A93" w14:paraId="64DDC191" w14:textId="77777777" w:rsidTr="00334608">
        <w:trPr>
          <w:trHeight w:val="216"/>
        </w:trPr>
        <w:tc>
          <w:tcPr>
            <w:tcW w:w="1043" w:type="dxa"/>
            <w:gridSpan w:val="2"/>
            <w:tcMar>
              <w:top w:w="29" w:type="dxa"/>
              <w:left w:w="115" w:type="dxa"/>
              <w:bottom w:w="29" w:type="dxa"/>
              <w:right w:w="115" w:type="dxa"/>
            </w:tcMar>
          </w:tcPr>
          <w:p w14:paraId="6C2AE378" w14:textId="18EB3D43" w:rsidR="00630D32" w:rsidRPr="00A73A93" w:rsidRDefault="00664FAC" w:rsidP="00CD0EC9">
            <w:pPr>
              <w:spacing w:after="0" w:line="240" w:lineRule="auto"/>
              <w:jc w:val="both"/>
              <w:rPr>
                <w:rFonts w:ascii="Times New Roman" w:hAnsi="Times New Roman"/>
                <w:sz w:val="24"/>
                <w:szCs w:val="24"/>
              </w:rPr>
            </w:pPr>
            <w:r w:rsidRPr="00A73A93">
              <w:rPr>
                <w:rFonts w:ascii="Times New Roman" w:hAnsi="Times New Roman"/>
                <w:sz w:val="24"/>
                <w:szCs w:val="24"/>
              </w:rPr>
              <w:t>2026-05-11</w:t>
            </w:r>
          </w:p>
        </w:tc>
        <w:tc>
          <w:tcPr>
            <w:tcW w:w="5755" w:type="dxa"/>
            <w:tcMar>
              <w:top w:w="29" w:type="dxa"/>
              <w:left w:w="115" w:type="dxa"/>
              <w:bottom w:w="29" w:type="dxa"/>
              <w:right w:w="115" w:type="dxa"/>
            </w:tcMar>
          </w:tcPr>
          <w:p w14:paraId="446556D9" w14:textId="242FCA81" w:rsidR="00630D32" w:rsidRPr="00A73A93" w:rsidRDefault="003B3D23" w:rsidP="00CD0EC9">
            <w:pPr>
              <w:spacing w:after="0" w:line="240" w:lineRule="auto"/>
              <w:jc w:val="both"/>
              <w:rPr>
                <w:rFonts w:ascii="Times New Roman" w:hAnsi="Times New Roman"/>
                <w:sz w:val="24"/>
                <w:szCs w:val="24"/>
              </w:rPr>
            </w:pPr>
            <w:r w:rsidRPr="00A73A93">
              <w:rPr>
                <w:rFonts w:ascii="Times New Roman" w:hAnsi="Times New Roman"/>
                <w:b/>
                <w:bCs/>
                <w:sz w:val="24"/>
                <w:szCs w:val="24"/>
              </w:rPr>
              <w:t>„Deloitte“ ir „Demos Helsinki“ ataskaitoje silpnas Suomijos ekonomikos augimas siejamas su vietos įmonių vadovavimo kultūra. Užsieniečių vadovų, pakviestų vadovauti didelėms Suomijos bendrovėms, teigimu, šalies verslas kenčia nuo per mažų ambicijų, baimės rizikuoti ir per didelio orientavimosi į konsensusą.</w:t>
            </w:r>
            <w:r w:rsidRPr="00A73A93">
              <w:rPr>
                <w:rFonts w:ascii="Times New Roman" w:hAnsi="Times New Roman"/>
                <w:sz w:val="24"/>
                <w:szCs w:val="24"/>
              </w:rPr>
              <w:t xml:space="preserve"> „Deloitte Finland“ vadovo Lari Hintsaneno teigimu, įmonės labiau stengiasi išvengti klaidų nei ieškoti naujų galimybių, o tai stabdo inovacijas. Užsienio vadovai taip pat sukritikavo įvairovės trūkumą vadovybėje bei valdybose ir pabrėžė, kad orientacija į efektyvumą bei stabilų pelną dažnai vyksta tarptautinės plėtros sąskaita. Nors suomiai giriami už operacijų kokybę, išvadose teigiama, kad stipresniam augimui reikės drąsesnių tikslų, komercinio mąstymo ir didesnio noro investuoti į pardavimus bei inovacijas.</w:t>
            </w:r>
          </w:p>
        </w:tc>
        <w:tc>
          <w:tcPr>
            <w:tcW w:w="2127" w:type="dxa"/>
            <w:tcMar>
              <w:top w:w="29" w:type="dxa"/>
              <w:left w:w="115" w:type="dxa"/>
              <w:bottom w:w="29" w:type="dxa"/>
              <w:right w:w="115" w:type="dxa"/>
            </w:tcMar>
          </w:tcPr>
          <w:p w14:paraId="7EC19E2B" w14:textId="1DE668E1" w:rsidR="00630D32" w:rsidRPr="00A73A93" w:rsidRDefault="00664FAC" w:rsidP="00CD0EC9">
            <w:pPr>
              <w:spacing w:after="0" w:line="240" w:lineRule="auto"/>
              <w:jc w:val="both"/>
              <w:rPr>
                <w:rFonts w:ascii="Times New Roman" w:hAnsi="Times New Roman"/>
                <w:sz w:val="24"/>
                <w:szCs w:val="24"/>
              </w:rPr>
            </w:pPr>
            <w:hyperlink r:id="rId29" w:history="1">
              <w:r w:rsidRPr="00A73A93">
                <w:rPr>
                  <w:rStyle w:val="Hyperlink"/>
                  <w:rFonts w:ascii="Times New Roman" w:hAnsi="Times New Roman"/>
                  <w:color w:val="auto"/>
                  <w:sz w:val="24"/>
                  <w:szCs w:val="24"/>
                </w:rPr>
                <w:t>https://www.hs.fi/visio/art-2000011998984.html</w:t>
              </w:r>
            </w:hyperlink>
            <w:r w:rsidRPr="00A73A93">
              <w:rPr>
                <w:rFonts w:ascii="Times New Roman" w:hAnsi="Times New Roman"/>
                <w:sz w:val="24"/>
                <w:szCs w:val="24"/>
              </w:rPr>
              <w:t xml:space="preserve"> </w:t>
            </w:r>
          </w:p>
        </w:tc>
      </w:tr>
      <w:tr w:rsidR="00A14583" w:rsidRPr="00A73A93" w14:paraId="4B6E4C77" w14:textId="77777777" w:rsidTr="00334608">
        <w:trPr>
          <w:trHeight w:val="216"/>
        </w:trPr>
        <w:tc>
          <w:tcPr>
            <w:tcW w:w="1043" w:type="dxa"/>
            <w:gridSpan w:val="2"/>
            <w:tcMar>
              <w:top w:w="29" w:type="dxa"/>
              <w:left w:w="115" w:type="dxa"/>
              <w:bottom w:w="29" w:type="dxa"/>
              <w:right w:w="115" w:type="dxa"/>
            </w:tcMar>
          </w:tcPr>
          <w:p w14:paraId="10CC31D6" w14:textId="533248CF" w:rsidR="00A14583" w:rsidRPr="00A73A93" w:rsidRDefault="008506BB" w:rsidP="00CD0EC9">
            <w:pPr>
              <w:spacing w:after="0" w:line="240" w:lineRule="auto"/>
              <w:jc w:val="both"/>
              <w:rPr>
                <w:rFonts w:ascii="Times New Roman" w:hAnsi="Times New Roman"/>
                <w:sz w:val="24"/>
                <w:szCs w:val="24"/>
              </w:rPr>
            </w:pPr>
            <w:r w:rsidRPr="00A73A93">
              <w:rPr>
                <w:rFonts w:ascii="Times New Roman" w:hAnsi="Times New Roman"/>
                <w:sz w:val="24"/>
                <w:szCs w:val="24"/>
              </w:rPr>
              <w:t>2026-05-19</w:t>
            </w:r>
          </w:p>
        </w:tc>
        <w:tc>
          <w:tcPr>
            <w:tcW w:w="5755" w:type="dxa"/>
            <w:tcMar>
              <w:top w:w="29" w:type="dxa"/>
              <w:left w:w="115" w:type="dxa"/>
              <w:bottom w:w="29" w:type="dxa"/>
              <w:right w:w="115" w:type="dxa"/>
            </w:tcMar>
          </w:tcPr>
          <w:p w14:paraId="04A08BA1" w14:textId="4DD86CA4" w:rsidR="00A14583" w:rsidRPr="00A73A93" w:rsidRDefault="00A14583" w:rsidP="00CD0EC9">
            <w:pPr>
              <w:spacing w:after="0" w:line="240" w:lineRule="auto"/>
              <w:jc w:val="both"/>
              <w:rPr>
                <w:rFonts w:ascii="Times New Roman" w:hAnsi="Times New Roman"/>
                <w:sz w:val="24"/>
                <w:szCs w:val="24"/>
              </w:rPr>
            </w:pPr>
            <w:r w:rsidRPr="00A73A93">
              <w:rPr>
                <w:rFonts w:ascii="Times New Roman" w:hAnsi="Times New Roman"/>
                <w:b/>
                <w:bCs/>
                <w:sz w:val="24"/>
                <w:szCs w:val="24"/>
              </w:rPr>
              <w:t>Suomijos ekonomikos ir užimtumo ministerijos prognozė rodo, kad nedarbas Suomijoje artimiausiais metais išliks aukštas, nors ir palaipsniui mažės: šiemet jis sieks 10,2 % (apie 342 000 bedarbių), 2027 m. kris iki 9,8 %, o 2028 m. – iki 9,3 %.</w:t>
            </w:r>
            <w:r w:rsidRPr="00A73A93">
              <w:rPr>
                <w:rFonts w:ascii="Times New Roman" w:hAnsi="Times New Roman"/>
                <w:sz w:val="24"/>
                <w:szCs w:val="24"/>
              </w:rPr>
              <w:t xml:space="preserve"> Šie rodikliai yra prastesni nei ankstesnėse prognozėse, o viena to priežasčių – auganti darbo jėga, nors darbingo amžiaus gyventojų skaičius reikšmingai nedidėja. Nepaisant neigiamų tendencijų, lėtas ekonomikos atsigavimas leis </w:t>
            </w:r>
            <w:r w:rsidRPr="00A73A93">
              <w:rPr>
                <w:rFonts w:ascii="Times New Roman" w:hAnsi="Times New Roman"/>
                <w:sz w:val="24"/>
                <w:szCs w:val="24"/>
              </w:rPr>
              <w:lastRenderedPageBreak/>
              <w:t>nežymiai augti užimtumui, o pozityviausiu prognozės signalu laikomas ilgalaikio nedarbo mažėjimas, kuris turėtų prasidėti jau šią vasarą.</w:t>
            </w:r>
          </w:p>
        </w:tc>
        <w:tc>
          <w:tcPr>
            <w:tcW w:w="2127" w:type="dxa"/>
            <w:tcMar>
              <w:top w:w="29" w:type="dxa"/>
              <w:left w:w="115" w:type="dxa"/>
              <w:bottom w:w="29" w:type="dxa"/>
              <w:right w:w="115" w:type="dxa"/>
            </w:tcMar>
          </w:tcPr>
          <w:p w14:paraId="1E194B66" w14:textId="62D7A1EB" w:rsidR="00A14583" w:rsidRPr="00A73A93" w:rsidRDefault="008506BB" w:rsidP="00CD0EC9">
            <w:pPr>
              <w:spacing w:after="0" w:line="240" w:lineRule="auto"/>
              <w:jc w:val="both"/>
              <w:rPr>
                <w:rFonts w:ascii="Times New Roman" w:hAnsi="Times New Roman"/>
                <w:sz w:val="24"/>
                <w:szCs w:val="24"/>
              </w:rPr>
            </w:pPr>
            <w:hyperlink r:id="rId30" w:history="1">
              <w:r w:rsidRPr="00A73A93">
                <w:rPr>
                  <w:rStyle w:val="Hyperlink"/>
                  <w:rFonts w:ascii="Times New Roman" w:hAnsi="Times New Roman"/>
                  <w:color w:val="auto"/>
                  <w:sz w:val="24"/>
                  <w:szCs w:val="24"/>
                </w:rPr>
                <w:t>https://valtioneuvosto.fi/-/1410877/tyomarkkinaennuste-pitkaaikaistyottomyys-kaantyy-laskuun-kesan-2026-</w:t>
              </w:r>
              <w:r w:rsidRPr="00A73A93">
                <w:rPr>
                  <w:rStyle w:val="Hyperlink"/>
                  <w:rFonts w:ascii="Times New Roman" w:hAnsi="Times New Roman"/>
                  <w:color w:val="auto"/>
                  <w:sz w:val="24"/>
                  <w:szCs w:val="24"/>
                </w:rPr>
                <w:lastRenderedPageBreak/>
                <w:t>jalkeen?languageId=en_US</w:t>
              </w:r>
            </w:hyperlink>
            <w:r w:rsidRPr="00A73A93">
              <w:rPr>
                <w:rFonts w:ascii="Times New Roman" w:hAnsi="Times New Roman"/>
                <w:sz w:val="24"/>
                <w:szCs w:val="24"/>
              </w:rPr>
              <w:t xml:space="preserve"> </w:t>
            </w:r>
          </w:p>
        </w:tc>
      </w:tr>
      <w:tr w:rsidR="00786125" w:rsidRPr="00A73A93" w14:paraId="72DC1817" w14:textId="77777777" w:rsidTr="00334608">
        <w:trPr>
          <w:trHeight w:val="216"/>
        </w:trPr>
        <w:tc>
          <w:tcPr>
            <w:tcW w:w="1043" w:type="dxa"/>
            <w:gridSpan w:val="2"/>
            <w:tcMar>
              <w:top w:w="29" w:type="dxa"/>
              <w:left w:w="115" w:type="dxa"/>
              <w:bottom w:w="29" w:type="dxa"/>
              <w:right w:w="115" w:type="dxa"/>
            </w:tcMar>
          </w:tcPr>
          <w:p w14:paraId="649E779B" w14:textId="63D9D501" w:rsidR="00786125" w:rsidRPr="00A73A93" w:rsidRDefault="002D4A15" w:rsidP="00CD0EC9">
            <w:pPr>
              <w:spacing w:after="0" w:line="240" w:lineRule="auto"/>
              <w:jc w:val="both"/>
              <w:rPr>
                <w:rFonts w:ascii="Times New Roman" w:hAnsi="Times New Roman"/>
                <w:sz w:val="24"/>
                <w:szCs w:val="24"/>
              </w:rPr>
            </w:pPr>
            <w:r w:rsidRPr="00A73A93">
              <w:rPr>
                <w:rFonts w:ascii="Times New Roman" w:hAnsi="Times New Roman"/>
                <w:sz w:val="24"/>
                <w:szCs w:val="24"/>
              </w:rPr>
              <w:lastRenderedPageBreak/>
              <w:t>2026-05-19</w:t>
            </w:r>
          </w:p>
        </w:tc>
        <w:tc>
          <w:tcPr>
            <w:tcW w:w="5755" w:type="dxa"/>
            <w:tcMar>
              <w:top w:w="29" w:type="dxa"/>
              <w:left w:w="115" w:type="dxa"/>
              <w:bottom w:w="29" w:type="dxa"/>
              <w:right w:w="115" w:type="dxa"/>
            </w:tcMar>
          </w:tcPr>
          <w:p w14:paraId="2E5F5F55" w14:textId="595A174C" w:rsidR="00786125" w:rsidRPr="00A73A93" w:rsidRDefault="00786125" w:rsidP="00CD0EC9">
            <w:pPr>
              <w:spacing w:after="0" w:line="240" w:lineRule="auto"/>
              <w:jc w:val="both"/>
              <w:rPr>
                <w:rFonts w:ascii="Times New Roman" w:hAnsi="Times New Roman"/>
                <w:sz w:val="24"/>
                <w:szCs w:val="24"/>
              </w:rPr>
            </w:pPr>
            <w:r w:rsidRPr="00A73A93">
              <w:rPr>
                <w:rFonts w:ascii="Times New Roman" w:hAnsi="Times New Roman"/>
                <w:b/>
                <w:bCs/>
                <w:sz w:val="24"/>
                <w:szCs w:val="24"/>
              </w:rPr>
              <w:t>Senos statybos butų kainos Suomijoje kovą krito 4,1 %, lyginant su praėjusiais metais.</w:t>
            </w:r>
            <w:r w:rsidRPr="00A73A93">
              <w:rPr>
                <w:rFonts w:ascii="Times New Roman" w:hAnsi="Times New Roman"/>
                <w:sz w:val="24"/>
                <w:szCs w:val="24"/>
              </w:rPr>
              <w:t xml:space="preserve"> Iš didžiųjų šalies miestų kainos augo tik Oulu (šiek tiek virš 2 %), o didžiausias smukimas užfiksuotas Vantoje – apie 9 %. Būsto rinkos aktyvumas taip pat sumažėjo: kovą sudaryta nepilnai 3 400 sandorių, t. y. 9 % mažiau nei pernai. Suomijos būsto rinka smunka nuo 2022 m. rudens, o dėl geopolitinių konfliktų augančios „Euribor“ palūkanų normos, </w:t>
            </w:r>
            <w:r w:rsidR="006031C6" w:rsidRPr="00A73A93">
              <w:rPr>
                <w:rFonts w:ascii="Times New Roman" w:hAnsi="Times New Roman"/>
                <w:sz w:val="24"/>
                <w:szCs w:val="24"/>
              </w:rPr>
              <w:t xml:space="preserve">draudimo kompanijos </w:t>
            </w:r>
            <w:r w:rsidRPr="00A73A93">
              <w:rPr>
                <w:rFonts w:ascii="Times New Roman" w:hAnsi="Times New Roman"/>
                <w:sz w:val="24"/>
                <w:szCs w:val="24"/>
              </w:rPr>
              <w:t>„OP Pohjola“ teigimu, toliau slegia paklausą bei kainas ir lėtina atsigavimą. Vidutinis būsto pardavimo laikas šalyje kovą kiek sutrumpėjo ir siekė 130 dienų (greičiausiai turtas buvo parduodamas Oulu, ilgiausiai – Espo, Kaunijainene ir Vantoje).</w:t>
            </w:r>
          </w:p>
        </w:tc>
        <w:tc>
          <w:tcPr>
            <w:tcW w:w="2127" w:type="dxa"/>
            <w:tcMar>
              <w:top w:w="29" w:type="dxa"/>
              <w:left w:w="115" w:type="dxa"/>
              <w:bottom w:w="29" w:type="dxa"/>
              <w:right w:w="115" w:type="dxa"/>
            </w:tcMar>
          </w:tcPr>
          <w:p w14:paraId="1BD91A8B" w14:textId="3CFDD30F" w:rsidR="00786125" w:rsidRPr="00A73A93" w:rsidRDefault="002D4A15" w:rsidP="00CD0EC9">
            <w:pPr>
              <w:spacing w:after="0" w:line="240" w:lineRule="auto"/>
              <w:jc w:val="both"/>
              <w:rPr>
                <w:rFonts w:ascii="Times New Roman" w:hAnsi="Times New Roman"/>
                <w:sz w:val="24"/>
                <w:szCs w:val="24"/>
              </w:rPr>
            </w:pPr>
            <w:hyperlink r:id="rId31" w:history="1">
              <w:r w:rsidRPr="00A73A93">
                <w:rPr>
                  <w:rStyle w:val="Hyperlink"/>
                  <w:rFonts w:ascii="Times New Roman" w:hAnsi="Times New Roman"/>
                  <w:color w:val="auto"/>
                  <w:sz w:val="24"/>
                  <w:szCs w:val="24"/>
                </w:rPr>
                <w:t>https://stat.fi/en/publication/cmetl937ckm1e07w33klcbzly</w:t>
              </w:r>
            </w:hyperlink>
            <w:r w:rsidRPr="00A73A93">
              <w:rPr>
                <w:rFonts w:ascii="Times New Roman" w:hAnsi="Times New Roman"/>
                <w:sz w:val="24"/>
                <w:szCs w:val="24"/>
              </w:rPr>
              <w:t xml:space="preserve"> </w:t>
            </w:r>
          </w:p>
        </w:tc>
      </w:tr>
      <w:tr w:rsidR="0042658A" w:rsidRPr="00A73A93" w14:paraId="2A6E382D" w14:textId="77777777" w:rsidTr="00334608">
        <w:trPr>
          <w:trHeight w:val="216"/>
        </w:trPr>
        <w:tc>
          <w:tcPr>
            <w:tcW w:w="1043" w:type="dxa"/>
            <w:gridSpan w:val="2"/>
            <w:tcMar>
              <w:top w:w="29" w:type="dxa"/>
              <w:left w:w="115" w:type="dxa"/>
              <w:bottom w:w="29" w:type="dxa"/>
              <w:right w:w="115" w:type="dxa"/>
            </w:tcMar>
          </w:tcPr>
          <w:p w14:paraId="5E04D034" w14:textId="69615CA5" w:rsidR="0042658A" w:rsidRPr="00A73A93" w:rsidRDefault="00C65645" w:rsidP="00CD0EC9">
            <w:pPr>
              <w:spacing w:after="0" w:line="240" w:lineRule="auto"/>
              <w:jc w:val="both"/>
              <w:rPr>
                <w:rFonts w:ascii="Times New Roman" w:hAnsi="Times New Roman"/>
                <w:sz w:val="24"/>
                <w:szCs w:val="24"/>
              </w:rPr>
            </w:pPr>
            <w:r w:rsidRPr="00A73A93">
              <w:rPr>
                <w:rFonts w:ascii="Times New Roman" w:hAnsi="Times New Roman"/>
                <w:sz w:val="24"/>
                <w:szCs w:val="24"/>
              </w:rPr>
              <w:t>2026-05-21</w:t>
            </w:r>
          </w:p>
        </w:tc>
        <w:tc>
          <w:tcPr>
            <w:tcW w:w="5755" w:type="dxa"/>
            <w:tcMar>
              <w:top w:w="29" w:type="dxa"/>
              <w:left w:w="115" w:type="dxa"/>
              <w:bottom w:w="29" w:type="dxa"/>
              <w:right w:w="115" w:type="dxa"/>
            </w:tcMar>
          </w:tcPr>
          <w:p w14:paraId="79B44429" w14:textId="09A3B7E4" w:rsidR="0042658A" w:rsidRPr="00A73A93" w:rsidRDefault="0042658A" w:rsidP="00CD0EC9">
            <w:pPr>
              <w:spacing w:after="0" w:line="240" w:lineRule="auto"/>
              <w:jc w:val="both"/>
              <w:rPr>
                <w:rFonts w:ascii="Times New Roman" w:hAnsi="Times New Roman"/>
                <w:b/>
                <w:bCs/>
                <w:sz w:val="24"/>
                <w:szCs w:val="24"/>
              </w:rPr>
            </w:pPr>
            <w:r w:rsidRPr="00A73A93">
              <w:rPr>
                <w:rFonts w:ascii="Times New Roman" w:hAnsi="Times New Roman"/>
                <w:b/>
                <w:bCs/>
                <w:sz w:val="24"/>
                <w:szCs w:val="24"/>
              </w:rPr>
              <w:t>Remiantis konsultacijų bendrovės „EY“ metine ataskaita, praėjusiais metais tiesioginės užsienio investicijos Suomijoje išaugo 14 %, nors bendri investicijų srautai visoje Europoje su</w:t>
            </w:r>
            <w:r w:rsidR="00C155FC" w:rsidRPr="00A73A93">
              <w:rPr>
                <w:rFonts w:ascii="Times New Roman" w:hAnsi="Times New Roman"/>
                <w:b/>
                <w:bCs/>
                <w:sz w:val="24"/>
                <w:szCs w:val="24"/>
              </w:rPr>
              <w:t>mažėjo</w:t>
            </w:r>
            <w:r w:rsidRPr="00A73A93">
              <w:rPr>
                <w:rFonts w:ascii="Times New Roman" w:hAnsi="Times New Roman"/>
                <w:b/>
                <w:bCs/>
                <w:sz w:val="24"/>
                <w:szCs w:val="24"/>
              </w:rPr>
              <w:t xml:space="preserve"> 7 %. </w:t>
            </w:r>
            <w:r w:rsidRPr="00A73A93">
              <w:rPr>
                <w:rFonts w:ascii="Times New Roman" w:hAnsi="Times New Roman"/>
                <w:sz w:val="24"/>
                <w:szCs w:val="24"/>
              </w:rPr>
              <w:t>Iš viso Suomijoje užfiksuotas 91 užsienio investicijų projektas, iš kurių išsiskyrė aktyvumas gynybos sektoriuje. Šios išvados rodo, kad tarptautiniai investuotojai šalį vertina kaip vis patrauklesnę kryptį, ypač strategiškai svarbiose pramonės šakose.</w:t>
            </w:r>
          </w:p>
        </w:tc>
        <w:tc>
          <w:tcPr>
            <w:tcW w:w="2127" w:type="dxa"/>
            <w:tcMar>
              <w:top w:w="29" w:type="dxa"/>
              <w:left w:w="115" w:type="dxa"/>
              <w:bottom w:w="29" w:type="dxa"/>
              <w:right w:w="115" w:type="dxa"/>
            </w:tcMar>
          </w:tcPr>
          <w:p w14:paraId="13A7E0F8" w14:textId="3918DF3C" w:rsidR="0042658A" w:rsidRPr="00A73A93" w:rsidRDefault="00C65645" w:rsidP="00CD0EC9">
            <w:pPr>
              <w:spacing w:after="0" w:line="240" w:lineRule="auto"/>
              <w:jc w:val="both"/>
              <w:rPr>
                <w:rFonts w:ascii="Times New Roman" w:hAnsi="Times New Roman"/>
                <w:sz w:val="24"/>
                <w:szCs w:val="24"/>
              </w:rPr>
            </w:pPr>
            <w:hyperlink r:id="rId32" w:history="1">
              <w:r w:rsidRPr="00A73A93">
                <w:rPr>
                  <w:rStyle w:val="Hyperlink"/>
                  <w:rFonts w:ascii="Times New Roman" w:hAnsi="Times New Roman"/>
                  <w:color w:val="auto"/>
                  <w:sz w:val="24"/>
                  <w:szCs w:val="24"/>
                </w:rPr>
                <w:t>https://yle.fi/a/74-20227203</w:t>
              </w:r>
            </w:hyperlink>
            <w:r w:rsidRPr="00A73A93">
              <w:rPr>
                <w:rFonts w:ascii="Times New Roman" w:hAnsi="Times New Roman"/>
                <w:sz w:val="24"/>
                <w:szCs w:val="24"/>
              </w:rPr>
              <w:t xml:space="preserve"> </w:t>
            </w:r>
          </w:p>
        </w:tc>
      </w:tr>
      <w:tr w:rsidR="00B1677C" w:rsidRPr="00A73A93" w14:paraId="70ECD2B7" w14:textId="77777777" w:rsidTr="00334608">
        <w:trPr>
          <w:trHeight w:val="216"/>
        </w:trPr>
        <w:tc>
          <w:tcPr>
            <w:tcW w:w="1043" w:type="dxa"/>
            <w:gridSpan w:val="2"/>
            <w:tcMar>
              <w:top w:w="29" w:type="dxa"/>
              <w:left w:w="115" w:type="dxa"/>
              <w:bottom w:w="29" w:type="dxa"/>
              <w:right w:w="115" w:type="dxa"/>
            </w:tcMar>
          </w:tcPr>
          <w:p w14:paraId="1EE1333A" w14:textId="6CA71BCE" w:rsidR="00B1677C" w:rsidRPr="00A73A93" w:rsidRDefault="00B8614C" w:rsidP="00CD0EC9">
            <w:pPr>
              <w:spacing w:after="0" w:line="240" w:lineRule="auto"/>
              <w:jc w:val="both"/>
              <w:rPr>
                <w:rFonts w:ascii="Times New Roman" w:hAnsi="Times New Roman"/>
                <w:sz w:val="24"/>
                <w:szCs w:val="24"/>
              </w:rPr>
            </w:pPr>
            <w:r w:rsidRPr="00A73A93">
              <w:rPr>
                <w:rFonts w:ascii="Times New Roman" w:hAnsi="Times New Roman"/>
                <w:sz w:val="24"/>
                <w:szCs w:val="24"/>
              </w:rPr>
              <w:t>2026-05-25</w:t>
            </w:r>
          </w:p>
        </w:tc>
        <w:tc>
          <w:tcPr>
            <w:tcW w:w="5755" w:type="dxa"/>
            <w:tcMar>
              <w:top w:w="29" w:type="dxa"/>
              <w:left w:w="115" w:type="dxa"/>
              <w:bottom w:w="29" w:type="dxa"/>
              <w:right w:w="115" w:type="dxa"/>
            </w:tcMar>
          </w:tcPr>
          <w:p w14:paraId="40770911" w14:textId="4930432B" w:rsidR="00B1677C" w:rsidRPr="00A73A93" w:rsidRDefault="00B1677C" w:rsidP="00CD0EC9">
            <w:pPr>
              <w:spacing w:after="0" w:line="240" w:lineRule="auto"/>
              <w:jc w:val="both"/>
              <w:rPr>
                <w:rFonts w:ascii="Times New Roman" w:hAnsi="Times New Roman"/>
                <w:b/>
                <w:bCs/>
                <w:sz w:val="24"/>
                <w:szCs w:val="24"/>
              </w:rPr>
            </w:pPr>
            <w:r w:rsidRPr="00A73A93">
              <w:rPr>
                <w:rFonts w:ascii="Times New Roman" w:hAnsi="Times New Roman"/>
                <w:b/>
                <w:bCs/>
                <w:sz w:val="24"/>
                <w:szCs w:val="24"/>
              </w:rPr>
              <w:t xml:space="preserve">Suomija už valstybės skolinimąsi toliau moka brangiau – jos palūkanų normų skirtumas, lyginant su Vokietija, išlieka padidėjęs nepaisant narystės NATO ir sustiprinto saugumo. </w:t>
            </w:r>
            <w:r w:rsidRPr="00A73A93">
              <w:rPr>
                <w:rFonts w:ascii="Times New Roman" w:hAnsi="Times New Roman"/>
                <w:sz w:val="24"/>
                <w:szCs w:val="24"/>
              </w:rPr>
              <w:t>Skolinimosi kaštų šuolis, prasidėjęs po Rusijos invazijos į Ukrainą 2022 m. vasarį, neslūgsta dėl besitęsiančio geopolitinio neapibrėžtumo bei nerimo dėl laivybos maršrutų Baltijos jūroje. „Kuntarahoitus“ vyriausiojo ekonomisto Timo Vesalos teigimu, ši didesnė rizikos premija rodo rinkų susirūpinimą bendru regiono saugumu, o ne abejones pačios Suomijos mokesčių mokumu. Valstybės skolai artėjant prie 197 mlrd. eurų ribos, šios išaugusios palūkanos Suomijos mokesčių mokėtojams kasmet papildomai kainuoja kelis šimtus milijonų eurų.</w:t>
            </w:r>
          </w:p>
        </w:tc>
        <w:tc>
          <w:tcPr>
            <w:tcW w:w="2127" w:type="dxa"/>
            <w:tcMar>
              <w:top w:w="29" w:type="dxa"/>
              <w:left w:w="115" w:type="dxa"/>
              <w:bottom w:w="29" w:type="dxa"/>
              <w:right w:w="115" w:type="dxa"/>
            </w:tcMar>
          </w:tcPr>
          <w:p w14:paraId="31A3B894" w14:textId="560F19F2" w:rsidR="00B1677C" w:rsidRPr="00A73A93" w:rsidRDefault="000D50F6" w:rsidP="00CD0EC9">
            <w:pPr>
              <w:spacing w:after="0" w:line="240" w:lineRule="auto"/>
              <w:jc w:val="both"/>
              <w:rPr>
                <w:rFonts w:ascii="Times New Roman" w:hAnsi="Times New Roman"/>
                <w:sz w:val="24"/>
                <w:szCs w:val="24"/>
              </w:rPr>
            </w:pPr>
            <w:hyperlink r:id="rId33" w:history="1">
              <w:r w:rsidRPr="00A73A93">
                <w:rPr>
                  <w:rStyle w:val="Hyperlink"/>
                  <w:rFonts w:ascii="Times New Roman" w:hAnsi="Times New Roman"/>
                  <w:color w:val="auto"/>
                  <w:sz w:val="24"/>
                  <w:szCs w:val="24"/>
                </w:rPr>
                <w:t>https://yle.fi/a/74-20220547</w:t>
              </w:r>
            </w:hyperlink>
            <w:r w:rsidRPr="00A73A93">
              <w:rPr>
                <w:rFonts w:ascii="Times New Roman" w:hAnsi="Times New Roman"/>
                <w:sz w:val="24"/>
                <w:szCs w:val="24"/>
              </w:rPr>
              <w:t xml:space="preserve"> </w:t>
            </w:r>
          </w:p>
        </w:tc>
      </w:tr>
      <w:tr w:rsidR="001B6BD1" w:rsidRPr="00A73A93" w14:paraId="67F7BB3A" w14:textId="77777777" w:rsidTr="00334608">
        <w:trPr>
          <w:trHeight w:val="216"/>
        </w:trPr>
        <w:tc>
          <w:tcPr>
            <w:tcW w:w="1043" w:type="dxa"/>
            <w:gridSpan w:val="2"/>
            <w:tcMar>
              <w:top w:w="29" w:type="dxa"/>
              <w:left w:w="115" w:type="dxa"/>
              <w:bottom w:w="29" w:type="dxa"/>
              <w:right w:w="115" w:type="dxa"/>
            </w:tcMar>
          </w:tcPr>
          <w:p w14:paraId="1C0482D5" w14:textId="12A37CD6" w:rsidR="001B6BD1" w:rsidRPr="00A73A93" w:rsidRDefault="00F05348" w:rsidP="00CD0EC9">
            <w:pPr>
              <w:spacing w:after="0" w:line="240" w:lineRule="auto"/>
              <w:jc w:val="both"/>
              <w:rPr>
                <w:rFonts w:ascii="Times New Roman" w:hAnsi="Times New Roman"/>
                <w:sz w:val="24"/>
                <w:szCs w:val="24"/>
              </w:rPr>
            </w:pPr>
            <w:r w:rsidRPr="00A73A93">
              <w:rPr>
                <w:rFonts w:ascii="Times New Roman" w:hAnsi="Times New Roman"/>
                <w:sz w:val="24"/>
                <w:szCs w:val="24"/>
              </w:rPr>
              <w:t>2026-05-25</w:t>
            </w:r>
          </w:p>
        </w:tc>
        <w:tc>
          <w:tcPr>
            <w:tcW w:w="5755" w:type="dxa"/>
            <w:tcMar>
              <w:top w:w="29" w:type="dxa"/>
              <w:left w:w="115" w:type="dxa"/>
              <w:bottom w:w="29" w:type="dxa"/>
              <w:right w:w="115" w:type="dxa"/>
            </w:tcMar>
          </w:tcPr>
          <w:p w14:paraId="741BDD6C" w14:textId="5B5CF43C" w:rsidR="001B6BD1" w:rsidRPr="00A73A93" w:rsidRDefault="001B6BD1" w:rsidP="00CD0EC9">
            <w:pPr>
              <w:spacing w:after="0" w:line="240" w:lineRule="auto"/>
              <w:jc w:val="both"/>
              <w:rPr>
                <w:rFonts w:ascii="Times New Roman" w:hAnsi="Times New Roman"/>
                <w:b/>
                <w:bCs/>
                <w:sz w:val="24"/>
                <w:szCs w:val="24"/>
              </w:rPr>
            </w:pPr>
            <w:r w:rsidRPr="00A73A93">
              <w:rPr>
                <w:rFonts w:ascii="Times New Roman" w:hAnsi="Times New Roman"/>
                <w:b/>
                <w:bCs/>
                <w:sz w:val="24"/>
                <w:szCs w:val="24"/>
              </w:rPr>
              <w:t xml:space="preserve">Suomijos bendrovės „Green North Energy“ vadovo Jussi Ylineno teigimu, Nantalio mieste (Pietvakarių Suomija) planuojama žaliojo amoniako gamykla galėtų visiškai pakeisti Rusiją kaip amoniako tiekėją Suomijai. </w:t>
            </w:r>
            <w:r w:rsidRPr="00A73A93">
              <w:rPr>
                <w:rFonts w:ascii="Times New Roman" w:hAnsi="Times New Roman"/>
                <w:sz w:val="24"/>
                <w:szCs w:val="24"/>
              </w:rPr>
              <w:t xml:space="preserve">Aplinkosauginį patvirtinimą gavusi gamykla kasmet turėtų pagaminti apie 200 000 tonų amoniako, tačiau projektas vis dar yra planavimo stadijoje ir laukia galutinio investicinio sprendimo. Įmonė jau pasirašė sutartį dėl sklypo su Nantalio savivaldybe netoli uosto, </w:t>
            </w:r>
            <w:r w:rsidRPr="00A73A93">
              <w:rPr>
                <w:rFonts w:ascii="Times New Roman" w:hAnsi="Times New Roman"/>
                <w:sz w:val="24"/>
                <w:szCs w:val="24"/>
              </w:rPr>
              <w:lastRenderedPageBreak/>
              <w:t>kur šiuo metu vystoma infrastruktūra. Visgi dėl geopolitinio neapibrėžtumo ir didelio finansavimo poreikio techninio planavimo etape projektas vėluoja – veiklą pradėti dabar tikimasi 2031 arba 2032 metais.</w:t>
            </w:r>
          </w:p>
        </w:tc>
        <w:tc>
          <w:tcPr>
            <w:tcW w:w="2127" w:type="dxa"/>
            <w:tcMar>
              <w:top w:w="29" w:type="dxa"/>
              <w:left w:w="115" w:type="dxa"/>
              <w:bottom w:w="29" w:type="dxa"/>
              <w:right w:w="115" w:type="dxa"/>
            </w:tcMar>
          </w:tcPr>
          <w:p w14:paraId="6C0A7357" w14:textId="6883A520" w:rsidR="001B6BD1" w:rsidRPr="00A73A93" w:rsidRDefault="00F05348" w:rsidP="00CD0EC9">
            <w:pPr>
              <w:spacing w:after="0" w:line="240" w:lineRule="auto"/>
              <w:jc w:val="both"/>
              <w:rPr>
                <w:rFonts w:ascii="Times New Roman" w:hAnsi="Times New Roman"/>
                <w:sz w:val="24"/>
                <w:szCs w:val="24"/>
              </w:rPr>
            </w:pPr>
            <w:r w:rsidRPr="00A73A93">
              <w:rPr>
                <w:rFonts w:ascii="Times New Roman" w:hAnsi="Times New Roman"/>
                <w:sz w:val="24"/>
                <w:szCs w:val="24"/>
              </w:rPr>
              <w:lastRenderedPageBreak/>
              <w:t>https://yle.fi/a/74-20227066</w:t>
            </w:r>
          </w:p>
        </w:tc>
      </w:tr>
      <w:tr w:rsidR="001928B6" w:rsidRPr="00A73A93" w14:paraId="12F15668" w14:textId="77777777" w:rsidTr="00334608">
        <w:trPr>
          <w:trHeight w:val="216"/>
        </w:trPr>
        <w:tc>
          <w:tcPr>
            <w:tcW w:w="1043" w:type="dxa"/>
            <w:gridSpan w:val="2"/>
            <w:tcMar>
              <w:top w:w="29" w:type="dxa"/>
              <w:left w:w="115" w:type="dxa"/>
              <w:bottom w:w="29" w:type="dxa"/>
              <w:right w:w="115" w:type="dxa"/>
            </w:tcMar>
          </w:tcPr>
          <w:p w14:paraId="75BCE6CB" w14:textId="451C9EBF" w:rsidR="001928B6" w:rsidRPr="00A73A93" w:rsidRDefault="00A73A93" w:rsidP="00CD0EC9">
            <w:pPr>
              <w:spacing w:after="0" w:line="240" w:lineRule="auto"/>
              <w:jc w:val="both"/>
              <w:rPr>
                <w:rFonts w:ascii="Times New Roman" w:hAnsi="Times New Roman"/>
                <w:sz w:val="24"/>
                <w:szCs w:val="24"/>
              </w:rPr>
            </w:pPr>
            <w:r w:rsidRPr="00A73A93">
              <w:rPr>
                <w:rFonts w:ascii="Times New Roman" w:hAnsi="Times New Roman"/>
                <w:sz w:val="24"/>
                <w:szCs w:val="24"/>
              </w:rPr>
              <w:t>2026-05-25</w:t>
            </w:r>
          </w:p>
        </w:tc>
        <w:tc>
          <w:tcPr>
            <w:tcW w:w="5755" w:type="dxa"/>
            <w:tcMar>
              <w:top w:w="29" w:type="dxa"/>
              <w:left w:w="115" w:type="dxa"/>
              <w:bottom w:w="29" w:type="dxa"/>
              <w:right w:w="115" w:type="dxa"/>
            </w:tcMar>
          </w:tcPr>
          <w:p w14:paraId="6AEEF693" w14:textId="5CDB8A3A" w:rsidR="001928B6" w:rsidRPr="00A73A93" w:rsidRDefault="001928B6" w:rsidP="00CD0EC9">
            <w:pPr>
              <w:spacing w:after="0" w:line="240" w:lineRule="auto"/>
              <w:jc w:val="both"/>
              <w:rPr>
                <w:rFonts w:ascii="Times New Roman" w:hAnsi="Times New Roman"/>
                <w:b/>
                <w:bCs/>
                <w:sz w:val="24"/>
                <w:szCs w:val="24"/>
              </w:rPr>
            </w:pPr>
            <w:r w:rsidRPr="00A73A93">
              <w:rPr>
                <w:rFonts w:ascii="Times New Roman" w:hAnsi="Times New Roman"/>
                <w:b/>
                <w:bCs/>
                <w:sz w:val="24"/>
                <w:szCs w:val="24"/>
              </w:rPr>
              <w:t xml:space="preserve">Laplandijos įmonių apyvarta per metus išaugo 4,2 % ir pasiekė maždaug 17 mlrd. eurų. Šis augimas pastebimai lenkia Suomijos šalies vidurkį, kuris siekė vos 1,6 %. </w:t>
            </w:r>
            <w:r w:rsidRPr="00A73A93">
              <w:rPr>
                <w:rFonts w:ascii="Times New Roman" w:hAnsi="Times New Roman"/>
                <w:sz w:val="24"/>
                <w:szCs w:val="24"/>
              </w:rPr>
              <w:t>Pagrindiniais regiono plėtros varikliais tapo turizmo ir kasybos sektoriai – pastarojo apyvarta šovė į viršų net 17,5 %. Priešingai nei likusioje šalies dalyje,</w:t>
            </w:r>
            <w:r w:rsidRPr="00A73A93">
              <w:rPr>
                <w:rFonts w:ascii="Times New Roman" w:hAnsi="Times New Roman"/>
                <w:b/>
                <w:bCs/>
                <w:sz w:val="24"/>
                <w:szCs w:val="24"/>
              </w:rPr>
              <w:t xml:space="preserve"> </w:t>
            </w:r>
            <w:r w:rsidRPr="00A73A93">
              <w:rPr>
                <w:rFonts w:ascii="Times New Roman" w:hAnsi="Times New Roman"/>
                <w:sz w:val="24"/>
                <w:szCs w:val="24"/>
              </w:rPr>
              <w:t>kur fiksuojamas susitraukimas, Laplandijos statybų sektorius taip pat augo 5,6 %, o tai iš dalies lėmė didelės investicijos į turizmo infrastruktūrą.</w:t>
            </w:r>
          </w:p>
        </w:tc>
        <w:tc>
          <w:tcPr>
            <w:tcW w:w="2127" w:type="dxa"/>
            <w:tcMar>
              <w:top w:w="29" w:type="dxa"/>
              <w:left w:w="115" w:type="dxa"/>
              <w:bottom w:w="29" w:type="dxa"/>
              <w:right w:w="115" w:type="dxa"/>
            </w:tcMar>
          </w:tcPr>
          <w:p w14:paraId="6C7656EB" w14:textId="2D2FF759" w:rsidR="001928B6" w:rsidRPr="00A73A93" w:rsidRDefault="00A73A93" w:rsidP="00CD0EC9">
            <w:pPr>
              <w:spacing w:after="0" w:line="240" w:lineRule="auto"/>
              <w:jc w:val="both"/>
              <w:rPr>
                <w:rFonts w:ascii="Times New Roman" w:hAnsi="Times New Roman"/>
                <w:sz w:val="24"/>
                <w:szCs w:val="24"/>
              </w:rPr>
            </w:pPr>
            <w:hyperlink r:id="rId34" w:history="1">
              <w:r w:rsidRPr="00A73A93">
                <w:rPr>
                  <w:rStyle w:val="Hyperlink"/>
                  <w:rFonts w:ascii="Times New Roman" w:hAnsi="Times New Roman"/>
                  <w:color w:val="auto"/>
                  <w:sz w:val="24"/>
                  <w:szCs w:val="24"/>
                </w:rPr>
                <w:t>https://yle.fi/a/74-20227705</w:t>
              </w:r>
            </w:hyperlink>
            <w:r w:rsidRPr="00A73A93">
              <w:rPr>
                <w:rFonts w:ascii="Times New Roman" w:hAnsi="Times New Roman"/>
                <w:sz w:val="24"/>
                <w:szCs w:val="24"/>
              </w:rPr>
              <w:t xml:space="preserve"> </w:t>
            </w:r>
          </w:p>
        </w:tc>
      </w:tr>
      <w:tr w:rsidR="00575C71" w:rsidRPr="00A73A93" w14:paraId="3BE38B8B" w14:textId="77777777" w:rsidTr="00334608">
        <w:trPr>
          <w:trHeight w:val="216"/>
        </w:trPr>
        <w:tc>
          <w:tcPr>
            <w:tcW w:w="1043" w:type="dxa"/>
            <w:gridSpan w:val="2"/>
            <w:tcMar>
              <w:top w:w="29" w:type="dxa"/>
              <w:left w:w="115" w:type="dxa"/>
              <w:bottom w:w="29" w:type="dxa"/>
              <w:right w:w="115" w:type="dxa"/>
            </w:tcMar>
          </w:tcPr>
          <w:p w14:paraId="37173317" w14:textId="6F9EC97F" w:rsidR="00575C71" w:rsidRPr="00A73A93" w:rsidRDefault="0067557E" w:rsidP="00CD0EC9">
            <w:pPr>
              <w:spacing w:after="0" w:line="240" w:lineRule="auto"/>
              <w:jc w:val="both"/>
              <w:rPr>
                <w:rFonts w:ascii="Times New Roman" w:hAnsi="Times New Roman"/>
                <w:sz w:val="24"/>
                <w:szCs w:val="24"/>
              </w:rPr>
            </w:pPr>
            <w:r w:rsidRPr="00A73A93">
              <w:rPr>
                <w:rFonts w:ascii="Times New Roman" w:hAnsi="Times New Roman"/>
                <w:sz w:val="24"/>
                <w:szCs w:val="24"/>
              </w:rPr>
              <w:t>2026-05-29</w:t>
            </w:r>
          </w:p>
        </w:tc>
        <w:tc>
          <w:tcPr>
            <w:tcW w:w="5755" w:type="dxa"/>
            <w:tcMar>
              <w:top w:w="29" w:type="dxa"/>
              <w:left w:w="115" w:type="dxa"/>
              <w:bottom w:w="29" w:type="dxa"/>
              <w:right w:w="115" w:type="dxa"/>
            </w:tcMar>
          </w:tcPr>
          <w:p w14:paraId="100FBA3F" w14:textId="279EA1BC" w:rsidR="00575C71" w:rsidRPr="00A73A93" w:rsidRDefault="00575C71" w:rsidP="00CD0EC9">
            <w:pPr>
              <w:spacing w:after="0" w:line="240" w:lineRule="auto"/>
              <w:jc w:val="both"/>
              <w:rPr>
                <w:rFonts w:ascii="Times New Roman" w:hAnsi="Times New Roman"/>
                <w:b/>
                <w:bCs/>
                <w:sz w:val="24"/>
                <w:szCs w:val="24"/>
              </w:rPr>
            </w:pPr>
            <w:r w:rsidRPr="00A73A93">
              <w:rPr>
                <w:rFonts w:ascii="Times New Roman" w:hAnsi="Times New Roman"/>
                <w:b/>
                <w:bCs/>
                <w:sz w:val="24"/>
                <w:szCs w:val="24"/>
              </w:rPr>
              <w:t>Kokolos–Krunupio</w:t>
            </w:r>
            <w:r w:rsidR="00A0129B">
              <w:rPr>
                <w:rFonts w:ascii="Times New Roman" w:hAnsi="Times New Roman"/>
                <w:b/>
                <w:bCs/>
                <w:sz w:val="24"/>
                <w:szCs w:val="24"/>
              </w:rPr>
              <w:t xml:space="preserve"> </w:t>
            </w:r>
            <w:r w:rsidRPr="00A73A93">
              <w:rPr>
                <w:rFonts w:ascii="Times New Roman" w:hAnsi="Times New Roman"/>
                <w:b/>
                <w:bCs/>
                <w:sz w:val="24"/>
                <w:szCs w:val="24"/>
              </w:rPr>
              <w:t>regione (</w:t>
            </w:r>
            <w:r w:rsidR="00A13987" w:rsidRPr="00A73A93">
              <w:rPr>
                <w:rFonts w:ascii="Times New Roman" w:hAnsi="Times New Roman"/>
                <w:b/>
                <w:bCs/>
                <w:sz w:val="24"/>
                <w:szCs w:val="24"/>
              </w:rPr>
              <w:t>Vakarų Suomija</w:t>
            </w:r>
            <w:r w:rsidRPr="00A73A93">
              <w:rPr>
                <w:rFonts w:ascii="Times New Roman" w:hAnsi="Times New Roman"/>
                <w:b/>
                <w:bCs/>
                <w:sz w:val="24"/>
                <w:szCs w:val="24"/>
              </w:rPr>
              <w:t xml:space="preserve">) planuojama mažai anglies dioksido į aplinką išskirianti aliuminio gamykla pareikalautų 4,7 mlrd. eurų investicijų ir taptų vienu didžiausių dešimtmečio pramonės projektų Suomijoje. </w:t>
            </w:r>
            <w:r w:rsidRPr="00A73A93">
              <w:rPr>
                <w:rFonts w:ascii="Times New Roman" w:hAnsi="Times New Roman"/>
                <w:sz w:val="24"/>
                <w:szCs w:val="24"/>
              </w:rPr>
              <w:t>Bendrovės „Arctial“ vystomas objektas kasmet pagamintų 610 000 tonų aliuminio ir apie 20 % padidintų visos Europos gamybą, taip sustiprindamas žemyno strateginę autonomiją žaliavų srityje. Galutinį investicinį sprendimą įmonė tikisi priimti kitąmet, o gamybą pradėti – 2030 m. Nors gamyklos anglies pėdsakas būtų gerokai mažesnis už pramonės vidurkį, jos metinis elektros suvartojimas sudarytų apie 10 % dabartinio Suomijos poreikio.</w:t>
            </w:r>
          </w:p>
        </w:tc>
        <w:tc>
          <w:tcPr>
            <w:tcW w:w="2127" w:type="dxa"/>
            <w:tcMar>
              <w:top w:w="29" w:type="dxa"/>
              <w:left w:w="115" w:type="dxa"/>
              <w:bottom w:w="29" w:type="dxa"/>
              <w:right w:w="115" w:type="dxa"/>
            </w:tcMar>
          </w:tcPr>
          <w:p w14:paraId="4668C1E7" w14:textId="14D2D3B9" w:rsidR="00575C71" w:rsidRPr="00A73A93" w:rsidRDefault="0067557E" w:rsidP="00CD0EC9">
            <w:pPr>
              <w:spacing w:after="0" w:line="240" w:lineRule="auto"/>
              <w:jc w:val="both"/>
              <w:rPr>
                <w:rFonts w:ascii="Times New Roman" w:hAnsi="Times New Roman"/>
                <w:sz w:val="24"/>
                <w:szCs w:val="24"/>
              </w:rPr>
            </w:pPr>
            <w:hyperlink r:id="rId35" w:history="1">
              <w:r w:rsidRPr="00A73A93">
                <w:rPr>
                  <w:rStyle w:val="Hyperlink"/>
                  <w:rFonts w:ascii="Times New Roman" w:hAnsi="Times New Roman"/>
                  <w:color w:val="auto"/>
                  <w:sz w:val="24"/>
                  <w:szCs w:val="24"/>
                </w:rPr>
                <w:t>https://www.hs.fi/visio/art-2000012033668.html</w:t>
              </w:r>
            </w:hyperlink>
            <w:r w:rsidRPr="00A73A93">
              <w:rPr>
                <w:rFonts w:ascii="Times New Roman" w:hAnsi="Times New Roman"/>
                <w:sz w:val="24"/>
                <w:szCs w:val="24"/>
              </w:rPr>
              <w:t xml:space="preserve"> </w:t>
            </w:r>
          </w:p>
        </w:tc>
      </w:tr>
    </w:tbl>
    <w:p w14:paraId="6F8266A1" w14:textId="77777777" w:rsidR="004466AC" w:rsidRPr="00A73A93" w:rsidRDefault="004466AC" w:rsidP="00CD0EC9">
      <w:pPr>
        <w:spacing w:after="0" w:line="240" w:lineRule="auto"/>
        <w:jc w:val="both"/>
        <w:rPr>
          <w:rFonts w:ascii="Times New Roman" w:hAnsi="Times New Roman"/>
          <w:sz w:val="24"/>
          <w:szCs w:val="24"/>
        </w:rPr>
      </w:pPr>
    </w:p>
    <w:p w14:paraId="78A8343C" w14:textId="5E0DD06D" w:rsidR="004466AC" w:rsidRPr="00A73A93" w:rsidRDefault="004466AC" w:rsidP="00CD0EC9">
      <w:pPr>
        <w:spacing w:after="0" w:line="240" w:lineRule="auto"/>
        <w:jc w:val="both"/>
        <w:rPr>
          <w:rFonts w:ascii="Times New Roman" w:hAnsi="Times New Roman"/>
          <w:sz w:val="24"/>
          <w:szCs w:val="24"/>
        </w:rPr>
      </w:pPr>
      <w:r w:rsidRPr="00A73A93">
        <w:rPr>
          <w:rFonts w:ascii="Times New Roman" w:hAnsi="Times New Roman"/>
          <w:sz w:val="24"/>
          <w:szCs w:val="24"/>
        </w:rPr>
        <w:t>Rengėjas:</w:t>
      </w:r>
    </w:p>
    <w:p w14:paraId="2C41EA51" w14:textId="77777777" w:rsidR="00BF5B96" w:rsidRPr="00A73A93" w:rsidRDefault="005901D8" w:rsidP="00CD0EC9">
      <w:pPr>
        <w:spacing w:after="0" w:line="240" w:lineRule="auto"/>
        <w:jc w:val="both"/>
        <w:rPr>
          <w:rFonts w:ascii="Times New Roman" w:hAnsi="Times New Roman"/>
          <w:sz w:val="24"/>
          <w:szCs w:val="24"/>
          <w:lang w:val="de-DE"/>
        </w:rPr>
      </w:pPr>
      <w:r w:rsidRPr="00A73A93">
        <w:rPr>
          <w:rFonts w:ascii="Times New Roman" w:hAnsi="Times New Roman"/>
          <w:sz w:val="24"/>
          <w:szCs w:val="24"/>
        </w:rPr>
        <w:t xml:space="preserve">LR ambasados Suomijoje trečiasis sekretorius Žymantas Mozūraitis, </w:t>
      </w:r>
      <w:r w:rsidR="00BF5B96" w:rsidRPr="00A73A93">
        <w:rPr>
          <w:rFonts w:ascii="Times New Roman" w:hAnsi="Times New Roman"/>
          <w:sz w:val="24"/>
          <w:szCs w:val="24"/>
          <w:lang w:val="de-DE"/>
        </w:rPr>
        <w:t>+358 408010195</w:t>
      </w:r>
    </w:p>
    <w:p w14:paraId="292F8DEC" w14:textId="4F8935B1" w:rsidR="00B2549A" w:rsidRPr="00A73A93" w:rsidRDefault="005901D8" w:rsidP="00CD0EC9">
      <w:pPr>
        <w:spacing w:after="0" w:line="240" w:lineRule="auto"/>
        <w:jc w:val="both"/>
        <w:rPr>
          <w:rFonts w:ascii="Times New Roman" w:hAnsi="Times New Roman"/>
          <w:sz w:val="24"/>
          <w:szCs w:val="24"/>
        </w:rPr>
      </w:pPr>
      <w:hyperlink r:id="rId36" w:history="1">
        <w:r w:rsidRPr="00A73A93">
          <w:rPr>
            <w:rStyle w:val="Hyperlink"/>
            <w:rFonts w:ascii="Times New Roman" w:hAnsi="Times New Roman"/>
            <w:color w:val="auto"/>
            <w:sz w:val="24"/>
            <w:szCs w:val="24"/>
          </w:rPr>
          <w:t>zymantas.mozuraitis@urm.lt</w:t>
        </w:r>
      </w:hyperlink>
      <w:r w:rsidRPr="00A73A93">
        <w:rPr>
          <w:rFonts w:ascii="Times New Roman" w:hAnsi="Times New Roman"/>
          <w:sz w:val="24"/>
          <w:szCs w:val="24"/>
        </w:rPr>
        <w:t>        </w:t>
      </w:r>
    </w:p>
    <w:sectPr w:rsidR="00B2549A" w:rsidRPr="00A73A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F5D51"/>
    <w:multiLevelType w:val="hybridMultilevel"/>
    <w:tmpl w:val="7B7CBD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7048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C"/>
    <w:rsid w:val="000000C1"/>
    <w:rsid w:val="0000264B"/>
    <w:rsid w:val="00003722"/>
    <w:rsid w:val="000038F6"/>
    <w:rsid w:val="00005238"/>
    <w:rsid w:val="00005815"/>
    <w:rsid w:val="000061CD"/>
    <w:rsid w:val="00006D17"/>
    <w:rsid w:val="00007966"/>
    <w:rsid w:val="00011FD0"/>
    <w:rsid w:val="000124A4"/>
    <w:rsid w:val="00012547"/>
    <w:rsid w:val="000131B6"/>
    <w:rsid w:val="00023AB7"/>
    <w:rsid w:val="0002546A"/>
    <w:rsid w:val="000303C5"/>
    <w:rsid w:val="000304EC"/>
    <w:rsid w:val="00031188"/>
    <w:rsid w:val="000328AB"/>
    <w:rsid w:val="00032D4D"/>
    <w:rsid w:val="00033D0D"/>
    <w:rsid w:val="00034EAE"/>
    <w:rsid w:val="000352EB"/>
    <w:rsid w:val="00035DA2"/>
    <w:rsid w:val="00036350"/>
    <w:rsid w:val="00040729"/>
    <w:rsid w:val="00040A92"/>
    <w:rsid w:val="00041870"/>
    <w:rsid w:val="00044912"/>
    <w:rsid w:val="00044C24"/>
    <w:rsid w:val="00046914"/>
    <w:rsid w:val="0004797D"/>
    <w:rsid w:val="00047FDF"/>
    <w:rsid w:val="000508CB"/>
    <w:rsid w:val="00051675"/>
    <w:rsid w:val="000534EC"/>
    <w:rsid w:val="00056534"/>
    <w:rsid w:val="00056A37"/>
    <w:rsid w:val="00056F92"/>
    <w:rsid w:val="000607B6"/>
    <w:rsid w:val="000618BD"/>
    <w:rsid w:val="00073497"/>
    <w:rsid w:val="000747CD"/>
    <w:rsid w:val="00084EB8"/>
    <w:rsid w:val="00086D29"/>
    <w:rsid w:val="00092013"/>
    <w:rsid w:val="0009214C"/>
    <w:rsid w:val="00092B7E"/>
    <w:rsid w:val="00093E8B"/>
    <w:rsid w:val="00097E93"/>
    <w:rsid w:val="000A3BE4"/>
    <w:rsid w:val="000A44F4"/>
    <w:rsid w:val="000A4C49"/>
    <w:rsid w:val="000A5503"/>
    <w:rsid w:val="000A5664"/>
    <w:rsid w:val="000A653C"/>
    <w:rsid w:val="000B1B94"/>
    <w:rsid w:val="000B4F13"/>
    <w:rsid w:val="000B57CE"/>
    <w:rsid w:val="000B68C6"/>
    <w:rsid w:val="000C0908"/>
    <w:rsid w:val="000C54B9"/>
    <w:rsid w:val="000C665E"/>
    <w:rsid w:val="000D299E"/>
    <w:rsid w:val="000D2FB4"/>
    <w:rsid w:val="000D336C"/>
    <w:rsid w:val="000D50F6"/>
    <w:rsid w:val="000E1B67"/>
    <w:rsid w:val="000E271C"/>
    <w:rsid w:val="000E5CA6"/>
    <w:rsid w:val="000E7EC2"/>
    <w:rsid w:val="000F310F"/>
    <w:rsid w:val="000F48DA"/>
    <w:rsid w:val="000F4F3D"/>
    <w:rsid w:val="000F5ED0"/>
    <w:rsid w:val="000F7A62"/>
    <w:rsid w:val="00105105"/>
    <w:rsid w:val="00105247"/>
    <w:rsid w:val="0010770B"/>
    <w:rsid w:val="001140C7"/>
    <w:rsid w:val="0012012C"/>
    <w:rsid w:val="001225B0"/>
    <w:rsid w:val="0012333B"/>
    <w:rsid w:val="00126B9C"/>
    <w:rsid w:val="001301A2"/>
    <w:rsid w:val="00130B52"/>
    <w:rsid w:val="001315C9"/>
    <w:rsid w:val="00133C94"/>
    <w:rsid w:val="00141979"/>
    <w:rsid w:val="00143BE5"/>
    <w:rsid w:val="00144695"/>
    <w:rsid w:val="00144EF8"/>
    <w:rsid w:val="00144F0D"/>
    <w:rsid w:val="0014505C"/>
    <w:rsid w:val="00145C20"/>
    <w:rsid w:val="001509CB"/>
    <w:rsid w:val="001522CB"/>
    <w:rsid w:val="00155254"/>
    <w:rsid w:val="0015619E"/>
    <w:rsid w:val="00163105"/>
    <w:rsid w:val="00166854"/>
    <w:rsid w:val="00167298"/>
    <w:rsid w:val="001700A7"/>
    <w:rsid w:val="00171993"/>
    <w:rsid w:val="00171F42"/>
    <w:rsid w:val="001745EB"/>
    <w:rsid w:val="0017538D"/>
    <w:rsid w:val="00182F55"/>
    <w:rsid w:val="00183C7A"/>
    <w:rsid w:val="00183D7B"/>
    <w:rsid w:val="00184D4E"/>
    <w:rsid w:val="00186824"/>
    <w:rsid w:val="00186DBD"/>
    <w:rsid w:val="001926D5"/>
    <w:rsid w:val="001928B6"/>
    <w:rsid w:val="00193EBC"/>
    <w:rsid w:val="001956E5"/>
    <w:rsid w:val="001962DE"/>
    <w:rsid w:val="0019705D"/>
    <w:rsid w:val="001972A1"/>
    <w:rsid w:val="001972BC"/>
    <w:rsid w:val="001977DC"/>
    <w:rsid w:val="001A2A1E"/>
    <w:rsid w:val="001A2E9F"/>
    <w:rsid w:val="001A41E2"/>
    <w:rsid w:val="001A5FD3"/>
    <w:rsid w:val="001B1A8A"/>
    <w:rsid w:val="001B246D"/>
    <w:rsid w:val="001B4083"/>
    <w:rsid w:val="001B6BD1"/>
    <w:rsid w:val="001C1080"/>
    <w:rsid w:val="001C16D6"/>
    <w:rsid w:val="001C62A3"/>
    <w:rsid w:val="001D287D"/>
    <w:rsid w:val="001D2FEE"/>
    <w:rsid w:val="001D3EA7"/>
    <w:rsid w:val="001D52A5"/>
    <w:rsid w:val="001D54FD"/>
    <w:rsid w:val="001D61A4"/>
    <w:rsid w:val="001E10F9"/>
    <w:rsid w:val="001E1534"/>
    <w:rsid w:val="001E227F"/>
    <w:rsid w:val="001E500D"/>
    <w:rsid w:val="001F74C6"/>
    <w:rsid w:val="001F7AB4"/>
    <w:rsid w:val="002054C2"/>
    <w:rsid w:val="00206FFE"/>
    <w:rsid w:val="0020716E"/>
    <w:rsid w:val="00212130"/>
    <w:rsid w:val="00213307"/>
    <w:rsid w:val="0021385E"/>
    <w:rsid w:val="00214664"/>
    <w:rsid w:val="002151B6"/>
    <w:rsid w:val="00215548"/>
    <w:rsid w:val="002179D5"/>
    <w:rsid w:val="00221D41"/>
    <w:rsid w:val="00222FE3"/>
    <w:rsid w:val="00226E49"/>
    <w:rsid w:val="00232510"/>
    <w:rsid w:val="00233A22"/>
    <w:rsid w:val="00235D65"/>
    <w:rsid w:val="002412F4"/>
    <w:rsid w:val="002413AC"/>
    <w:rsid w:val="00242C85"/>
    <w:rsid w:val="00245373"/>
    <w:rsid w:val="00245F6D"/>
    <w:rsid w:val="0025115D"/>
    <w:rsid w:val="00251187"/>
    <w:rsid w:val="00252683"/>
    <w:rsid w:val="002538CD"/>
    <w:rsid w:val="002557A1"/>
    <w:rsid w:val="002562F3"/>
    <w:rsid w:val="002569E6"/>
    <w:rsid w:val="00257899"/>
    <w:rsid w:val="00265AA0"/>
    <w:rsid w:val="00266585"/>
    <w:rsid w:val="0027288E"/>
    <w:rsid w:val="002729CC"/>
    <w:rsid w:val="00274CDD"/>
    <w:rsid w:val="00276F47"/>
    <w:rsid w:val="00280BBC"/>
    <w:rsid w:val="00281ED8"/>
    <w:rsid w:val="002829E9"/>
    <w:rsid w:val="0028307D"/>
    <w:rsid w:val="00283D53"/>
    <w:rsid w:val="00283ED6"/>
    <w:rsid w:val="0028473E"/>
    <w:rsid w:val="00286A4C"/>
    <w:rsid w:val="002879DF"/>
    <w:rsid w:val="0029451A"/>
    <w:rsid w:val="002A3EA8"/>
    <w:rsid w:val="002A7A7C"/>
    <w:rsid w:val="002A7D4D"/>
    <w:rsid w:val="002B3980"/>
    <w:rsid w:val="002B3E64"/>
    <w:rsid w:val="002B7CC2"/>
    <w:rsid w:val="002C13E8"/>
    <w:rsid w:val="002C4D04"/>
    <w:rsid w:val="002C6DD4"/>
    <w:rsid w:val="002C7174"/>
    <w:rsid w:val="002C7381"/>
    <w:rsid w:val="002D1645"/>
    <w:rsid w:val="002D28BC"/>
    <w:rsid w:val="002D3C70"/>
    <w:rsid w:val="002D4A15"/>
    <w:rsid w:val="002D5B6F"/>
    <w:rsid w:val="002E1A06"/>
    <w:rsid w:val="002E396A"/>
    <w:rsid w:val="002E57A2"/>
    <w:rsid w:val="002E7285"/>
    <w:rsid w:val="002E7CD3"/>
    <w:rsid w:val="002F331E"/>
    <w:rsid w:val="002F6382"/>
    <w:rsid w:val="002F6748"/>
    <w:rsid w:val="002F69EC"/>
    <w:rsid w:val="002F748A"/>
    <w:rsid w:val="003002BF"/>
    <w:rsid w:val="00302194"/>
    <w:rsid w:val="0032225E"/>
    <w:rsid w:val="00324B71"/>
    <w:rsid w:val="00326BE5"/>
    <w:rsid w:val="00331445"/>
    <w:rsid w:val="00334608"/>
    <w:rsid w:val="00336C70"/>
    <w:rsid w:val="0033767D"/>
    <w:rsid w:val="00337682"/>
    <w:rsid w:val="00343CD6"/>
    <w:rsid w:val="00344E82"/>
    <w:rsid w:val="00344F5E"/>
    <w:rsid w:val="00345A11"/>
    <w:rsid w:val="00347A48"/>
    <w:rsid w:val="00350B2E"/>
    <w:rsid w:val="003535A6"/>
    <w:rsid w:val="0035381F"/>
    <w:rsid w:val="003538AF"/>
    <w:rsid w:val="0035698C"/>
    <w:rsid w:val="00361F08"/>
    <w:rsid w:val="00362A15"/>
    <w:rsid w:val="00363641"/>
    <w:rsid w:val="00363ADC"/>
    <w:rsid w:val="00364222"/>
    <w:rsid w:val="0036449B"/>
    <w:rsid w:val="00364995"/>
    <w:rsid w:val="003707E2"/>
    <w:rsid w:val="00372C79"/>
    <w:rsid w:val="003753F3"/>
    <w:rsid w:val="003779C3"/>
    <w:rsid w:val="003848B9"/>
    <w:rsid w:val="00393811"/>
    <w:rsid w:val="00394006"/>
    <w:rsid w:val="0039436A"/>
    <w:rsid w:val="00396FAF"/>
    <w:rsid w:val="00397FDB"/>
    <w:rsid w:val="003A076D"/>
    <w:rsid w:val="003A12F7"/>
    <w:rsid w:val="003A164B"/>
    <w:rsid w:val="003A2204"/>
    <w:rsid w:val="003A3707"/>
    <w:rsid w:val="003B138A"/>
    <w:rsid w:val="003B22B1"/>
    <w:rsid w:val="003B27CB"/>
    <w:rsid w:val="003B299C"/>
    <w:rsid w:val="003B38CE"/>
    <w:rsid w:val="003B3D23"/>
    <w:rsid w:val="003B55D0"/>
    <w:rsid w:val="003B5C64"/>
    <w:rsid w:val="003B5EA9"/>
    <w:rsid w:val="003B6F52"/>
    <w:rsid w:val="003C2781"/>
    <w:rsid w:val="003C31DD"/>
    <w:rsid w:val="003C31EF"/>
    <w:rsid w:val="003C60D7"/>
    <w:rsid w:val="003C7392"/>
    <w:rsid w:val="003D0CFE"/>
    <w:rsid w:val="003D104C"/>
    <w:rsid w:val="003D513B"/>
    <w:rsid w:val="003E08AE"/>
    <w:rsid w:val="003E2C9A"/>
    <w:rsid w:val="003E3122"/>
    <w:rsid w:val="003E346C"/>
    <w:rsid w:val="003E43BD"/>
    <w:rsid w:val="003E7EEB"/>
    <w:rsid w:val="003F024B"/>
    <w:rsid w:val="003F5415"/>
    <w:rsid w:val="003F5B80"/>
    <w:rsid w:val="003F6A59"/>
    <w:rsid w:val="00402BF5"/>
    <w:rsid w:val="0040464F"/>
    <w:rsid w:val="0040502E"/>
    <w:rsid w:val="00406613"/>
    <w:rsid w:val="00406748"/>
    <w:rsid w:val="00406FEE"/>
    <w:rsid w:val="0040702E"/>
    <w:rsid w:val="004070D8"/>
    <w:rsid w:val="0041021F"/>
    <w:rsid w:val="00412A07"/>
    <w:rsid w:val="0041370A"/>
    <w:rsid w:val="00421114"/>
    <w:rsid w:val="00422768"/>
    <w:rsid w:val="00423D1D"/>
    <w:rsid w:val="00424E16"/>
    <w:rsid w:val="00424F4B"/>
    <w:rsid w:val="0042658A"/>
    <w:rsid w:val="00427A5A"/>
    <w:rsid w:val="00430BB5"/>
    <w:rsid w:val="00431FAF"/>
    <w:rsid w:val="00432610"/>
    <w:rsid w:val="00437B76"/>
    <w:rsid w:val="00440293"/>
    <w:rsid w:val="00440BD2"/>
    <w:rsid w:val="00444C77"/>
    <w:rsid w:val="004461EE"/>
    <w:rsid w:val="004466AC"/>
    <w:rsid w:val="004467F1"/>
    <w:rsid w:val="004476F3"/>
    <w:rsid w:val="00455B86"/>
    <w:rsid w:val="00456D70"/>
    <w:rsid w:val="0046061F"/>
    <w:rsid w:val="00463FE7"/>
    <w:rsid w:val="00465291"/>
    <w:rsid w:val="00465840"/>
    <w:rsid w:val="00466378"/>
    <w:rsid w:val="004709E2"/>
    <w:rsid w:val="00470C16"/>
    <w:rsid w:val="004739B3"/>
    <w:rsid w:val="004739DF"/>
    <w:rsid w:val="00476420"/>
    <w:rsid w:val="00481A8C"/>
    <w:rsid w:val="004941E6"/>
    <w:rsid w:val="00497F84"/>
    <w:rsid w:val="004A297E"/>
    <w:rsid w:val="004A3B85"/>
    <w:rsid w:val="004A50A6"/>
    <w:rsid w:val="004A652C"/>
    <w:rsid w:val="004A7E12"/>
    <w:rsid w:val="004B6338"/>
    <w:rsid w:val="004C3477"/>
    <w:rsid w:val="004C7A4D"/>
    <w:rsid w:val="004D151C"/>
    <w:rsid w:val="004D3968"/>
    <w:rsid w:val="004D63A0"/>
    <w:rsid w:val="004D69E9"/>
    <w:rsid w:val="004D6EAA"/>
    <w:rsid w:val="004E15D7"/>
    <w:rsid w:val="004E2CB3"/>
    <w:rsid w:val="004E359B"/>
    <w:rsid w:val="004E39B2"/>
    <w:rsid w:val="004E7708"/>
    <w:rsid w:val="004F16EF"/>
    <w:rsid w:val="004F56F3"/>
    <w:rsid w:val="004F6922"/>
    <w:rsid w:val="004F6B16"/>
    <w:rsid w:val="00501997"/>
    <w:rsid w:val="00501E56"/>
    <w:rsid w:val="00513B20"/>
    <w:rsid w:val="0051459C"/>
    <w:rsid w:val="00525D47"/>
    <w:rsid w:val="005272E6"/>
    <w:rsid w:val="0052791F"/>
    <w:rsid w:val="005309BA"/>
    <w:rsid w:val="00532587"/>
    <w:rsid w:val="0053274A"/>
    <w:rsid w:val="00533C3E"/>
    <w:rsid w:val="00536102"/>
    <w:rsid w:val="00536245"/>
    <w:rsid w:val="005410D0"/>
    <w:rsid w:val="00543113"/>
    <w:rsid w:val="00543115"/>
    <w:rsid w:val="00544406"/>
    <w:rsid w:val="00544DF9"/>
    <w:rsid w:val="00556788"/>
    <w:rsid w:val="005609B6"/>
    <w:rsid w:val="00562986"/>
    <w:rsid w:val="00565815"/>
    <w:rsid w:val="0056776E"/>
    <w:rsid w:val="00573C80"/>
    <w:rsid w:val="00574307"/>
    <w:rsid w:val="00574B66"/>
    <w:rsid w:val="00575564"/>
    <w:rsid w:val="00575BAD"/>
    <w:rsid w:val="00575C71"/>
    <w:rsid w:val="0058055E"/>
    <w:rsid w:val="005824DD"/>
    <w:rsid w:val="005860E5"/>
    <w:rsid w:val="005901D8"/>
    <w:rsid w:val="00591439"/>
    <w:rsid w:val="00595D1C"/>
    <w:rsid w:val="00597E0A"/>
    <w:rsid w:val="005A49E8"/>
    <w:rsid w:val="005B1684"/>
    <w:rsid w:val="005B60FC"/>
    <w:rsid w:val="005B6B38"/>
    <w:rsid w:val="005B6F88"/>
    <w:rsid w:val="005C1458"/>
    <w:rsid w:val="005C155E"/>
    <w:rsid w:val="005C1B12"/>
    <w:rsid w:val="005C2679"/>
    <w:rsid w:val="005C3441"/>
    <w:rsid w:val="005C436F"/>
    <w:rsid w:val="005C73CD"/>
    <w:rsid w:val="005D0534"/>
    <w:rsid w:val="005D3B1A"/>
    <w:rsid w:val="005D4E94"/>
    <w:rsid w:val="005D6273"/>
    <w:rsid w:val="005D7239"/>
    <w:rsid w:val="005E16BC"/>
    <w:rsid w:val="005E3153"/>
    <w:rsid w:val="005F0C9D"/>
    <w:rsid w:val="005F0D31"/>
    <w:rsid w:val="005F5D12"/>
    <w:rsid w:val="006019A7"/>
    <w:rsid w:val="006026E1"/>
    <w:rsid w:val="006031C6"/>
    <w:rsid w:val="006044EB"/>
    <w:rsid w:val="00606F1E"/>
    <w:rsid w:val="0060744E"/>
    <w:rsid w:val="00607C4B"/>
    <w:rsid w:val="0061113A"/>
    <w:rsid w:val="0061119D"/>
    <w:rsid w:val="00613208"/>
    <w:rsid w:val="006135F1"/>
    <w:rsid w:val="00615192"/>
    <w:rsid w:val="006158C7"/>
    <w:rsid w:val="00615F28"/>
    <w:rsid w:val="0061651C"/>
    <w:rsid w:val="0062286C"/>
    <w:rsid w:val="00623311"/>
    <w:rsid w:val="00630D32"/>
    <w:rsid w:val="006314E6"/>
    <w:rsid w:val="0063416A"/>
    <w:rsid w:val="006355A4"/>
    <w:rsid w:val="00637D74"/>
    <w:rsid w:val="00640164"/>
    <w:rsid w:val="00641296"/>
    <w:rsid w:val="006420A6"/>
    <w:rsid w:val="006435BA"/>
    <w:rsid w:val="006440DB"/>
    <w:rsid w:val="00646075"/>
    <w:rsid w:val="00653C15"/>
    <w:rsid w:val="006542C4"/>
    <w:rsid w:val="00654B34"/>
    <w:rsid w:val="0065544D"/>
    <w:rsid w:val="006561AF"/>
    <w:rsid w:val="00664FAC"/>
    <w:rsid w:val="00671FBC"/>
    <w:rsid w:val="0067213C"/>
    <w:rsid w:val="00672714"/>
    <w:rsid w:val="0067511A"/>
    <w:rsid w:val="0067557E"/>
    <w:rsid w:val="00675627"/>
    <w:rsid w:val="00675F51"/>
    <w:rsid w:val="00680F2A"/>
    <w:rsid w:val="006851E5"/>
    <w:rsid w:val="006854B4"/>
    <w:rsid w:val="00687623"/>
    <w:rsid w:val="00691C26"/>
    <w:rsid w:val="00693BB1"/>
    <w:rsid w:val="00694247"/>
    <w:rsid w:val="006963E3"/>
    <w:rsid w:val="00696D45"/>
    <w:rsid w:val="00697C63"/>
    <w:rsid w:val="006A208D"/>
    <w:rsid w:val="006A2304"/>
    <w:rsid w:val="006A2605"/>
    <w:rsid w:val="006A3689"/>
    <w:rsid w:val="006A41E4"/>
    <w:rsid w:val="006A5EAB"/>
    <w:rsid w:val="006A6351"/>
    <w:rsid w:val="006A64C6"/>
    <w:rsid w:val="006A7BC6"/>
    <w:rsid w:val="006B0659"/>
    <w:rsid w:val="006B18B9"/>
    <w:rsid w:val="006B2E0D"/>
    <w:rsid w:val="006B3497"/>
    <w:rsid w:val="006B372D"/>
    <w:rsid w:val="006B5CA2"/>
    <w:rsid w:val="006C031E"/>
    <w:rsid w:val="006C4847"/>
    <w:rsid w:val="006C7128"/>
    <w:rsid w:val="006D175A"/>
    <w:rsid w:val="006E47E5"/>
    <w:rsid w:val="006F02AF"/>
    <w:rsid w:val="006F3933"/>
    <w:rsid w:val="006F5975"/>
    <w:rsid w:val="006F6625"/>
    <w:rsid w:val="00704294"/>
    <w:rsid w:val="007072D9"/>
    <w:rsid w:val="0071311E"/>
    <w:rsid w:val="00714F4F"/>
    <w:rsid w:val="007154F7"/>
    <w:rsid w:val="00716DE5"/>
    <w:rsid w:val="0071796B"/>
    <w:rsid w:val="00720C0C"/>
    <w:rsid w:val="0072199A"/>
    <w:rsid w:val="00721C04"/>
    <w:rsid w:val="00723C58"/>
    <w:rsid w:val="0072490C"/>
    <w:rsid w:val="00730723"/>
    <w:rsid w:val="0073383B"/>
    <w:rsid w:val="00742885"/>
    <w:rsid w:val="007440BF"/>
    <w:rsid w:val="007551F6"/>
    <w:rsid w:val="00755FED"/>
    <w:rsid w:val="00756B0B"/>
    <w:rsid w:val="00760621"/>
    <w:rsid w:val="00760920"/>
    <w:rsid w:val="0076721F"/>
    <w:rsid w:val="00772BFD"/>
    <w:rsid w:val="007767F2"/>
    <w:rsid w:val="00777658"/>
    <w:rsid w:val="00781705"/>
    <w:rsid w:val="007833FD"/>
    <w:rsid w:val="00783A26"/>
    <w:rsid w:val="00786125"/>
    <w:rsid w:val="00786528"/>
    <w:rsid w:val="007918FD"/>
    <w:rsid w:val="00791DE1"/>
    <w:rsid w:val="00792D77"/>
    <w:rsid w:val="00795C44"/>
    <w:rsid w:val="00797CB4"/>
    <w:rsid w:val="007A00E5"/>
    <w:rsid w:val="007A0CEA"/>
    <w:rsid w:val="007A3A57"/>
    <w:rsid w:val="007A736B"/>
    <w:rsid w:val="007B0783"/>
    <w:rsid w:val="007B2EE2"/>
    <w:rsid w:val="007B3D65"/>
    <w:rsid w:val="007B4B9B"/>
    <w:rsid w:val="007B5519"/>
    <w:rsid w:val="007B5E82"/>
    <w:rsid w:val="007B68B4"/>
    <w:rsid w:val="007C01A0"/>
    <w:rsid w:val="007C0900"/>
    <w:rsid w:val="007C14E7"/>
    <w:rsid w:val="007C7BA7"/>
    <w:rsid w:val="007D3650"/>
    <w:rsid w:val="007E1501"/>
    <w:rsid w:val="007E2D7E"/>
    <w:rsid w:val="007E63DC"/>
    <w:rsid w:val="007E6ABE"/>
    <w:rsid w:val="007E7F47"/>
    <w:rsid w:val="007F1E15"/>
    <w:rsid w:val="007F29FE"/>
    <w:rsid w:val="007F33A3"/>
    <w:rsid w:val="007F4D8A"/>
    <w:rsid w:val="007F5742"/>
    <w:rsid w:val="007F5943"/>
    <w:rsid w:val="007F7AEA"/>
    <w:rsid w:val="008019F7"/>
    <w:rsid w:val="008022FC"/>
    <w:rsid w:val="00802AF7"/>
    <w:rsid w:val="00802B8E"/>
    <w:rsid w:val="0080555E"/>
    <w:rsid w:val="00805B0B"/>
    <w:rsid w:val="008069BC"/>
    <w:rsid w:val="00812BCE"/>
    <w:rsid w:val="00816192"/>
    <w:rsid w:val="00816AAF"/>
    <w:rsid w:val="00816CB6"/>
    <w:rsid w:val="008170FF"/>
    <w:rsid w:val="00820F91"/>
    <w:rsid w:val="00822329"/>
    <w:rsid w:val="008227CB"/>
    <w:rsid w:val="00822F66"/>
    <w:rsid w:val="008238D7"/>
    <w:rsid w:val="00826A8B"/>
    <w:rsid w:val="0083106D"/>
    <w:rsid w:val="00832814"/>
    <w:rsid w:val="0084076A"/>
    <w:rsid w:val="00850129"/>
    <w:rsid w:val="008506BB"/>
    <w:rsid w:val="008544FC"/>
    <w:rsid w:val="00854C98"/>
    <w:rsid w:val="00855C7B"/>
    <w:rsid w:val="008634F6"/>
    <w:rsid w:val="00864B48"/>
    <w:rsid w:val="00865B32"/>
    <w:rsid w:val="0087134D"/>
    <w:rsid w:val="00871E34"/>
    <w:rsid w:val="00875811"/>
    <w:rsid w:val="0088329E"/>
    <w:rsid w:val="00886980"/>
    <w:rsid w:val="008904E9"/>
    <w:rsid w:val="00890765"/>
    <w:rsid w:val="00892258"/>
    <w:rsid w:val="008A3EBC"/>
    <w:rsid w:val="008A4B21"/>
    <w:rsid w:val="008A5EF1"/>
    <w:rsid w:val="008B1145"/>
    <w:rsid w:val="008B2655"/>
    <w:rsid w:val="008B5621"/>
    <w:rsid w:val="008B6152"/>
    <w:rsid w:val="008B715E"/>
    <w:rsid w:val="008B76D7"/>
    <w:rsid w:val="008C20D9"/>
    <w:rsid w:val="008C41B3"/>
    <w:rsid w:val="008C4318"/>
    <w:rsid w:val="008C4F95"/>
    <w:rsid w:val="008D22CB"/>
    <w:rsid w:val="008D426A"/>
    <w:rsid w:val="008D4665"/>
    <w:rsid w:val="008D4883"/>
    <w:rsid w:val="008D6482"/>
    <w:rsid w:val="008D6880"/>
    <w:rsid w:val="008D6926"/>
    <w:rsid w:val="008E22F0"/>
    <w:rsid w:val="008E429B"/>
    <w:rsid w:val="008F2AF7"/>
    <w:rsid w:val="008F4B8C"/>
    <w:rsid w:val="008F5BC3"/>
    <w:rsid w:val="008F610B"/>
    <w:rsid w:val="008F6515"/>
    <w:rsid w:val="008F669E"/>
    <w:rsid w:val="008F7CD4"/>
    <w:rsid w:val="008F7FAB"/>
    <w:rsid w:val="009019A9"/>
    <w:rsid w:val="009036C0"/>
    <w:rsid w:val="009045E8"/>
    <w:rsid w:val="009050B9"/>
    <w:rsid w:val="0090538D"/>
    <w:rsid w:val="00906DD4"/>
    <w:rsid w:val="00906F9E"/>
    <w:rsid w:val="0090799D"/>
    <w:rsid w:val="009079F2"/>
    <w:rsid w:val="00910153"/>
    <w:rsid w:val="009142D1"/>
    <w:rsid w:val="00915EBE"/>
    <w:rsid w:val="00916DF4"/>
    <w:rsid w:val="00917C0E"/>
    <w:rsid w:val="0092166F"/>
    <w:rsid w:val="009231D2"/>
    <w:rsid w:val="009249E9"/>
    <w:rsid w:val="009305A7"/>
    <w:rsid w:val="00930ED4"/>
    <w:rsid w:val="00931EF5"/>
    <w:rsid w:val="009334CA"/>
    <w:rsid w:val="009352BB"/>
    <w:rsid w:val="0093603D"/>
    <w:rsid w:val="009366E4"/>
    <w:rsid w:val="00937E0B"/>
    <w:rsid w:val="009415C2"/>
    <w:rsid w:val="00942877"/>
    <w:rsid w:val="00944180"/>
    <w:rsid w:val="009443DA"/>
    <w:rsid w:val="0094558B"/>
    <w:rsid w:val="00950F69"/>
    <w:rsid w:val="00955C89"/>
    <w:rsid w:val="00957381"/>
    <w:rsid w:val="009602ED"/>
    <w:rsid w:val="009603D1"/>
    <w:rsid w:val="0096420D"/>
    <w:rsid w:val="009700C1"/>
    <w:rsid w:val="009725A9"/>
    <w:rsid w:val="0097389F"/>
    <w:rsid w:val="00973F84"/>
    <w:rsid w:val="009744B3"/>
    <w:rsid w:val="00980D0F"/>
    <w:rsid w:val="00981038"/>
    <w:rsid w:val="00987FC2"/>
    <w:rsid w:val="00990BA4"/>
    <w:rsid w:val="009928D0"/>
    <w:rsid w:val="009931C7"/>
    <w:rsid w:val="009939C4"/>
    <w:rsid w:val="009A00A8"/>
    <w:rsid w:val="009A0309"/>
    <w:rsid w:val="009A0A15"/>
    <w:rsid w:val="009A1013"/>
    <w:rsid w:val="009A66B5"/>
    <w:rsid w:val="009A7FEF"/>
    <w:rsid w:val="009B1BBB"/>
    <w:rsid w:val="009B1C0E"/>
    <w:rsid w:val="009B2415"/>
    <w:rsid w:val="009B5F59"/>
    <w:rsid w:val="009C069A"/>
    <w:rsid w:val="009C1C4B"/>
    <w:rsid w:val="009C3649"/>
    <w:rsid w:val="009C496A"/>
    <w:rsid w:val="009C70B8"/>
    <w:rsid w:val="009C71DA"/>
    <w:rsid w:val="009D2513"/>
    <w:rsid w:val="009D4F2C"/>
    <w:rsid w:val="009D5C14"/>
    <w:rsid w:val="009D6B76"/>
    <w:rsid w:val="009D702D"/>
    <w:rsid w:val="009E3219"/>
    <w:rsid w:val="009E4EF4"/>
    <w:rsid w:val="009E52EF"/>
    <w:rsid w:val="009F4DDE"/>
    <w:rsid w:val="009F573A"/>
    <w:rsid w:val="009F5C6F"/>
    <w:rsid w:val="009F67B2"/>
    <w:rsid w:val="009F7FA8"/>
    <w:rsid w:val="00A0129B"/>
    <w:rsid w:val="00A05C29"/>
    <w:rsid w:val="00A076F7"/>
    <w:rsid w:val="00A10E2C"/>
    <w:rsid w:val="00A11D73"/>
    <w:rsid w:val="00A11F91"/>
    <w:rsid w:val="00A13987"/>
    <w:rsid w:val="00A139ED"/>
    <w:rsid w:val="00A13E5E"/>
    <w:rsid w:val="00A14583"/>
    <w:rsid w:val="00A15CA7"/>
    <w:rsid w:val="00A15DF4"/>
    <w:rsid w:val="00A162FE"/>
    <w:rsid w:val="00A25723"/>
    <w:rsid w:val="00A2760F"/>
    <w:rsid w:val="00A31FA6"/>
    <w:rsid w:val="00A32498"/>
    <w:rsid w:val="00A34630"/>
    <w:rsid w:val="00A40171"/>
    <w:rsid w:val="00A4102A"/>
    <w:rsid w:val="00A427A3"/>
    <w:rsid w:val="00A45707"/>
    <w:rsid w:val="00A459AE"/>
    <w:rsid w:val="00A50EB3"/>
    <w:rsid w:val="00A52037"/>
    <w:rsid w:val="00A60E51"/>
    <w:rsid w:val="00A61283"/>
    <w:rsid w:val="00A623E6"/>
    <w:rsid w:val="00A63247"/>
    <w:rsid w:val="00A6523A"/>
    <w:rsid w:val="00A67822"/>
    <w:rsid w:val="00A70BDA"/>
    <w:rsid w:val="00A7163D"/>
    <w:rsid w:val="00A73A93"/>
    <w:rsid w:val="00A74566"/>
    <w:rsid w:val="00A75F95"/>
    <w:rsid w:val="00A77DF0"/>
    <w:rsid w:val="00A86547"/>
    <w:rsid w:val="00A90AB5"/>
    <w:rsid w:val="00A92B82"/>
    <w:rsid w:val="00A948FD"/>
    <w:rsid w:val="00AA12A1"/>
    <w:rsid w:val="00AA16D5"/>
    <w:rsid w:val="00AA1E08"/>
    <w:rsid w:val="00AB00A1"/>
    <w:rsid w:val="00AB1E09"/>
    <w:rsid w:val="00AB3B3D"/>
    <w:rsid w:val="00AB4399"/>
    <w:rsid w:val="00AC0497"/>
    <w:rsid w:val="00AC0773"/>
    <w:rsid w:val="00AC0A0E"/>
    <w:rsid w:val="00AC2795"/>
    <w:rsid w:val="00AC4C18"/>
    <w:rsid w:val="00AC66C3"/>
    <w:rsid w:val="00AC7F63"/>
    <w:rsid w:val="00AD1CFC"/>
    <w:rsid w:val="00AD2DF2"/>
    <w:rsid w:val="00AD3A65"/>
    <w:rsid w:val="00AD443F"/>
    <w:rsid w:val="00AD5DC4"/>
    <w:rsid w:val="00AD6570"/>
    <w:rsid w:val="00AD68BC"/>
    <w:rsid w:val="00AE3A2D"/>
    <w:rsid w:val="00AE7333"/>
    <w:rsid w:val="00AF383C"/>
    <w:rsid w:val="00AF3DE0"/>
    <w:rsid w:val="00AF3E14"/>
    <w:rsid w:val="00AF58EC"/>
    <w:rsid w:val="00AF6FF7"/>
    <w:rsid w:val="00B005A6"/>
    <w:rsid w:val="00B00E68"/>
    <w:rsid w:val="00B01301"/>
    <w:rsid w:val="00B013A1"/>
    <w:rsid w:val="00B0707F"/>
    <w:rsid w:val="00B071F2"/>
    <w:rsid w:val="00B126B5"/>
    <w:rsid w:val="00B1677C"/>
    <w:rsid w:val="00B16784"/>
    <w:rsid w:val="00B17766"/>
    <w:rsid w:val="00B23103"/>
    <w:rsid w:val="00B2549A"/>
    <w:rsid w:val="00B26CFD"/>
    <w:rsid w:val="00B27715"/>
    <w:rsid w:val="00B3272E"/>
    <w:rsid w:val="00B360A0"/>
    <w:rsid w:val="00B41D40"/>
    <w:rsid w:val="00B42CE4"/>
    <w:rsid w:val="00B472DA"/>
    <w:rsid w:val="00B479A1"/>
    <w:rsid w:val="00B5197B"/>
    <w:rsid w:val="00B5683A"/>
    <w:rsid w:val="00B634F2"/>
    <w:rsid w:val="00B638C4"/>
    <w:rsid w:val="00B66B99"/>
    <w:rsid w:val="00B70CA2"/>
    <w:rsid w:val="00B71A76"/>
    <w:rsid w:val="00B77453"/>
    <w:rsid w:val="00B81849"/>
    <w:rsid w:val="00B82932"/>
    <w:rsid w:val="00B85392"/>
    <w:rsid w:val="00B8614C"/>
    <w:rsid w:val="00B8787D"/>
    <w:rsid w:val="00B9173D"/>
    <w:rsid w:val="00B917D9"/>
    <w:rsid w:val="00B92B6C"/>
    <w:rsid w:val="00B93168"/>
    <w:rsid w:val="00B93B8F"/>
    <w:rsid w:val="00B96C5B"/>
    <w:rsid w:val="00B97F73"/>
    <w:rsid w:val="00BA3BAA"/>
    <w:rsid w:val="00BA491E"/>
    <w:rsid w:val="00BA4C8D"/>
    <w:rsid w:val="00BB0376"/>
    <w:rsid w:val="00BB52B0"/>
    <w:rsid w:val="00BB6E4C"/>
    <w:rsid w:val="00BB754D"/>
    <w:rsid w:val="00BB77C5"/>
    <w:rsid w:val="00BB7C1B"/>
    <w:rsid w:val="00BC3591"/>
    <w:rsid w:val="00BC713B"/>
    <w:rsid w:val="00BD0FDD"/>
    <w:rsid w:val="00BD23EF"/>
    <w:rsid w:val="00BD3A77"/>
    <w:rsid w:val="00BD7F14"/>
    <w:rsid w:val="00BE46C6"/>
    <w:rsid w:val="00BE56D3"/>
    <w:rsid w:val="00BE5A5F"/>
    <w:rsid w:val="00BF0320"/>
    <w:rsid w:val="00BF127C"/>
    <w:rsid w:val="00BF21D6"/>
    <w:rsid w:val="00BF5684"/>
    <w:rsid w:val="00BF5B96"/>
    <w:rsid w:val="00C01B1B"/>
    <w:rsid w:val="00C02C2C"/>
    <w:rsid w:val="00C03238"/>
    <w:rsid w:val="00C0495D"/>
    <w:rsid w:val="00C05713"/>
    <w:rsid w:val="00C05966"/>
    <w:rsid w:val="00C06AD4"/>
    <w:rsid w:val="00C110A9"/>
    <w:rsid w:val="00C122EF"/>
    <w:rsid w:val="00C13441"/>
    <w:rsid w:val="00C14731"/>
    <w:rsid w:val="00C15415"/>
    <w:rsid w:val="00C155FC"/>
    <w:rsid w:val="00C21327"/>
    <w:rsid w:val="00C237D6"/>
    <w:rsid w:val="00C26455"/>
    <w:rsid w:val="00C27187"/>
    <w:rsid w:val="00C31008"/>
    <w:rsid w:val="00C3104D"/>
    <w:rsid w:val="00C3445D"/>
    <w:rsid w:val="00C34A78"/>
    <w:rsid w:val="00C3593A"/>
    <w:rsid w:val="00C377A5"/>
    <w:rsid w:val="00C4039A"/>
    <w:rsid w:val="00C40FCB"/>
    <w:rsid w:val="00C439E4"/>
    <w:rsid w:val="00C441A8"/>
    <w:rsid w:val="00C461FB"/>
    <w:rsid w:val="00C47056"/>
    <w:rsid w:val="00C52F66"/>
    <w:rsid w:val="00C557BD"/>
    <w:rsid w:val="00C57F75"/>
    <w:rsid w:val="00C61219"/>
    <w:rsid w:val="00C64799"/>
    <w:rsid w:val="00C65219"/>
    <w:rsid w:val="00C65645"/>
    <w:rsid w:val="00C70177"/>
    <w:rsid w:val="00C70229"/>
    <w:rsid w:val="00C723CE"/>
    <w:rsid w:val="00C72852"/>
    <w:rsid w:val="00C73D61"/>
    <w:rsid w:val="00C76B65"/>
    <w:rsid w:val="00C77DF5"/>
    <w:rsid w:val="00C810BF"/>
    <w:rsid w:val="00C85585"/>
    <w:rsid w:val="00C85680"/>
    <w:rsid w:val="00C91ECD"/>
    <w:rsid w:val="00C9343D"/>
    <w:rsid w:val="00CA196D"/>
    <w:rsid w:val="00CA31B8"/>
    <w:rsid w:val="00CA4396"/>
    <w:rsid w:val="00CA468C"/>
    <w:rsid w:val="00CA5EB3"/>
    <w:rsid w:val="00CA6BB2"/>
    <w:rsid w:val="00CA6EB7"/>
    <w:rsid w:val="00CA7096"/>
    <w:rsid w:val="00CB0B55"/>
    <w:rsid w:val="00CB1F2E"/>
    <w:rsid w:val="00CB2F2E"/>
    <w:rsid w:val="00CB39F9"/>
    <w:rsid w:val="00CB3A66"/>
    <w:rsid w:val="00CB3DEF"/>
    <w:rsid w:val="00CB467A"/>
    <w:rsid w:val="00CB7D2A"/>
    <w:rsid w:val="00CC194E"/>
    <w:rsid w:val="00CC6831"/>
    <w:rsid w:val="00CD0EC9"/>
    <w:rsid w:val="00CD4CC9"/>
    <w:rsid w:val="00CD5E57"/>
    <w:rsid w:val="00CD6A2A"/>
    <w:rsid w:val="00CD7A1E"/>
    <w:rsid w:val="00CE2661"/>
    <w:rsid w:val="00CE5768"/>
    <w:rsid w:val="00CF29FB"/>
    <w:rsid w:val="00CF5683"/>
    <w:rsid w:val="00D00390"/>
    <w:rsid w:val="00D01445"/>
    <w:rsid w:val="00D02191"/>
    <w:rsid w:val="00D05826"/>
    <w:rsid w:val="00D105CD"/>
    <w:rsid w:val="00D10916"/>
    <w:rsid w:val="00D1166C"/>
    <w:rsid w:val="00D12778"/>
    <w:rsid w:val="00D127BD"/>
    <w:rsid w:val="00D12CFD"/>
    <w:rsid w:val="00D12E98"/>
    <w:rsid w:val="00D20072"/>
    <w:rsid w:val="00D213EE"/>
    <w:rsid w:val="00D244A6"/>
    <w:rsid w:val="00D25147"/>
    <w:rsid w:val="00D27E3C"/>
    <w:rsid w:val="00D32DD2"/>
    <w:rsid w:val="00D34C7E"/>
    <w:rsid w:val="00D372B1"/>
    <w:rsid w:val="00D43115"/>
    <w:rsid w:val="00D45DA0"/>
    <w:rsid w:val="00D472D4"/>
    <w:rsid w:val="00D53663"/>
    <w:rsid w:val="00D5427E"/>
    <w:rsid w:val="00D563E5"/>
    <w:rsid w:val="00D56A30"/>
    <w:rsid w:val="00D60F31"/>
    <w:rsid w:val="00D62A56"/>
    <w:rsid w:val="00D64A13"/>
    <w:rsid w:val="00D65292"/>
    <w:rsid w:val="00D66773"/>
    <w:rsid w:val="00D66A9A"/>
    <w:rsid w:val="00D672B8"/>
    <w:rsid w:val="00D702D9"/>
    <w:rsid w:val="00D739BB"/>
    <w:rsid w:val="00D74294"/>
    <w:rsid w:val="00D74A7C"/>
    <w:rsid w:val="00D76C11"/>
    <w:rsid w:val="00D774E9"/>
    <w:rsid w:val="00D81BA2"/>
    <w:rsid w:val="00D82A68"/>
    <w:rsid w:val="00D83808"/>
    <w:rsid w:val="00D84925"/>
    <w:rsid w:val="00D84B4A"/>
    <w:rsid w:val="00D84F6F"/>
    <w:rsid w:val="00D85385"/>
    <w:rsid w:val="00D86B0F"/>
    <w:rsid w:val="00D877D0"/>
    <w:rsid w:val="00D901A4"/>
    <w:rsid w:val="00D938D0"/>
    <w:rsid w:val="00D9713E"/>
    <w:rsid w:val="00D9716E"/>
    <w:rsid w:val="00DA01B4"/>
    <w:rsid w:val="00DA0443"/>
    <w:rsid w:val="00DA1FB3"/>
    <w:rsid w:val="00DA3E4E"/>
    <w:rsid w:val="00DA405C"/>
    <w:rsid w:val="00DA7469"/>
    <w:rsid w:val="00DB011B"/>
    <w:rsid w:val="00DC1A61"/>
    <w:rsid w:val="00DC28A3"/>
    <w:rsid w:val="00DC523E"/>
    <w:rsid w:val="00DC7348"/>
    <w:rsid w:val="00DD1637"/>
    <w:rsid w:val="00DD2F61"/>
    <w:rsid w:val="00DD5049"/>
    <w:rsid w:val="00DD5934"/>
    <w:rsid w:val="00DD7BF9"/>
    <w:rsid w:val="00DE0DE2"/>
    <w:rsid w:val="00DE0FBE"/>
    <w:rsid w:val="00DE28F4"/>
    <w:rsid w:val="00DE3DC5"/>
    <w:rsid w:val="00DE46B3"/>
    <w:rsid w:val="00DE5FDD"/>
    <w:rsid w:val="00DE7E29"/>
    <w:rsid w:val="00DF0AD6"/>
    <w:rsid w:val="00DF12DE"/>
    <w:rsid w:val="00DF5DC6"/>
    <w:rsid w:val="00E013DB"/>
    <w:rsid w:val="00E019E8"/>
    <w:rsid w:val="00E01C76"/>
    <w:rsid w:val="00E01FA0"/>
    <w:rsid w:val="00E035FE"/>
    <w:rsid w:val="00E03FF2"/>
    <w:rsid w:val="00E0538B"/>
    <w:rsid w:val="00E05FBD"/>
    <w:rsid w:val="00E138DC"/>
    <w:rsid w:val="00E14F7E"/>
    <w:rsid w:val="00E169BB"/>
    <w:rsid w:val="00E2189B"/>
    <w:rsid w:val="00E23C42"/>
    <w:rsid w:val="00E32465"/>
    <w:rsid w:val="00E341BB"/>
    <w:rsid w:val="00E34853"/>
    <w:rsid w:val="00E35F93"/>
    <w:rsid w:val="00E37C5D"/>
    <w:rsid w:val="00E40788"/>
    <w:rsid w:val="00E4625C"/>
    <w:rsid w:val="00E54FCC"/>
    <w:rsid w:val="00E55C7E"/>
    <w:rsid w:val="00E56C0E"/>
    <w:rsid w:val="00E56C45"/>
    <w:rsid w:val="00E619E2"/>
    <w:rsid w:val="00E63F9E"/>
    <w:rsid w:val="00E65E9D"/>
    <w:rsid w:val="00E70606"/>
    <w:rsid w:val="00E71BC9"/>
    <w:rsid w:val="00E71D72"/>
    <w:rsid w:val="00E73FDD"/>
    <w:rsid w:val="00E740F4"/>
    <w:rsid w:val="00E74C69"/>
    <w:rsid w:val="00E81710"/>
    <w:rsid w:val="00E82634"/>
    <w:rsid w:val="00E82D05"/>
    <w:rsid w:val="00E82FAE"/>
    <w:rsid w:val="00E86553"/>
    <w:rsid w:val="00E90925"/>
    <w:rsid w:val="00E9134F"/>
    <w:rsid w:val="00EA1FDA"/>
    <w:rsid w:val="00EA5DB9"/>
    <w:rsid w:val="00EA6C8D"/>
    <w:rsid w:val="00EB2932"/>
    <w:rsid w:val="00EC036F"/>
    <w:rsid w:val="00EC15A2"/>
    <w:rsid w:val="00EC179E"/>
    <w:rsid w:val="00EC28E4"/>
    <w:rsid w:val="00EC383F"/>
    <w:rsid w:val="00ED266F"/>
    <w:rsid w:val="00EE1645"/>
    <w:rsid w:val="00EE19B6"/>
    <w:rsid w:val="00EE2C4B"/>
    <w:rsid w:val="00EE5693"/>
    <w:rsid w:val="00EE7589"/>
    <w:rsid w:val="00EF1377"/>
    <w:rsid w:val="00EF407E"/>
    <w:rsid w:val="00EF5C05"/>
    <w:rsid w:val="00EF602C"/>
    <w:rsid w:val="00EF7A86"/>
    <w:rsid w:val="00F04217"/>
    <w:rsid w:val="00F045FA"/>
    <w:rsid w:val="00F051CC"/>
    <w:rsid w:val="00F05348"/>
    <w:rsid w:val="00F10861"/>
    <w:rsid w:val="00F12414"/>
    <w:rsid w:val="00F13CEE"/>
    <w:rsid w:val="00F157DA"/>
    <w:rsid w:val="00F235E4"/>
    <w:rsid w:val="00F24533"/>
    <w:rsid w:val="00F250A1"/>
    <w:rsid w:val="00F260F6"/>
    <w:rsid w:val="00F26579"/>
    <w:rsid w:val="00F3084D"/>
    <w:rsid w:val="00F328CB"/>
    <w:rsid w:val="00F340E6"/>
    <w:rsid w:val="00F34C54"/>
    <w:rsid w:val="00F35065"/>
    <w:rsid w:val="00F355F4"/>
    <w:rsid w:val="00F40F24"/>
    <w:rsid w:val="00F448BA"/>
    <w:rsid w:val="00F51149"/>
    <w:rsid w:val="00F514E0"/>
    <w:rsid w:val="00F546F1"/>
    <w:rsid w:val="00F54D7A"/>
    <w:rsid w:val="00F56DAC"/>
    <w:rsid w:val="00F614D0"/>
    <w:rsid w:val="00F63225"/>
    <w:rsid w:val="00F64104"/>
    <w:rsid w:val="00F65696"/>
    <w:rsid w:val="00F7642C"/>
    <w:rsid w:val="00F76B82"/>
    <w:rsid w:val="00F77235"/>
    <w:rsid w:val="00F81322"/>
    <w:rsid w:val="00F839CA"/>
    <w:rsid w:val="00F85C69"/>
    <w:rsid w:val="00F874A0"/>
    <w:rsid w:val="00F87548"/>
    <w:rsid w:val="00F9005D"/>
    <w:rsid w:val="00F90799"/>
    <w:rsid w:val="00F9089A"/>
    <w:rsid w:val="00F92364"/>
    <w:rsid w:val="00F92C8E"/>
    <w:rsid w:val="00F931BA"/>
    <w:rsid w:val="00F93330"/>
    <w:rsid w:val="00F97CDE"/>
    <w:rsid w:val="00FA021D"/>
    <w:rsid w:val="00FA0E10"/>
    <w:rsid w:val="00FA1C60"/>
    <w:rsid w:val="00FA38BC"/>
    <w:rsid w:val="00FA5F38"/>
    <w:rsid w:val="00FA62A1"/>
    <w:rsid w:val="00FB0B1B"/>
    <w:rsid w:val="00FB25C5"/>
    <w:rsid w:val="00FB398C"/>
    <w:rsid w:val="00FB5217"/>
    <w:rsid w:val="00FB6392"/>
    <w:rsid w:val="00FC0F88"/>
    <w:rsid w:val="00FC21CE"/>
    <w:rsid w:val="00FC4C73"/>
    <w:rsid w:val="00FC4CD4"/>
    <w:rsid w:val="00FD0E04"/>
    <w:rsid w:val="00FD60F0"/>
    <w:rsid w:val="00FE181C"/>
    <w:rsid w:val="00FE1F6A"/>
    <w:rsid w:val="00FE3B6A"/>
    <w:rsid w:val="00FE5849"/>
    <w:rsid w:val="00FF6434"/>
    <w:rsid w:val="00FF6AF0"/>
    <w:rsid w:val="00FF759B"/>
    <w:rsid w:val="00FF7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557"/>
  <w15:chartTrackingRefBased/>
  <w15:docId w15:val="{C4F967CF-04A8-4C6C-95F3-B25DCFE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44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C"/>
    <w:rPr>
      <w:rFonts w:eastAsiaTheme="majorEastAsia" w:cstheme="majorBidi"/>
      <w:color w:val="272727" w:themeColor="text1" w:themeTint="D8"/>
    </w:rPr>
  </w:style>
  <w:style w:type="paragraph" w:styleId="Title">
    <w:name w:val="Title"/>
    <w:basedOn w:val="Normal"/>
    <w:next w:val="Normal"/>
    <w:link w:val="TitleChar"/>
    <w:uiPriority w:val="10"/>
    <w:qFormat/>
    <w:rsid w:val="0044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C"/>
    <w:rPr>
      <w:i/>
      <w:iCs/>
      <w:color w:val="404040" w:themeColor="text1" w:themeTint="BF"/>
    </w:rPr>
  </w:style>
  <w:style w:type="paragraph" w:styleId="ListParagraph">
    <w:name w:val="List Paragraph"/>
    <w:basedOn w:val="Normal"/>
    <w:uiPriority w:val="34"/>
    <w:qFormat/>
    <w:rsid w:val="004466AC"/>
    <w:pPr>
      <w:ind w:left="720"/>
      <w:contextualSpacing/>
    </w:pPr>
  </w:style>
  <w:style w:type="character" w:styleId="IntenseEmphasis">
    <w:name w:val="Intense Emphasis"/>
    <w:basedOn w:val="DefaultParagraphFont"/>
    <w:uiPriority w:val="21"/>
    <w:qFormat/>
    <w:rsid w:val="004466AC"/>
    <w:rPr>
      <w:i/>
      <w:iCs/>
      <w:color w:val="0F4761" w:themeColor="accent1" w:themeShade="BF"/>
    </w:rPr>
  </w:style>
  <w:style w:type="paragraph" w:styleId="IntenseQuote">
    <w:name w:val="Intense Quote"/>
    <w:basedOn w:val="Normal"/>
    <w:next w:val="Normal"/>
    <w:link w:val="IntenseQuoteChar"/>
    <w:uiPriority w:val="30"/>
    <w:qFormat/>
    <w:rsid w:val="0044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C"/>
    <w:rPr>
      <w:i/>
      <w:iCs/>
      <w:color w:val="0F4761" w:themeColor="accent1" w:themeShade="BF"/>
    </w:rPr>
  </w:style>
  <w:style w:type="character" w:styleId="IntenseReference">
    <w:name w:val="Intense Reference"/>
    <w:basedOn w:val="DefaultParagraphFont"/>
    <w:uiPriority w:val="32"/>
    <w:qFormat/>
    <w:rsid w:val="004466AC"/>
    <w:rPr>
      <w:b/>
      <w:bCs/>
      <w:smallCaps/>
      <w:color w:val="0F4761" w:themeColor="accent1" w:themeShade="BF"/>
      <w:spacing w:val="5"/>
    </w:rPr>
  </w:style>
  <w:style w:type="character" w:styleId="Hyperlink">
    <w:name w:val="Hyperlink"/>
    <w:basedOn w:val="DefaultParagraphFont"/>
    <w:uiPriority w:val="99"/>
    <w:unhideWhenUsed/>
    <w:rsid w:val="00AB3B3D"/>
    <w:rPr>
      <w:color w:val="467886" w:themeColor="hyperlink"/>
      <w:u w:val="single"/>
    </w:rPr>
  </w:style>
  <w:style w:type="character" w:styleId="UnresolvedMention">
    <w:name w:val="Unresolved Mention"/>
    <w:basedOn w:val="DefaultParagraphFont"/>
    <w:uiPriority w:val="99"/>
    <w:semiHidden/>
    <w:unhideWhenUsed/>
    <w:rsid w:val="00AB3B3D"/>
    <w:rPr>
      <w:color w:val="605E5C"/>
      <w:shd w:val="clear" w:color="auto" w:fill="E1DFDD"/>
    </w:rPr>
  </w:style>
  <w:style w:type="character" w:styleId="Strong">
    <w:name w:val="Strong"/>
    <w:basedOn w:val="DefaultParagraphFont"/>
    <w:uiPriority w:val="22"/>
    <w:qFormat/>
    <w:rsid w:val="00F54D7A"/>
    <w:rPr>
      <w:b/>
      <w:bCs/>
    </w:rPr>
  </w:style>
  <w:style w:type="paragraph" w:styleId="NoSpacing">
    <w:name w:val="No Spacing"/>
    <w:uiPriority w:val="1"/>
    <w:qFormat/>
    <w:rsid w:val="00F54D7A"/>
    <w:pPr>
      <w:spacing w:after="0" w:line="240" w:lineRule="auto"/>
    </w:pPr>
  </w:style>
  <w:style w:type="paragraph" w:styleId="NormalWeb">
    <w:name w:val="Normal (Web)"/>
    <w:basedOn w:val="Normal"/>
    <w:uiPriority w:val="99"/>
    <w:unhideWhenUsed/>
    <w:rsid w:val="006B2E0D"/>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9388">
      <w:bodyDiv w:val="1"/>
      <w:marLeft w:val="0"/>
      <w:marRight w:val="0"/>
      <w:marTop w:val="0"/>
      <w:marBottom w:val="0"/>
      <w:divBdr>
        <w:top w:val="none" w:sz="0" w:space="0" w:color="auto"/>
        <w:left w:val="none" w:sz="0" w:space="0" w:color="auto"/>
        <w:bottom w:val="none" w:sz="0" w:space="0" w:color="auto"/>
        <w:right w:val="none" w:sz="0" w:space="0" w:color="auto"/>
      </w:divBdr>
    </w:div>
    <w:div w:id="1106659359">
      <w:bodyDiv w:val="1"/>
      <w:marLeft w:val="0"/>
      <w:marRight w:val="0"/>
      <w:marTop w:val="0"/>
      <w:marBottom w:val="0"/>
      <w:divBdr>
        <w:top w:val="none" w:sz="0" w:space="0" w:color="auto"/>
        <w:left w:val="none" w:sz="0" w:space="0" w:color="auto"/>
        <w:bottom w:val="none" w:sz="0" w:space="0" w:color="auto"/>
        <w:right w:val="none" w:sz="0" w:space="0" w:color="auto"/>
      </w:divBdr>
    </w:div>
    <w:div w:id="1205673512">
      <w:bodyDiv w:val="1"/>
      <w:marLeft w:val="0"/>
      <w:marRight w:val="0"/>
      <w:marTop w:val="0"/>
      <w:marBottom w:val="0"/>
      <w:divBdr>
        <w:top w:val="none" w:sz="0" w:space="0" w:color="auto"/>
        <w:left w:val="none" w:sz="0" w:space="0" w:color="auto"/>
        <w:bottom w:val="none" w:sz="0" w:space="0" w:color="auto"/>
        <w:right w:val="none" w:sz="0" w:space="0" w:color="auto"/>
      </w:divBdr>
    </w:div>
    <w:div w:id="1398552024">
      <w:bodyDiv w:val="1"/>
      <w:marLeft w:val="0"/>
      <w:marRight w:val="0"/>
      <w:marTop w:val="0"/>
      <w:marBottom w:val="0"/>
      <w:divBdr>
        <w:top w:val="none" w:sz="0" w:space="0" w:color="auto"/>
        <w:left w:val="none" w:sz="0" w:space="0" w:color="auto"/>
        <w:bottom w:val="none" w:sz="0" w:space="0" w:color="auto"/>
        <w:right w:val="none" w:sz="0" w:space="0" w:color="auto"/>
      </w:divBdr>
    </w:div>
    <w:div w:id="1406101780">
      <w:bodyDiv w:val="1"/>
      <w:marLeft w:val="0"/>
      <w:marRight w:val="0"/>
      <w:marTop w:val="0"/>
      <w:marBottom w:val="0"/>
      <w:divBdr>
        <w:top w:val="none" w:sz="0" w:space="0" w:color="auto"/>
        <w:left w:val="none" w:sz="0" w:space="0" w:color="auto"/>
        <w:bottom w:val="none" w:sz="0" w:space="0" w:color="auto"/>
        <w:right w:val="none" w:sz="0" w:space="0" w:color="auto"/>
      </w:divBdr>
    </w:div>
    <w:div w:id="1576091793">
      <w:bodyDiv w:val="1"/>
      <w:marLeft w:val="0"/>
      <w:marRight w:val="0"/>
      <w:marTop w:val="0"/>
      <w:marBottom w:val="0"/>
      <w:divBdr>
        <w:top w:val="none" w:sz="0" w:space="0" w:color="auto"/>
        <w:left w:val="none" w:sz="0" w:space="0" w:color="auto"/>
        <w:bottom w:val="none" w:sz="0" w:space="0" w:color="auto"/>
        <w:right w:val="none" w:sz="0" w:space="0" w:color="auto"/>
      </w:divBdr>
    </w:div>
    <w:div w:id="1606694597">
      <w:bodyDiv w:val="1"/>
      <w:marLeft w:val="0"/>
      <w:marRight w:val="0"/>
      <w:marTop w:val="0"/>
      <w:marBottom w:val="0"/>
      <w:divBdr>
        <w:top w:val="none" w:sz="0" w:space="0" w:color="auto"/>
        <w:left w:val="none" w:sz="0" w:space="0" w:color="auto"/>
        <w:bottom w:val="none" w:sz="0" w:space="0" w:color="auto"/>
        <w:right w:val="none" w:sz="0" w:space="0" w:color="auto"/>
      </w:divBdr>
    </w:div>
    <w:div w:id="1714883222">
      <w:bodyDiv w:val="1"/>
      <w:marLeft w:val="0"/>
      <w:marRight w:val="0"/>
      <w:marTop w:val="0"/>
      <w:marBottom w:val="0"/>
      <w:divBdr>
        <w:top w:val="none" w:sz="0" w:space="0" w:color="auto"/>
        <w:left w:val="none" w:sz="0" w:space="0" w:color="auto"/>
        <w:bottom w:val="none" w:sz="0" w:space="0" w:color="auto"/>
        <w:right w:val="none" w:sz="0" w:space="0" w:color="auto"/>
      </w:divBdr>
    </w:div>
    <w:div w:id="1892768724">
      <w:bodyDiv w:val="1"/>
      <w:marLeft w:val="0"/>
      <w:marRight w:val="0"/>
      <w:marTop w:val="0"/>
      <w:marBottom w:val="0"/>
      <w:divBdr>
        <w:top w:val="none" w:sz="0" w:space="0" w:color="auto"/>
        <w:left w:val="none" w:sz="0" w:space="0" w:color="auto"/>
        <w:bottom w:val="none" w:sz="0" w:space="0" w:color="auto"/>
        <w:right w:val="none" w:sz="0" w:space="0" w:color="auto"/>
      </w:divBdr>
    </w:div>
    <w:div w:id="20794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altioneuvosto.fi/-/10623/energian-hinnan-nousu-hidastaa-talouden-kasvua?languageId=en_US" TargetMode="External"/><Relationship Id="rId18" Type="http://schemas.openxmlformats.org/officeDocument/2006/relationships/hyperlink" Target="https://www.iltalehti.fi/politiikka/a/0ce50927-2ae0-43fc-ac82-b2f1b24dd448" TargetMode="External"/><Relationship Id="rId26" Type="http://schemas.openxmlformats.org/officeDocument/2006/relationships/hyperlink" Target="https://yle.fi/a/74-20227573" TargetMode="External"/><Relationship Id="rId21" Type="http://schemas.openxmlformats.org/officeDocument/2006/relationships/hyperlink" Target="https://www.hs.fi/visio/art-2000011940522.html" TargetMode="External"/><Relationship Id="rId34" Type="http://schemas.openxmlformats.org/officeDocument/2006/relationships/hyperlink" Target="https://yle.fi/a/74-20227705" TargetMode="External"/><Relationship Id="rId7" Type="http://schemas.openxmlformats.org/officeDocument/2006/relationships/settings" Target="settings.xml"/><Relationship Id="rId12" Type="http://schemas.openxmlformats.org/officeDocument/2006/relationships/hyperlink" Target="https://www.hs.fi/visio/art-2000012030334.html" TargetMode="External"/><Relationship Id="rId17" Type="http://schemas.openxmlformats.org/officeDocument/2006/relationships/hyperlink" Target="https://yle.fi/a/74-20224188" TargetMode="External"/><Relationship Id="rId25" Type="http://schemas.openxmlformats.org/officeDocument/2006/relationships/hyperlink" Target="https://www.hs.fi/visio/art-2000011998973.html" TargetMode="External"/><Relationship Id="rId33" Type="http://schemas.openxmlformats.org/officeDocument/2006/relationships/hyperlink" Target="https://yle.fi/a/74-2022054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le.fi/a/74-20223577" TargetMode="External"/><Relationship Id="rId20" Type="http://schemas.openxmlformats.org/officeDocument/2006/relationships/hyperlink" Target="https://www.hs.fi/visio/art-2000011958767.html" TargetMode="External"/><Relationship Id="rId29" Type="http://schemas.openxmlformats.org/officeDocument/2006/relationships/hyperlink" Target="https://www.hs.fi/visio/art-2000011998984.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fi/suomi/art-2000012036909.html" TargetMode="External"/><Relationship Id="rId24" Type="http://schemas.openxmlformats.org/officeDocument/2006/relationships/hyperlink" Target="https://www.hs.fi/visio/art-2000011913757.html" TargetMode="External"/><Relationship Id="rId32" Type="http://schemas.openxmlformats.org/officeDocument/2006/relationships/hyperlink" Target="https://yle.fi/a/74-20227203"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yle.fi/a/74-20223783" TargetMode="External"/><Relationship Id="rId23" Type="http://schemas.openxmlformats.org/officeDocument/2006/relationships/hyperlink" Target="https://www.iltalehti.fi/talous/a/6d96a513-fd8f-4e68-aeff-cc7d4a840dce" TargetMode="External"/><Relationship Id="rId28" Type="http://schemas.openxmlformats.org/officeDocument/2006/relationships/hyperlink" Target="https://www.hs.fi/alueet/art-2000011955926.html" TargetMode="External"/><Relationship Id="rId36" Type="http://schemas.openxmlformats.org/officeDocument/2006/relationships/hyperlink" Target="mailto:zymantas.mozuraitis@urm.lt" TargetMode="External"/><Relationship Id="rId10" Type="http://schemas.openxmlformats.org/officeDocument/2006/relationships/hyperlink" Target="https://www.patriagroup.com/newsroom/news/2026/patria-set-for-technology-transfer-to-lithuania-in-the-cavs-programme" TargetMode="External"/><Relationship Id="rId19" Type="http://schemas.openxmlformats.org/officeDocument/2006/relationships/hyperlink" Target="https://www.mtvuutiset.fi/artikkeli/suomesta-datakeskusten-eldorado-veropomolta-suorat-sanat-miinusmerkkisia/9334084" TargetMode="External"/><Relationship Id="rId31" Type="http://schemas.openxmlformats.org/officeDocument/2006/relationships/hyperlink" Target="https://stat.fi/en/publication/cmetl937ckm1e07w33klcbzly" TargetMode="External"/><Relationship Id="rId4" Type="http://schemas.openxmlformats.org/officeDocument/2006/relationships/customXml" Target="../customXml/item4.xml"/><Relationship Id="rId9" Type="http://schemas.openxmlformats.org/officeDocument/2006/relationships/hyperlink" Target="https://www.vz.lt/pramone/2026/05/28/patria-atstovas-stengsimes-kuo-daugiau-sarvuociu-gaminti-lietuvoje-vietos-partneriu-gali-buti-apie-20-585395" TargetMode="External"/><Relationship Id="rId14" Type="http://schemas.openxmlformats.org/officeDocument/2006/relationships/hyperlink" Target="https://yle.fi/a/74-20223567" TargetMode="External"/><Relationship Id="rId22" Type="http://schemas.openxmlformats.org/officeDocument/2006/relationships/hyperlink" Target="https://yle.fi/a/74-20224445" TargetMode="External"/><Relationship Id="rId27" Type="http://schemas.openxmlformats.org/officeDocument/2006/relationships/hyperlink" Target="https://www.hs.fi/visio/art-2000011984327.html" TargetMode="External"/><Relationship Id="rId30" Type="http://schemas.openxmlformats.org/officeDocument/2006/relationships/hyperlink" Target="https://valtioneuvosto.fi/-/1410877/tyomarkkinaennuste-pitkaaikaistyottomyys-kaantyy-laskuun-kesan-2026-jalkeen?languageId=en_US" TargetMode="External"/><Relationship Id="rId35" Type="http://schemas.openxmlformats.org/officeDocument/2006/relationships/hyperlink" Target="https://www.hs.fi/visio/art-2000012033668.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949ab69e3aa0c61fbd0382561d55e9be">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0da36b6188b3b60141c28d9838d3f23d"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DE72B-6586-4105-BE67-F0E455163073}">
  <ds:schemaRefs>
    <ds:schemaRef ds:uri="http://schemas.openxmlformats.org/officeDocument/2006/bibliography"/>
  </ds:schemaRefs>
</ds:datastoreItem>
</file>

<file path=customXml/itemProps2.xml><?xml version="1.0" encoding="utf-8"?>
<ds:datastoreItem xmlns:ds="http://schemas.openxmlformats.org/officeDocument/2006/customXml" ds:itemID="{210791A7-355D-4D89-81DF-5471777AA3E3}">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3.xml><?xml version="1.0" encoding="utf-8"?>
<ds:datastoreItem xmlns:ds="http://schemas.openxmlformats.org/officeDocument/2006/customXml" ds:itemID="{11A097AC-BDA2-44B0-99F5-A2A2067E934D}">
  <ds:schemaRefs>
    <ds:schemaRef ds:uri="http://schemas.microsoft.com/sharepoint/v3/contenttype/forms"/>
  </ds:schemaRefs>
</ds:datastoreItem>
</file>

<file path=customXml/itemProps4.xml><?xml version="1.0" encoding="utf-8"?>
<ds:datastoreItem xmlns:ds="http://schemas.openxmlformats.org/officeDocument/2006/customXml" ds:itemID="{96CD6864-7774-4589-B351-191897EB1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16140</Words>
  <Characters>9200</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Žymantas Mozūraitis</dc:creator>
  <cp:keywords/>
  <dc:description/>
  <cp:lastModifiedBy>Žymantas Mozūraitis</cp:lastModifiedBy>
  <cp:revision>4</cp:revision>
  <dcterms:created xsi:type="dcterms:W3CDTF">2026-06-11T13:31:00Z</dcterms:created>
  <dcterms:modified xsi:type="dcterms:W3CDTF">2026-06-11T13:38:00Z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ies>
</file>