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5D28" w14:textId="3EB290EE" w:rsidR="00F06E52" w:rsidRPr="008170E0" w:rsidRDefault="00485B2D" w:rsidP="007B5A32">
      <w:pPr>
        <w:spacing w:after="0" w:line="276" w:lineRule="auto"/>
        <w:jc w:val="both"/>
        <w:rPr>
          <w:rFonts w:ascii="Times New Roman" w:hAnsi="Times New Roman" w:cs="Times New Roman"/>
        </w:rPr>
      </w:pPr>
      <w:r w:rsidRPr="008170E0">
        <w:rPr>
          <w:rFonts w:ascii="Times New Roman" w:hAnsi="Times New Roman" w:cs="Times New Roman"/>
        </w:rPr>
        <w:t xml:space="preserve">2026 m. </w:t>
      </w:r>
      <w:r w:rsidR="00F06E52" w:rsidRPr="008170E0">
        <w:rPr>
          <w:rFonts w:ascii="Times New Roman" w:hAnsi="Times New Roman" w:cs="Times New Roman"/>
        </w:rPr>
        <w:t>birželio</w:t>
      </w:r>
      <w:r w:rsidRPr="008170E0">
        <w:rPr>
          <w:rFonts w:ascii="Times New Roman" w:hAnsi="Times New Roman" w:cs="Times New Roman"/>
        </w:rPr>
        <w:t xml:space="preserve"> 12 d. Europos verslo asociacija Kazachstane EUROBAK organizavo Centrinės Azijos ekonomikos ap</w:t>
      </w:r>
      <w:r w:rsidR="00F06E52" w:rsidRPr="008170E0">
        <w:rPr>
          <w:rFonts w:ascii="Times New Roman" w:hAnsi="Times New Roman" w:cs="Times New Roman"/>
        </w:rPr>
        <w:t xml:space="preserve">žvalgą. Pristatymus rengė: </w:t>
      </w:r>
      <w:r w:rsidR="00F06E52" w:rsidRPr="008170E0">
        <w:rPr>
          <w:rFonts w:ascii="Times New Roman" w:hAnsi="Times New Roman" w:cs="Times New Roman"/>
          <w:b/>
          <w:bCs/>
        </w:rPr>
        <w:t xml:space="preserve">Pavel Melnikov </w:t>
      </w:r>
      <w:r w:rsidR="00F06E52" w:rsidRPr="008170E0">
        <w:rPr>
          <w:rFonts w:ascii="Times New Roman" w:hAnsi="Times New Roman" w:cs="Times New Roman"/>
        </w:rPr>
        <w:t xml:space="preserve">(įmonės „Aretera Public Affairs“ generalinis direktorius, atsakingas už Centrinę Aziją, Pietų Kaukazą ir Mongoliją), </w:t>
      </w:r>
      <w:r w:rsidR="00F06E52" w:rsidRPr="008170E0">
        <w:rPr>
          <w:rFonts w:ascii="Times New Roman" w:hAnsi="Times New Roman" w:cs="Times New Roman"/>
          <w:b/>
          <w:bCs/>
        </w:rPr>
        <w:t xml:space="preserve">Hüseyin Özhan </w:t>
      </w:r>
      <w:r w:rsidR="00F06E52" w:rsidRPr="008170E0">
        <w:rPr>
          <w:rFonts w:ascii="Times New Roman" w:hAnsi="Times New Roman" w:cs="Times New Roman"/>
        </w:rPr>
        <w:t xml:space="preserve">(Europos rekonstrukcijos ir plėtros banko generalinis direktorius, atsakingas už Centrinę Aziją ir Mongoliją) ir </w:t>
      </w:r>
      <w:r w:rsidR="00F06E52" w:rsidRPr="008170E0">
        <w:rPr>
          <w:rFonts w:ascii="Times New Roman" w:hAnsi="Times New Roman" w:cs="Times New Roman"/>
          <w:b/>
          <w:bCs/>
        </w:rPr>
        <w:t>Ibrahim Canliel</w:t>
      </w:r>
      <w:r w:rsidR="00F06E52" w:rsidRPr="008170E0">
        <w:rPr>
          <w:rFonts w:ascii="Times New Roman" w:hAnsi="Times New Roman" w:cs="Times New Roman"/>
        </w:rPr>
        <w:t xml:space="preserve"> („Air Astana“ generalinis direktorius).</w:t>
      </w:r>
    </w:p>
    <w:p w14:paraId="010E7899" w14:textId="77777777" w:rsidR="006048A3" w:rsidRPr="008170E0" w:rsidRDefault="006048A3" w:rsidP="007B5A32">
      <w:pPr>
        <w:spacing w:after="0" w:line="276" w:lineRule="auto"/>
        <w:jc w:val="both"/>
        <w:rPr>
          <w:rFonts w:ascii="Times New Roman" w:hAnsi="Times New Roman" w:cs="Times New Roman"/>
        </w:rPr>
      </w:pPr>
    </w:p>
    <w:p w14:paraId="02261E95" w14:textId="244DB746" w:rsidR="006048A3" w:rsidRPr="00890B38" w:rsidRDefault="006048A3" w:rsidP="007B5A32">
      <w:pPr>
        <w:spacing w:after="0" w:line="276" w:lineRule="auto"/>
        <w:jc w:val="both"/>
        <w:rPr>
          <w:rFonts w:ascii="Times New Roman" w:hAnsi="Times New Roman" w:cs="Times New Roman"/>
          <w:b/>
          <w:bCs/>
          <w:u w:val="single"/>
        </w:rPr>
      </w:pPr>
      <w:r w:rsidRPr="00890B38">
        <w:rPr>
          <w:rFonts w:ascii="Times New Roman" w:hAnsi="Times New Roman" w:cs="Times New Roman"/>
          <w:b/>
          <w:bCs/>
          <w:u w:val="single"/>
        </w:rPr>
        <w:t>Geopolitika</w:t>
      </w:r>
      <w:r w:rsidR="00A43BCE">
        <w:rPr>
          <w:rFonts w:ascii="Times New Roman" w:hAnsi="Times New Roman" w:cs="Times New Roman"/>
          <w:b/>
          <w:bCs/>
          <w:u w:val="single"/>
        </w:rPr>
        <w:t>:</w:t>
      </w:r>
      <w:r w:rsidRPr="00890B38">
        <w:rPr>
          <w:rFonts w:ascii="Times New Roman" w:hAnsi="Times New Roman" w:cs="Times New Roman"/>
          <w:b/>
          <w:bCs/>
          <w:u w:val="single"/>
        </w:rPr>
        <w:t xml:space="preserve"> Strateginės rizikos ir rinkos analizė</w:t>
      </w:r>
    </w:p>
    <w:p w14:paraId="7BF098BA" w14:textId="1C31B144" w:rsidR="002929B6" w:rsidRPr="008170E0" w:rsidRDefault="002929B6" w:rsidP="007B5A32">
      <w:pPr>
        <w:spacing w:after="0" w:line="276" w:lineRule="auto"/>
        <w:jc w:val="both"/>
        <w:rPr>
          <w:rFonts w:ascii="Times New Roman" w:hAnsi="Times New Roman" w:cs="Times New Roman"/>
        </w:rPr>
      </w:pPr>
      <w:r w:rsidRPr="008170E0">
        <w:rPr>
          <w:rFonts w:ascii="Times New Roman" w:hAnsi="Times New Roman" w:cs="Times New Roman"/>
        </w:rPr>
        <w:t>CA šalyse pris</w:t>
      </w:r>
      <w:r w:rsidR="002F3126" w:rsidRPr="008170E0">
        <w:rPr>
          <w:rFonts w:ascii="Times New Roman" w:hAnsi="Times New Roman" w:cs="Times New Roman"/>
        </w:rPr>
        <w:t>kaičiuojama apie 83 mln.</w:t>
      </w:r>
      <w:r w:rsidR="00890B38">
        <w:rPr>
          <w:rFonts w:ascii="Times New Roman" w:hAnsi="Times New Roman" w:cs="Times New Roman"/>
        </w:rPr>
        <w:t xml:space="preserve"> </w:t>
      </w:r>
      <w:r w:rsidR="002F3126" w:rsidRPr="008170E0">
        <w:rPr>
          <w:rFonts w:ascii="Times New Roman" w:hAnsi="Times New Roman" w:cs="Times New Roman"/>
        </w:rPr>
        <w:t xml:space="preserve">gyventojų, kurių vidutinis amžius 27 metai (jaunas regionas), vaikai iki 15 metų sudaro 1/3 populiacijos, darbinio amžiaus žmonės sudaro apie 62 proc., 8 procentai – pensijinio amžiaus gyventojai. </w:t>
      </w:r>
      <w:r w:rsidR="00727C00" w:rsidRPr="008170E0">
        <w:rPr>
          <w:rFonts w:ascii="Times New Roman" w:hAnsi="Times New Roman" w:cs="Times New Roman"/>
        </w:rPr>
        <w:t>Regiono BVP – 500 mlrd. USD, tarpusavio prekyba tarp CA valstybių sudaro 11 mlrd. USD, tiesioginės užsienio investicijos į regioną 2024 m. sudarė 219 mlrd. USD. (KZ – 151 mlrd. USD; TM – 44 mlrd. USD; 16 - mlrd. USD; TJ – 4 mlrd. USD; KG – 4 mlrd. USD.</w:t>
      </w:r>
    </w:p>
    <w:p w14:paraId="5C701E16" w14:textId="77777777" w:rsidR="00727C00" w:rsidRPr="008170E0" w:rsidRDefault="00727C00" w:rsidP="007B5A32">
      <w:pPr>
        <w:spacing w:after="0" w:line="276" w:lineRule="auto"/>
        <w:jc w:val="both"/>
        <w:rPr>
          <w:rFonts w:ascii="Times New Roman" w:hAnsi="Times New Roman" w:cs="Times New Roman"/>
        </w:rPr>
      </w:pPr>
    </w:p>
    <w:p w14:paraId="2797C7C8" w14:textId="77777777" w:rsidR="008170E0" w:rsidRPr="008170E0" w:rsidRDefault="007B5A32" w:rsidP="007B5A32">
      <w:pPr>
        <w:spacing w:after="0" w:line="276" w:lineRule="auto"/>
        <w:jc w:val="both"/>
        <w:rPr>
          <w:rFonts w:ascii="Times New Roman" w:hAnsi="Times New Roman" w:cs="Times New Roman"/>
        </w:rPr>
      </w:pPr>
      <w:r w:rsidRPr="008170E0">
        <w:rPr>
          <w:rFonts w:ascii="Times New Roman" w:hAnsi="Times New Roman" w:cs="Times New Roman"/>
        </w:rPr>
        <w:t>Didžiausiomis regiono rizikomis laikoma</w:t>
      </w:r>
      <w:r w:rsidR="008170E0" w:rsidRPr="008170E0">
        <w:rPr>
          <w:rFonts w:ascii="Times New Roman" w:hAnsi="Times New Roman" w:cs="Times New Roman"/>
        </w:rPr>
        <w:t>:</w:t>
      </w:r>
    </w:p>
    <w:p w14:paraId="1218F95A" w14:textId="76B221C5" w:rsidR="008170E0" w:rsidRPr="008170E0" w:rsidRDefault="007B5A32" w:rsidP="008170E0">
      <w:pPr>
        <w:pStyle w:val="ListParagraph"/>
        <w:numPr>
          <w:ilvl w:val="0"/>
          <w:numId w:val="2"/>
        </w:numPr>
        <w:spacing w:after="0" w:line="276" w:lineRule="auto"/>
        <w:jc w:val="both"/>
        <w:rPr>
          <w:rFonts w:ascii="Times New Roman" w:hAnsi="Times New Roman" w:cs="Times New Roman"/>
        </w:rPr>
      </w:pPr>
      <w:r w:rsidRPr="008170E0">
        <w:rPr>
          <w:rFonts w:ascii="Times New Roman" w:hAnsi="Times New Roman" w:cs="Times New Roman"/>
        </w:rPr>
        <w:t xml:space="preserve">makroekonominė rizika, </w:t>
      </w:r>
    </w:p>
    <w:p w14:paraId="75C862B6" w14:textId="3F2D8822" w:rsidR="008170E0" w:rsidRPr="008170E0" w:rsidRDefault="007B5A32" w:rsidP="008170E0">
      <w:pPr>
        <w:pStyle w:val="ListParagraph"/>
        <w:numPr>
          <w:ilvl w:val="0"/>
          <w:numId w:val="2"/>
        </w:numPr>
        <w:spacing w:after="0" w:line="276" w:lineRule="auto"/>
        <w:jc w:val="both"/>
        <w:rPr>
          <w:rFonts w:ascii="Times New Roman" w:hAnsi="Times New Roman" w:cs="Times New Roman"/>
        </w:rPr>
      </w:pPr>
      <w:r w:rsidRPr="008170E0">
        <w:rPr>
          <w:rFonts w:ascii="Times New Roman" w:hAnsi="Times New Roman" w:cs="Times New Roman"/>
        </w:rPr>
        <w:t xml:space="preserve">didelė tiesioginių užsienio investicijų dalis žaliavų ekonomikoje, </w:t>
      </w:r>
    </w:p>
    <w:p w14:paraId="754D156E" w14:textId="65075714" w:rsidR="008170E0" w:rsidRPr="008170E0" w:rsidRDefault="007B5A32" w:rsidP="008170E0">
      <w:pPr>
        <w:pStyle w:val="ListParagraph"/>
        <w:numPr>
          <w:ilvl w:val="0"/>
          <w:numId w:val="2"/>
        </w:numPr>
        <w:spacing w:after="0" w:line="276" w:lineRule="auto"/>
        <w:jc w:val="both"/>
        <w:rPr>
          <w:rFonts w:ascii="Times New Roman" w:hAnsi="Times New Roman" w:cs="Times New Roman"/>
        </w:rPr>
      </w:pPr>
      <w:r w:rsidRPr="008170E0">
        <w:rPr>
          <w:rFonts w:ascii="Times New Roman" w:hAnsi="Times New Roman" w:cs="Times New Roman"/>
        </w:rPr>
        <w:t xml:space="preserve">energijos ir vandens trūkumas, </w:t>
      </w:r>
    </w:p>
    <w:p w14:paraId="301E54D6" w14:textId="282C37D5" w:rsidR="008170E0" w:rsidRPr="008170E0" w:rsidRDefault="007B5A32" w:rsidP="008170E0">
      <w:pPr>
        <w:pStyle w:val="ListParagraph"/>
        <w:numPr>
          <w:ilvl w:val="0"/>
          <w:numId w:val="2"/>
        </w:numPr>
        <w:spacing w:after="0" w:line="276" w:lineRule="auto"/>
        <w:jc w:val="both"/>
        <w:rPr>
          <w:rFonts w:ascii="Times New Roman" w:hAnsi="Times New Roman" w:cs="Times New Roman"/>
        </w:rPr>
      </w:pPr>
      <w:r w:rsidRPr="008170E0">
        <w:rPr>
          <w:rFonts w:ascii="Times New Roman" w:hAnsi="Times New Roman" w:cs="Times New Roman"/>
        </w:rPr>
        <w:t xml:space="preserve">migracija, </w:t>
      </w:r>
    </w:p>
    <w:p w14:paraId="13AD830F" w14:textId="639A0399" w:rsidR="008170E0" w:rsidRPr="008170E0" w:rsidRDefault="007B5A32" w:rsidP="008170E0">
      <w:pPr>
        <w:pStyle w:val="ListParagraph"/>
        <w:numPr>
          <w:ilvl w:val="0"/>
          <w:numId w:val="2"/>
        </w:numPr>
        <w:spacing w:after="0" w:line="276" w:lineRule="auto"/>
        <w:jc w:val="both"/>
        <w:rPr>
          <w:rFonts w:ascii="Times New Roman" w:hAnsi="Times New Roman" w:cs="Times New Roman"/>
        </w:rPr>
      </w:pPr>
      <w:r w:rsidRPr="008170E0">
        <w:rPr>
          <w:rFonts w:ascii="Times New Roman" w:hAnsi="Times New Roman" w:cs="Times New Roman"/>
        </w:rPr>
        <w:t>pasenusi infrastruktūra,</w:t>
      </w:r>
      <w:r w:rsidR="008170E0" w:rsidRPr="008170E0">
        <w:rPr>
          <w:rFonts w:ascii="Times New Roman" w:hAnsi="Times New Roman" w:cs="Times New Roman"/>
        </w:rPr>
        <w:t xml:space="preserve"> </w:t>
      </w:r>
    </w:p>
    <w:p w14:paraId="17FFAF78" w14:textId="4613C824" w:rsidR="007B5A32" w:rsidRPr="008170E0" w:rsidRDefault="007B5A32" w:rsidP="008170E0">
      <w:pPr>
        <w:pStyle w:val="ListParagraph"/>
        <w:numPr>
          <w:ilvl w:val="0"/>
          <w:numId w:val="2"/>
        </w:numPr>
        <w:spacing w:after="0" w:line="276" w:lineRule="auto"/>
        <w:jc w:val="both"/>
        <w:rPr>
          <w:rFonts w:ascii="Times New Roman" w:hAnsi="Times New Roman" w:cs="Times New Roman"/>
        </w:rPr>
      </w:pPr>
      <w:r w:rsidRPr="008170E0">
        <w:rPr>
          <w:rFonts w:ascii="Times New Roman" w:hAnsi="Times New Roman" w:cs="Times New Roman"/>
        </w:rPr>
        <w:t>didelė druskos tirpalu drėkinamų žemių dalis.</w:t>
      </w:r>
    </w:p>
    <w:p w14:paraId="5002F4E6" w14:textId="77777777" w:rsidR="008170E0" w:rsidRDefault="007B5A32" w:rsidP="007B5A32">
      <w:pPr>
        <w:spacing w:after="0" w:line="276" w:lineRule="auto"/>
        <w:jc w:val="both"/>
        <w:rPr>
          <w:rFonts w:ascii="Times New Roman" w:hAnsi="Times New Roman" w:cs="Times New Roman"/>
        </w:rPr>
      </w:pPr>
      <w:r w:rsidRPr="008170E0">
        <w:rPr>
          <w:rFonts w:ascii="Times New Roman" w:hAnsi="Times New Roman" w:cs="Times New Roman"/>
        </w:rPr>
        <w:t>Didžiausiomis regiono ekonomikos galimybėmis laikomos</w:t>
      </w:r>
      <w:r w:rsidR="008170E0">
        <w:rPr>
          <w:rFonts w:ascii="Times New Roman" w:hAnsi="Times New Roman" w:cs="Times New Roman"/>
        </w:rPr>
        <w:t>:</w:t>
      </w:r>
    </w:p>
    <w:p w14:paraId="4BA2D12C" w14:textId="77777777" w:rsidR="008170E0" w:rsidRDefault="007B5A32" w:rsidP="008170E0">
      <w:pPr>
        <w:pStyle w:val="ListParagraph"/>
        <w:numPr>
          <w:ilvl w:val="0"/>
          <w:numId w:val="3"/>
        </w:numPr>
        <w:spacing w:after="0" w:line="276" w:lineRule="auto"/>
        <w:jc w:val="both"/>
        <w:rPr>
          <w:rFonts w:ascii="Times New Roman" w:hAnsi="Times New Roman" w:cs="Times New Roman"/>
        </w:rPr>
      </w:pPr>
      <w:r w:rsidRPr="008170E0">
        <w:rPr>
          <w:rFonts w:ascii="Times New Roman" w:hAnsi="Times New Roman" w:cs="Times New Roman"/>
        </w:rPr>
        <w:t>Jason – Vanik pataisos</w:t>
      </w:r>
      <w:r w:rsidR="008170E0">
        <w:rPr>
          <w:rFonts w:ascii="Times New Roman" w:hAnsi="Times New Roman" w:cs="Times New Roman"/>
        </w:rPr>
        <w:t xml:space="preserve"> (</w:t>
      </w:r>
      <w:r w:rsidR="008170E0" w:rsidRPr="008170E0">
        <w:rPr>
          <w:rFonts w:ascii="Times New Roman" w:hAnsi="Times New Roman" w:cs="Times New Roman"/>
          <w:i/>
          <w:iCs/>
        </w:rPr>
        <w:t>Jason- Vanik Amendment</w:t>
      </w:r>
      <w:r w:rsidR="008170E0">
        <w:rPr>
          <w:rFonts w:ascii="Times New Roman" w:hAnsi="Times New Roman" w:cs="Times New Roman"/>
        </w:rPr>
        <w:t xml:space="preserve">) </w:t>
      </w:r>
      <w:r w:rsidRPr="008170E0">
        <w:rPr>
          <w:rFonts w:ascii="Times New Roman" w:hAnsi="Times New Roman" w:cs="Times New Roman"/>
        </w:rPr>
        <w:t>panaikinimas CA šalių atžvilgiu</w:t>
      </w:r>
      <w:r w:rsidR="008170E0" w:rsidRPr="008170E0">
        <w:rPr>
          <w:rFonts w:ascii="Times New Roman" w:hAnsi="Times New Roman" w:cs="Times New Roman"/>
        </w:rPr>
        <w:t xml:space="preserve">, </w:t>
      </w:r>
    </w:p>
    <w:p w14:paraId="5BFA213E" w14:textId="77777777" w:rsidR="008170E0" w:rsidRDefault="008170E0" w:rsidP="008170E0">
      <w:pPr>
        <w:pStyle w:val="ListParagraph"/>
        <w:numPr>
          <w:ilvl w:val="0"/>
          <w:numId w:val="3"/>
        </w:numPr>
        <w:spacing w:after="0" w:line="276" w:lineRule="auto"/>
        <w:jc w:val="both"/>
        <w:rPr>
          <w:rFonts w:ascii="Times New Roman" w:hAnsi="Times New Roman" w:cs="Times New Roman"/>
        </w:rPr>
      </w:pPr>
      <w:r w:rsidRPr="008170E0">
        <w:rPr>
          <w:rFonts w:ascii="Times New Roman" w:hAnsi="Times New Roman" w:cs="Times New Roman"/>
        </w:rPr>
        <w:t xml:space="preserve">didelių infrastuktūros objektų statybos, </w:t>
      </w:r>
    </w:p>
    <w:p w14:paraId="3EFEFEC6" w14:textId="77777777" w:rsidR="008170E0" w:rsidRDefault="008170E0" w:rsidP="008170E0">
      <w:pPr>
        <w:pStyle w:val="ListParagraph"/>
        <w:numPr>
          <w:ilvl w:val="0"/>
          <w:numId w:val="3"/>
        </w:numPr>
        <w:spacing w:after="0" w:line="276" w:lineRule="auto"/>
        <w:jc w:val="both"/>
        <w:rPr>
          <w:rFonts w:ascii="Times New Roman" w:hAnsi="Times New Roman" w:cs="Times New Roman"/>
        </w:rPr>
      </w:pPr>
      <w:r w:rsidRPr="008170E0">
        <w:rPr>
          <w:rFonts w:ascii="Times New Roman" w:hAnsi="Times New Roman" w:cs="Times New Roman"/>
        </w:rPr>
        <w:t xml:space="preserve">C5+1 formatų plėtra ir vystymas, </w:t>
      </w:r>
    </w:p>
    <w:p w14:paraId="01304C19" w14:textId="77777777" w:rsidR="008170E0" w:rsidRDefault="008170E0" w:rsidP="008170E0">
      <w:pPr>
        <w:pStyle w:val="ListParagraph"/>
        <w:numPr>
          <w:ilvl w:val="0"/>
          <w:numId w:val="3"/>
        </w:numPr>
        <w:spacing w:after="0" w:line="276" w:lineRule="auto"/>
        <w:jc w:val="both"/>
        <w:rPr>
          <w:rFonts w:ascii="Times New Roman" w:hAnsi="Times New Roman" w:cs="Times New Roman"/>
        </w:rPr>
      </w:pPr>
      <w:r w:rsidRPr="008170E0">
        <w:rPr>
          <w:rFonts w:ascii="Times New Roman" w:hAnsi="Times New Roman" w:cs="Times New Roman"/>
        </w:rPr>
        <w:t xml:space="preserve">didelio masto skaitmeninimas, </w:t>
      </w:r>
    </w:p>
    <w:p w14:paraId="2CE12C2F" w14:textId="77777777" w:rsidR="008170E0" w:rsidRDefault="008170E0" w:rsidP="008170E0">
      <w:pPr>
        <w:pStyle w:val="ListParagraph"/>
        <w:numPr>
          <w:ilvl w:val="0"/>
          <w:numId w:val="3"/>
        </w:numPr>
        <w:spacing w:after="0" w:line="276" w:lineRule="auto"/>
        <w:jc w:val="both"/>
        <w:rPr>
          <w:rFonts w:ascii="Times New Roman" w:hAnsi="Times New Roman" w:cs="Times New Roman"/>
        </w:rPr>
      </w:pPr>
      <w:r w:rsidRPr="008170E0">
        <w:rPr>
          <w:rFonts w:ascii="Times New Roman" w:hAnsi="Times New Roman" w:cs="Times New Roman"/>
        </w:rPr>
        <w:t xml:space="preserve">transporto ir logistikos sektoriaus vystymas, </w:t>
      </w:r>
    </w:p>
    <w:p w14:paraId="0105486C" w14:textId="34E41407" w:rsidR="007B5A32" w:rsidRPr="008170E0" w:rsidRDefault="008170E0" w:rsidP="008170E0">
      <w:pPr>
        <w:pStyle w:val="ListParagraph"/>
        <w:numPr>
          <w:ilvl w:val="0"/>
          <w:numId w:val="3"/>
        </w:numPr>
        <w:spacing w:after="0" w:line="276" w:lineRule="auto"/>
        <w:jc w:val="both"/>
        <w:rPr>
          <w:rFonts w:ascii="Times New Roman" w:hAnsi="Times New Roman" w:cs="Times New Roman"/>
        </w:rPr>
      </w:pPr>
      <w:r w:rsidRPr="008170E0">
        <w:rPr>
          <w:rFonts w:ascii="Times New Roman" w:hAnsi="Times New Roman" w:cs="Times New Roman"/>
        </w:rPr>
        <w:t>žiedinės ekonomikos ir atsinaujinančių energetikos šaltinių vystymas bei požeminio vandens paieškos.</w:t>
      </w:r>
    </w:p>
    <w:p w14:paraId="13706823" w14:textId="1F87FB24" w:rsidR="00727C00" w:rsidRDefault="008170E0" w:rsidP="007B5A32">
      <w:pPr>
        <w:spacing w:after="0" w:line="276" w:lineRule="auto"/>
        <w:jc w:val="both"/>
        <w:rPr>
          <w:rFonts w:ascii="Times New Roman" w:hAnsi="Times New Roman" w:cs="Times New Roman"/>
        </w:rPr>
      </w:pPr>
      <w:r>
        <w:rPr>
          <w:rFonts w:ascii="Times New Roman" w:hAnsi="Times New Roman" w:cs="Times New Roman"/>
        </w:rPr>
        <w:t xml:space="preserve">Geopolitinių rizikų požiūriu KZ patenka tarp šalių su vidutine rizika, tuo tarpu kitos CA šalys yra aukštos geopolitinės rizikos sferoje. </w:t>
      </w:r>
    </w:p>
    <w:p w14:paraId="0B0D27A0" w14:textId="77777777" w:rsidR="008170E0" w:rsidRDefault="008170E0" w:rsidP="007B5A32">
      <w:pPr>
        <w:spacing w:after="0" w:line="276" w:lineRule="auto"/>
        <w:jc w:val="both"/>
        <w:rPr>
          <w:rFonts w:ascii="Times New Roman" w:hAnsi="Times New Roman" w:cs="Times New Roman"/>
        </w:rPr>
      </w:pPr>
    </w:p>
    <w:p w14:paraId="64016C1A" w14:textId="3CD66744" w:rsidR="008170E0" w:rsidRDefault="008170E0" w:rsidP="007B5A32">
      <w:pPr>
        <w:spacing w:after="0" w:line="276" w:lineRule="auto"/>
        <w:jc w:val="both"/>
        <w:rPr>
          <w:rFonts w:ascii="Times New Roman" w:hAnsi="Times New Roman" w:cs="Times New Roman"/>
        </w:rPr>
      </w:pPr>
      <w:r>
        <w:rPr>
          <w:rFonts w:ascii="Times New Roman" w:hAnsi="Times New Roman" w:cs="Times New Roman"/>
        </w:rPr>
        <w:t>CA šalių bendra prekybos apyvarta su ES, JAV, CN ir RU sudaro 202 mlrd. USD</w:t>
      </w:r>
      <w:r w:rsidR="00586C8A">
        <w:rPr>
          <w:rFonts w:ascii="Times New Roman" w:hAnsi="Times New Roman" w:cs="Times New Roman"/>
        </w:rPr>
        <w:t xml:space="preserve"> (2025 m.)</w:t>
      </w:r>
    </w:p>
    <w:tbl>
      <w:tblPr>
        <w:tblStyle w:val="TableGrid"/>
        <w:tblW w:w="0" w:type="auto"/>
        <w:tblLook w:val="04A0" w:firstRow="1" w:lastRow="0" w:firstColumn="1" w:lastColumn="0" w:noHBand="0" w:noVBand="1"/>
      </w:tblPr>
      <w:tblGrid>
        <w:gridCol w:w="1290"/>
        <w:gridCol w:w="1257"/>
        <w:gridCol w:w="1417"/>
        <w:gridCol w:w="1276"/>
        <w:gridCol w:w="1134"/>
      </w:tblGrid>
      <w:tr w:rsidR="00586C8A" w:rsidRPr="000B33BD" w14:paraId="7E3D90AD" w14:textId="77777777" w:rsidTr="000B33BD">
        <w:tc>
          <w:tcPr>
            <w:tcW w:w="1290" w:type="dxa"/>
          </w:tcPr>
          <w:p w14:paraId="65E8124D" w14:textId="47DFD450" w:rsidR="00586C8A" w:rsidRPr="000B33BD" w:rsidRDefault="000B33BD" w:rsidP="007B5A32">
            <w:pPr>
              <w:spacing w:line="276" w:lineRule="auto"/>
              <w:jc w:val="both"/>
              <w:rPr>
                <w:rFonts w:ascii="Times New Roman" w:hAnsi="Times New Roman" w:cs="Times New Roman"/>
                <w:b/>
                <w:bCs/>
              </w:rPr>
            </w:pPr>
            <w:r w:rsidRPr="000B33BD">
              <w:rPr>
                <w:rFonts w:ascii="Times New Roman" w:hAnsi="Times New Roman" w:cs="Times New Roman"/>
                <w:b/>
                <w:bCs/>
              </w:rPr>
              <w:t>Mlrd.USD</w:t>
            </w:r>
          </w:p>
        </w:tc>
        <w:tc>
          <w:tcPr>
            <w:tcW w:w="1257" w:type="dxa"/>
          </w:tcPr>
          <w:p w14:paraId="13130AE3" w14:textId="4031CD47" w:rsidR="00586C8A" w:rsidRPr="000B33BD" w:rsidRDefault="000B33BD" w:rsidP="007B5A32">
            <w:pPr>
              <w:spacing w:line="276" w:lineRule="auto"/>
              <w:jc w:val="both"/>
              <w:rPr>
                <w:rFonts w:ascii="Times New Roman" w:hAnsi="Times New Roman" w:cs="Times New Roman"/>
                <w:b/>
                <w:bCs/>
              </w:rPr>
            </w:pPr>
            <w:r w:rsidRPr="000B33BD">
              <w:rPr>
                <w:rFonts w:ascii="Times New Roman" w:hAnsi="Times New Roman" w:cs="Times New Roman"/>
                <w:b/>
                <w:bCs/>
              </w:rPr>
              <w:t>ES</w:t>
            </w:r>
          </w:p>
        </w:tc>
        <w:tc>
          <w:tcPr>
            <w:tcW w:w="1417" w:type="dxa"/>
          </w:tcPr>
          <w:p w14:paraId="5C95640E" w14:textId="65C2A937" w:rsidR="00586C8A" w:rsidRPr="000B33BD" w:rsidRDefault="000B33BD" w:rsidP="007B5A32">
            <w:pPr>
              <w:spacing w:line="276" w:lineRule="auto"/>
              <w:jc w:val="both"/>
              <w:rPr>
                <w:rFonts w:ascii="Times New Roman" w:hAnsi="Times New Roman" w:cs="Times New Roman"/>
                <w:b/>
                <w:bCs/>
              </w:rPr>
            </w:pPr>
            <w:r w:rsidRPr="000B33BD">
              <w:rPr>
                <w:rFonts w:ascii="Times New Roman" w:hAnsi="Times New Roman" w:cs="Times New Roman"/>
                <w:b/>
                <w:bCs/>
              </w:rPr>
              <w:t>JAV</w:t>
            </w:r>
          </w:p>
        </w:tc>
        <w:tc>
          <w:tcPr>
            <w:tcW w:w="1276" w:type="dxa"/>
          </w:tcPr>
          <w:p w14:paraId="6A2C52C3" w14:textId="49735816" w:rsidR="00586C8A" w:rsidRPr="000B33BD" w:rsidRDefault="000B33BD" w:rsidP="007B5A32">
            <w:pPr>
              <w:spacing w:line="276" w:lineRule="auto"/>
              <w:jc w:val="both"/>
              <w:rPr>
                <w:rFonts w:ascii="Times New Roman" w:hAnsi="Times New Roman" w:cs="Times New Roman"/>
                <w:b/>
                <w:bCs/>
              </w:rPr>
            </w:pPr>
            <w:r w:rsidRPr="000B33BD">
              <w:rPr>
                <w:rFonts w:ascii="Times New Roman" w:hAnsi="Times New Roman" w:cs="Times New Roman"/>
                <w:b/>
                <w:bCs/>
              </w:rPr>
              <w:t>CN</w:t>
            </w:r>
          </w:p>
        </w:tc>
        <w:tc>
          <w:tcPr>
            <w:tcW w:w="1134" w:type="dxa"/>
          </w:tcPr>
          <w:p w14:paraId="416FEF56" w14:textId="5212FA69" w:rsidR="00586C8A" w:rsidRPr="000B33BD" w:rsidRDefault="000B33BD" w:rsidP="007B5A32">
            <w:pPr>
              <w:spacing w:line="276" w:lineRule="auto"/>
              <w:jc w:val="both"/>
              <w:rPr>
                <w:rFonts w:ascii="Times New Roman" w:hAnsi="Times New Roman" w:cs="Times New Roman"/>
                <w:b/>
                <w:bCs/>
              </w:rPr>
            </w:pPr>
            <w:r w:rsidRPr="000B33BD">
              <w:rPr>
                <w:rFonts w:ascii="Times New Roman" w:hAnsi="Times New Roman" w:cs="Times New Roman"/>
                <w:b/>
                <w:bCs/>
              </w:rPr>
              <w:t>RU</w:t>
            </w:r>
          </w:p>
        </w:tc>
      </w:tr>
      <w:tr w:rsidR="00586C8A" w14:paraId="01B7DA46" w14:textId="77777777" w:rsidTr="000B33BD">
        <w:tc>
          <w:tcPr>
            <w:tcW w:w="1290" w:type="dxa"/>
          </w:tcPr>
          <w:p w14:paraId="1AE44645" w14:textId="2E026B03" w:rsidR="00586C8A" w:rsidRPr="000B33BD" w:rsidRDefault="000B33BD" w:rsidP="007B5A32">
            <w:pPr>
              <w:spacing w:line="276" w:lineRule="auto"/>
              <w:jc w:val="both"/>
              <w:rPr>
                <w:rFonts w:ascii="Times New Roman" w:hAnsi="Times New Roman" w:cs="Times New Roman"/>
                <w:b/>
                <w:bCs/>
              </w:rPr>
            </w:pPr>
            <w:r w:rsidRPr="000B33BD">
              <w:rPr>
                <w:rFonts w:ascii="Times New Roman" w:hAnsi="Times New Roman" w:cs="Times New Roman"/>
                <w:b/>
                <w:bCs/>
              </w:rPr>
              <w:t>KZ</w:t>
            </w:r>
          </w:p>
        </w:tc>
        <w:tc>
          <w:tcPr>
            <w:tcW w:w="1257" w:type="dxa"/>
          </w:tcPr>
          <w:p w14:paraId="42687DA3" w14:textId="5E620F92" w:rsidR="00586C8A" w:rsidRDefault="000B33BD" w:rsidP="007B5A32">
            <w:pPr>
              <w:spacing w:line="276" w:lineRule="auto"/>
              <w:jc w:val="both"/>
              <w:rPr>
                <w:rFonts w:ascii="Times New Roman" w:hAnsi="Times New Roman" w:cs="Times New Roman"/>
              </w:rPr>
            </w:pPr>
            <w:r>
              <w:rPr>
                <w:rFonts w:ascii="Times New Roman" w:hAnsi="Times New Roman" w:cs="Times New Roman"/>
              </w:rPr>
              <w:t>41,4</w:t>
            </w:r>
          </w:p>
        </w:tc>
        <w:tc>
          <w:tcPr>
            <w:tcW w:w="1417" w:type="dxa"/>
          </w:tcPr>
          <w:p w14:paraId="3DA8B560" w14:textId="72FC2AE1" w:rsidR="00586C8A" w:rsidRDefault="000B33BD" w:rsidP="007B5A32">
            <w:pPr>
              <w:spacing w:line="276" w:lineRule="auto"/>
              <w:jc w:val="both"/>
              <w:rPr>
                <w:rFonts w:ascii="Times New Roman" w:hAnsi="Times New Roman" w:cs="Times New Roman"/>
              </w:rPr>
            </w:pPr>
            <w:r>
              <w:rPr>
                <w:rFonts w:ascii="Times New Roman" w:hAnsi="Times New Roman" w:cs="Times New Roman"/>
              </w:rPr>
              <w:t>5</w:t>
            </w:r>
          </w:p>
        </w:tc>
        <w:tc>
          <w:tcPr>
            <w:tcW w:w="1276" w:type="dxa"/>
          </w:tcPr>
          <w:p w14:paraId="0C42F194" w14:textId="3092240F" w:rsidR="00586C8A" w:rsidRDefault="000B33BD" w:rsidP="007B5A32">
            <w:pPr>
              <w:spacing w:line="276" w:lineRule="auto"/>
              <w:jc w:val="both"/>
              <w:rPr>
                <w:rFonts w:ascii="Times New Roman" w:hAnsi="Times New Roman" w:cs="Times New Roman"/>
              </w:rPr>
            </w:pPr>
            <w:r>
              <w:rPr>
                <w:rFonts w:ascii="Times New Roman" w:hAnsi="Times New Roman" w:cs="Times New Roman"/>
              </w:rPr>
              <w:t>40</w:t>
            </w:r>
          </w:p>
        </w:tc>
        <w:tc>
          <w:tcPr>
            <w:tcW w:w="1134" w:type="dxa"/>
          </w:tcPr>
          <w:p w14:paraId="7F3A7C19" w14:textId="3FA5DBA6" w:rsidR="00586C8A" w:rsidRDefault="000B33BD" w:rsidP="007B5A32">
            <w:pPr>
              <w:spacing w:line="276" w:lineRule="auto"/>
              <w:jc w:val="both"/>
              <w:rPr>
                <w:rFonts w:ascii="Times New Roman" w:hAnsi="Times New Roman" w:cs="Times New Roman"/>
              </w:rPr>
            </w:pPr>
            <w:r>
              <w:rPr>
                <w:rFonts w:ascii="Times New Roman" w:hAnsi="Times New Roman" w:cs="Times New Roman"/>
              </w:rPr>
              <w:t>27,8</w:t>
            </w:r>
          </w:p>
        </w:tc>
      </w:tr>
      <w:tr w:rsidR="000B33BD" w14:paraId="175F7592" w14:textId="77777777" w:rsidTr="000B33BD">
        <w:tc>
          <w:tcPr>
            <w:tcW w:w="1290" w:type="dxa"/>
          </w:tcPr>
          <w:p w14:paraId="053D6768" w14:textId="607B4077" w:rsidR="000B33BD" w:rsidRPr="000B33BD" w:rsidRDefault="000B33BD" w:rsidP="000B33BD">
            <w:pPr>
              <w:spacing w:line="276" w:lineRule="auto"/>
              <w:jc w:val="both"/>
              <w:rPr>
                <w:rFonts w:ascii="Times New Roman" w:hAnsi="Times New Roman" w:cs="Times New Roman"/>
                <w:b/>
                <w:bCs/>
              </w:rPr>
            </w:pPr>
            <w:r w:rsidRPr="000B33BD">
              <w:rPr>
                <w:rFonts w:ascii="Times New Roman" w:hAnsi="Times New Roman" w:cs="Times New Roman"/>
                <w:b/>
                <w:bCs/>
              </w:rPr>
              <w:t>UZB</w:t>
            </w:r>
          </w:p>
        </w:tc>
        <w:tc>
          <w:tcPr>
            <w:tcW w:w="1257" w:type="dxa"/>
          </w:tcPr>
          <w:p w14:paraId="1FB4A833" w14:textId="05356FE0" w:rsidR="000B33BD" w:rsidRDefault="000B33BD" w:rsidP="000B33BD">
            <w:pPr>
              <w:spacing w:line="276" w:lineRule="auto"/>
              <w:jc w:val="both"/>
              <w:rPr>
                <w:rFonts w:ascii="Times New Roman" w:hAnsi="Times New Roman" w:cs="Times New Roman"/>
              </w:rPr>
            </w:pPr>
            <w:r>
              <w:rPr>
                <w:rFonts w:ascii="Times New Roman" w:hAnsi="Times New Roman" w:cs="Times New Roman"/>
              </w:rPr>
              <w:t>4,8</w:t>
            </w:r>
          </w:p>
        </w:tc>
        <w:tc>
          <w:tcPr>
            <w:tcW w:w="1417" w:type="dxa"/>
          </w:tcPr>
          <w:p w14:paraId="70A56576" w14:textId="6E119A9F" w:rsidR="000B33BD" w:rsidRDefault="000B33BD" w:rsidP="000B33BD">
            <w:pPr>
              <w:spacing w:line="276" w:lineRule="auto"/>
              <w:jc w:val="both"/>
              <w:rPr>
                <w:rFonts w:ascii="Times New Roman" w:hAnsi="Times New Roman" w:cs="Times New Roman"/>
              </w:rPr>
            </w:pPr>
            <w:r>
              <w:rPr>
                <w:rFonts w:ascii="Times New Roman" w:hAnsi="Times New Roman" w:cs="Times New Roman"/>
              </w:rPr>
              <w:t>1</w:t>
            </w:r>
          </w:p>
        </w:tc>
        <w:tc>
          <w:tcPr>
            <w:tcW w:w="1276" w:type="dxa"/>
          </w:tcPr>
          <w:p w14:paraId="1432529F" w14:textId="3465B315" w:rsidR="000B33BD" w:rsidRDefault="000B33BD" w:rsidP="000B33BD">
            <w:pPr>
              <w:spacing w:line="276" w:lineRule="auto"/>
              <w:jc w:val="both"/>
              <w:rPr>
                <w:rFonts w:ascii="Times New Roman" w:hAnsi="Times New Roman" w:cs="Times New Roman"/>
              </w:rPr>
            </w:pPr>
            <w:r>
              <w:rPr>
                <w:rFonts w:ascii="Times New Roman" w:hAnsi="Times New Roman" w:cs="Times New Roman"/>
              </w:rPr>
              <w:t>17,2</w:t>
            </w:r>
          </w:p>
        </w:tc>
        <w:tc>
          <w:tcPr>
            <w:tcW w:w="1134" w:type="dxa"/>
          </w:tcPr>
          <w:p w14:paraId="69986B76" w14:textId="3C940711" w:rsidR="000B33BD" w:rsidRDefault="000B33BD" w:rsidP="000B33BD">
            <w:pPr>
              <w:spacing w:line="276" w:lineRule="auto"/>
              <w:jc w:val="both"/>
              <w:rPr>
                <w:rFonts w:ascii="Times New Roman" w:hAnsi="Times New Roman" w:cs="Times New Roman"/>
              </w:rPr>
            </w:pPr>
            <w:r>
              <w:rPr>
                <w:rFonts w:ascii="Times New Roman" w:hAnsi="Times New Roman" w:cs="Times New Roman"/>
              </w:rPr>
              <w:t>13</w:t>
            </w:r>
          </w:p>
        </w:tc>
      </w:tr>
      <w:tr w:rsidR="000B33BD" w14:paraId="076F1580" w14:textId="77777777" w:rsidTr="000B33BD">
        <w:tc>
          <w:tcPr>
            <w:tcW w:w="1290" w:type="dxa"/>
          </w:tcPr>
          <w:p w14:paraId="442E2480" w14:textId="04DAB8B2" w:rsidR="000B33BD" w:rsidRPr="000B33BD" w:rsidRDefault="000B33BD" w:rsidP="000B33BD">
            <w:pPr>
              <w:spacing w:line="276" w:lineRule="auto"/>
              <w:jc w:val="both"/>
              <w:rPr>
                <w:rFonts w:ascii="Times New Roman" w:hAnsi="Times New Roman" w:cs="Times New Roman"/>
                <w:b/>
                <w:bCs/>
              </w:rPr>
            </w:pPr>
            <w:r w:rsidRPr="000B33BD">
              <w:rPr>
                <w:rFonts w:ascii="Times New Roman" w:hAnsi="Times New Roman" w:cs="Times New Roman"/>
                <w:b/>
                <w:bCs/>
              </w:rPr>
              <w:t>KG</w:t>
            </w:r>
          </w:p>
        </w:tc>
        <w:tc>
          <w:tcPr>
            <w:tcW w:w="1257" w:type="dxa"/>
          </w:tcPr>
          <w:p w14:paraId="393B20C3" w14:textId="10D2FBE7" w:rsidR="000B33BD" w:rsidRDefault="000B33BD" w:rsidP="000B33BD">
            <w:pPr>
              <w:spacing w:line="276" w:lineRule="auto"/>
              <w:jc w:val="both"/>
              <w:rPr>
                <w:rFonts w:ascii="Times New Roman" w:hAnsi="Times New Roman" w:cs="Times New Roman"/>
              </w:rPr>
            </w:pPr>
            <w:r>
              <w:rPr>
                <w:rFonts w:ascii="Times New Roman" w:hAnsi="Times New Roman" w:cs="Times New Roman"/>
              </w:rPr>
              <w:t>3,1</w:t>
            </w:r>
          </w:p>
        </w:tc>
        <w:tc>
          <w:tcPr>
            <w:tcW w:w="1417" w:type="dxa"/>
          </w:tcPr>
          <w:p w14:paraId="2C649FA6" w14:textId="10DE4302" w:rsidR="000B33BD" w:rsidRDefault="000B33BD" w:rsidP="000B33BD">
            <w:pPr>
              <w:spacing w:line="276" w:lineRule="auto"/>
              <w:jc w:val="both"/>
              <w:rPr>
                <w:rFonts w:ascii="Times New Roman" w:hAnsi="Times New Roman" w:cs="Times New Roman"/>
              </w:rPr>
            </w:pPr>
            <w:r>
              <w:rPr>
                <w:rFonts w:ascii="Times New Roman" w:hAnsi="Times New Roman" w:cs="Times New Roman"/>
              </w:rPr>
              <w:t>0,2</w:t>
            </w:r>
          </w:p>
        </w:tc>
        <w:tc>
          <w:tcPr>
            <w:tcW w:w="1276" w:type="dxa"/>
          </w:tcPr>
          <w:p w14:paraId="2B4D6FBC" w14:textId="5A8A24A9" w:rsidR="000B33BD" w:rsidRDefault="000B33BD" w:rsidP="000B33BD">
            <w:pPr>
              <w:spacing w:line="276" w:lineRule="auto"/>
              <w:jc w:val="both"/>
              <w:rPr>
                <w:rFonts w:ascii="Times New Roman" w:hAnsi="Times New Roman" w:cs="Times New Roman"/>
              </w:rPr>
            </w:pPr>
            <w:r>
              <w:rPr>
                <w:rFonts w:ascii="Times New Roman" w:hAnsi="Times New Roman" w:cs="Times New Roman"/>
              </w:rPr>
              <w:t>23,6</w:t>
            </w:r>
          </w:p>
        </w:tc>
        <w:tc>
          <w:tcPr>
            <w:tcW w:w="1134" w:type="dxa"/>
          </w:tcPr>
          <w:p w14:paraId="54C43D43" w14:textId="7E6575FF" w:rsidR="000B33BD" w:rsidRDefault="000B33BD" w:rsidP="000B33BD">
            <w:pPr>
              <w:spacing w:line="276" w:lineRule="auto"/>
              <w:jc w:val="both"/>
              <w:rPr>
                <w:rFonts w:ascii="Times New Roman" w:hAnsi="Times New Roman" w:cs="Times New Roman"/>
              </w:rPr>
            </w:pPr>
            <w:r>
              <w:rPr>
                <w:rFonts w:ascii="Times New Roman" w:hAnsi="Times New Roman" w:cs="Times New Roman"/>
              </w:rPr>
              <w:t>4,7</w:t>
            </w:r>
          </w:p>
        </w:tc>
      </w:tr>
      <w:tr w:rsidR="000B33BD" w14:paraId="7F4602E1" w14:textId="77777777" w:rsidTr="000B33BD">
        <w:tc>
          <w:tcPr>
            <w:tcW w:w="1290" w:type="dxa"/>
          </w:tcPr>
          <w:p w14:paraId="4B988107" w14:textId="6021A68B" w:rsidR="000B33BD" w:rsidRPr="000B33BD" w:rsidRDefault="000B33BD" w:rsidP="000B33BD">
            <w:pPr>
              <w:spacing w:line="276" w:lineRule="auto"/>
              <w:jc w:val="both"/>
              <w:rPr>
                <w:rFonts w:ascii="Times New Roman" w:hAnsi="Times New Roman" w:cs="Times New Roman"/>
                <w:b/>
                <w:bCs/>
              </w:rPr>
            </w:pPr>
            <w:r w:rsidRPr="000B33BD">
              <w:rPr>
                <w:rFonts w:ascii="Times New Roman" w:hAnsi="Times New Roman" w:cs="Times New Roman"/>
                <w:b/>
                <w:bCs/>
              </w:rPr>
              <w:t>TJ</w:t>
            </w:r>
          </w:p>
        </w:tc>
        <w:tc>
          <w:tcPr>
            <w:tcW w:w="1257" w:type="dxa"/>
          </w:tcPr>
          <w:p w14:paraId="349AC5DB" w14:textId="6126B5D0" w:rsidR="000B33BD" w:rsidRDefault="000B33BD" w:rsidP="000B33BD">
            <w:pPr>
              <w:spacing w:line="276" w:lineRule="auto"/>
              <w:jc w:val="both"/>
              <w:rPr>
                <w:rFonts w:ascii="Times New Roman" w:hAnsi="Times New Roman" w:cs="Times New Roman"/>
              </w:rPr>
            </w:pPr>
            <w:r>
              <w:rPr>
                <w:rFonts w:ascii="Times New Roman" w:hAnsi="Times New Roman" w:cs="Times New Roman"/>
              </w:rPr>
              <w:t>0,6</w:t>
            </w:r>
          </w:p>
        </w:tc>
        <w:tc>
          <w:tcPr>
            <w:tcW w:w="1417" w:type="dxa"/>
          </w:tcPr>
          <w:p w14:paraId="30A53402" w14:textId="1058A242" w:rsidR="000B33BD" w:rsidRDefault="000B33BD" w:rsidP="000B33BD">
            <w:pPr>
              <w:spacing w:line="276" w:lineRule="auto"/>
              <w:jc w:val="both"/>
              <w:rPr>
                <w:rFonts w:ascii="Times New Roman" w:hAnsi="Times New Roman" w:cs="Times New Roman"/>
              </w:rPr>
            </w:pPr>
            <w:r>
              <w:rPr>
                <w:rFonts w:ascii="Times New Roman" w:hAnsi="Times New Roman" w:cs="Times New Roman"/>
              </w:rPr>
              <w:t>0,04</w:t>
            </w:r>
          </w:p>
        </w:tc>
        <w:tc>
          <w:tcPr>
            <w:tcW w:w="1276" w:type="dxa"/>
          </w:tcPr>
          <w:p w14:paraId="4CC8F536" w14:textId="30872B34" w:rsidR="000B33BD" w:rsidRDefault="000B33BD" w:rsidP="000B33BD">
            <w:pPr>
              <w:spacing w:line="276" w:lineRule="auto"/>
              <w:jc w:val="both"/>
              <w:rPr>
                <w:rFonts w:ascii="Times New Roman" w:hAnsi="Times New Roman" w:cs="Times New Roman"/>
              </w:rPr>
            </w:pPr>
            <w:r>
              <w:rPr>
                <w:rFonts w:ascii="Times New Roman" w:hAnsi="Times New Roman" w:cs="Times New Roman"/>
              </w:rPr>
              <w:t>4,3</w:t>
            </w:r>
          </w:p>
        </w:tc>
        <w:tc>
          <w:tcPr>
            <w:tcW w:w="1134" w:type="dxa"/>
          </w:tcPr>
          <w:p w14:paraId="5473F334" w14:textId="39699D91" w:rsidR="000B33BD" w:rsidRDefault="000B33BD" w:rsidP="000B33BD">
            <w:pPr>
              <w:spacing w:line="276" w:lineRule="auto"/>
              <w:jc w:val="both"/>
              <w:rPr>
                <w:rFonts w:ascii="Times New Roman" w:hAnsi="Times New Roman" w:cs="Times New Roman"/>
              </w:rPr>
            </w:pPr>
            <w:r>
              <w:rPr>
                <w:rFonts w:ascii="Times New Roman" w:hAnsi="Times New Roman" w:cs="Times New Roman"/>
              </w:rPr>
              <w:t>2,3</w:t>
            </w:r>
          </w:p>
        </w:tc>
      </w:tr>
      <w:tr w:rsidR="000B33BD" w14:paraId="7C05A48C" w14:textId="77777777" w:rsidTr="000B33BD">
        <w:tc>
          <w:tcPr>
            <w:tcW w:w="1290" w:type="dxa"/>
          </w:tcPr>
          <w:p w14:paraId="3BE96EA5" w14:textId="510EEA2D" w:rsidR="000B33BD" w:rsidRPr="000B33BD" w:rsidRDefault="000B33BD" w:rsidP="000B33BD">
            <w:pPr>
              <w:spacing w:line="276" w:lineRule="auto"/>
              <w:jc w:val="both"/>
              <w:rPr>
                <w:rFonts w:ascii="Times New Roman" w:hAnsi="Times New Roman" w:cs="Times New Roman"/>
                <w:b/>
                <w:bCs/>
              </w:rPr>
            </w:pPr>
            <w:r w:rsidRPr="000B33BD">
              <w:rPr>
                <w:rFonts w:ascii="Times New Roman" w:hAnsi="Times New Roman" w:cs="Times New Roman"/>
                <w:b/>
                <w:bCs/>
              </w:rPr>
              <w:t>TM</w:t>
            </w:r>
          </w:p>
        </w:tc>
        <w:tc>
          <w:tcPr>
            <w:tcW w:w="1257" w:type="dxa"/>
          </w:tcPr>
          <w:p w14:paraId="054681FE" w14:textId="7E67E0B4" w:rsidR="000B33BD" w:rsidRDefault="000B33BD" w:rsidP="000B33BD">
            <w:pPr>
              <w:spacing w:line="276" w:lineRule="auto"/>
              <w:jc w:val="both"/>
              <w:rPr>
                <w:rFonts w:ascii="Times New Roman" w:hAnsi="Times New Roman" w:cs="Times New Roman"/>
              </w:rPr>
            </w:pPr>
            <w:r>
              <w:rPr>
                <w:rFonts w:ascii="Times New Roman" w:hAnsi="Times New Roman" w:cs="Times New Roman"/>
              </w:rPr>
              <w:t>1,1</w:t>
            </w:r>
          </w:p>
        </w:tc>
        <w:tc>
          <w:tcPr>
            <w:tcW w:w="1417" w:type="dxa"/>
          </w:tcPr>
          <w:p w14:paraId="7CF59CC6" w14:textId="72244A14" w:rsidR="000B33BD" w:rsidRDefault="000B33BD" w:rsidP="000B33BD">
            <w:pPr>
              <w:spacing w:line="276" w:lineRule="auto"/>
              <w:jc w:val="both"/>
              <w:rPr>
                <w:rFonts w:ascii="Times New Roman" w:hAnsi="Times New Roman" w:cs="Times New Roman"/>
              </w:rPr>
            </w:pPr>
            <w:r>
              <w:rPr>
                <w:rFonts w:ascii="Times New Roman" w:hAnsi="Times New Roman" w:cs="Times New Roman"/>
              </w:rPr>
              <w:t>0,15</w:t>
            </w:r>
          </w:p>
        </w:tc>
        <w:tc>
          <w:tcPr>
            <w:tcW w:w="1276" w:type="dxa"/>
          </w:tcPr>
          <w:p w14:paraId="758C5E46" w14:textId="753AE8A8" w:rsidR="000B33BD" w:rsidRDefault="000B33BD" w:rsidP="000B33BD">
            <w:pPr>
              <w:spacing w:line="276" w:lineRule="auto"/>
              <w:jc w:val="both"/>
              <w:rPr>
                <w:rFonts w:ascii="Times New Roman" w:hAnsi="Times New Roman" w:cs="Times New Roman"/>
              </w:rPr>
            </w:pPr>
            <w:r>
              <w:rPr>
                <w:rFonts w:ascii="Times New Roman" w:hAnsi="Times New Roman" w:cs="Times New Roman"/>
              </w:rPr>
              <w:t>10</w:t>
            </w:r>
          </w:p>
        </w:tc>
        <w:tc>
          <w:tcPr>
            <w:tcW w:w="1134" w:type="dxa"/>
          </w:tcPr>
          <w:p w14:paraId="2509977F" w14:textId="6FFC7DEC" w:rsidR="000B33BD" w:rsidRDefault="000B33BD" w:rsidP="000B33BD">
            <w:pPr>
              <w:spacing w:line="276" w:lineRule="auto"/>
              <w:jc w:val="both"/>
              <w:rPr>
                <w:rFonts w:ascii="Times New Roman" w:hAnsi="Times New Roman" w:cs="Times New Roman"/>
              </w:rPr>
            </w:pPr>
            <w:r>
              <w:rPr>
                <w:rFonts w:ascii="Times New Roman" w:hAnsi="Times New Roman" w:cs="Times New Roman"/>
              </w:rPr>
              <w:t>2,5</w:t>
            </w:r>
          </w:p>
        </w:tc>
      </w:tr>
    </w:tbl>
    <w:p w14:paraId="1FD4A290" w14:textId="77777777" w:rsidR="006048A3" w:rsidRPr="008170E0" w:rsidRDefault="006048A3" w:rsidP="007B5A32">
      <w:pPr>
        <w:spacing w:after="0" w:line="276" w:lineRule="auto"/>
        <w:jc w:val="both"/>
        <w:rPr>
          <w:rFonts w:ascii="Times New Roman" w:hAnsi="Times New Roman" w:cs="Times New Roman"/>
        </w:rPr>
      </w:pPr>
    </w:p>
    <w:p w14:paraId="69CC3978" w14:textId="0FC172C6" w:rsidR="006048A3" w:rsidRPr="00890B38" w:rsidRDefault="006211D9" w:rsidP="007B5A32">
      <w:pPr>
        <w:spacing w:after="0" w:line="276" w:lineRule="auto"/>
        <w:jc w:val="both"/>
        <w:rPr>
          <w:rFonts w:ascii="Times New Roman" w:hAnsi="Times New Roman" w:cs="Times New Roman"/>
          <w:b/>
          <w:bCs/>
          <w:u w:val="single"/>
        </w:rPr>
      </w:pPr>
      <w:r w:rsidRPr="00890B38">
        <w:rPr>
          <w:rFonts w:ascii="Times New Roman" w:hAnsi="Times New Roman" w:cs="Times New Roman"/>
          <w:b/>
          <w:bCs/>
          <w:u w:val="single"/>
        </w:rPr>
        <w:t>Politinė, ekonominė ir socialinė situacija bei kryptys</w:t>
      </w:r>
    </w:p>
    <w:p w14:paraId="01513056" w14:textId="2358F6F6" w:rsidR="006211D9" w:rsidRDefault="006211D9" w:rsidP="007B5A32">
      <w:pPr>
        <w:spacing w:after="0" w:line="276" w:lineRule="auto"/>
        <w:jc w:val="both"/>
        <w:rPr>
          <w:rFonts w:ascii="Times New Roman" w:hAnsi="Times New Roman" w:cs="Times New Roman"/>
        </w:rPr>
      </w:pPr>
      <w:r w:rsidRPr="002E7E87">
        <w:rPr>
          <w:rFonts w:ascii="Times New Roman" w:hAnsi="Times New Roman" w:cs="Times New Roman"/>
          <w:b/>
          <w:bCs/>
        </w:rPr>
        <w:t>Kazachstane</w:t>
      </w:r>
      <w:r>
        <w:rPr>
          <w:rFonts w:ascii="Times New Roman" w:hAnsi="Times New Roman" w:cs="Times New Roman"/>
        </w:rPr>
        <w:t xml:space="preserve"> po Konstitucijos keitimo buvo sustiprintos arba centralizuotos prezidentinės jėgos, buvo panaikintas senatas</w:t>
      </w:r>
      <w:r w:rsidR="00C05660">
        <w:rPr>
          <w:rFonts w:ascii="Times New Roman" w:hAnsi="Times New Roman" w:cs="Times New Roman"/>
        </w:rPr>
        <w:t>, t</w:t>
      </w:r>
      <w:r w:rsidR="00C05660" w:rsidRPr="00C05660">
        <w:rPr>
          <w:rFonts w:ascii="Times New Roman" w:hAnsi="Times New Roman" w:cs="Times New Roman"/>
        </w:rPr>
        <w:t>urto susigrąžinimo komitetas tapo investuotojų apsaugos institucija</w:t>
      </w:r>
      <w:r w:rsidR="00C05660">
        <w:rPr>
          <w:rFonts w:ascii="Times New Roman" w:hAnsi="Times New Roman" w:cs="Times New Roman"/>
        </w:rPr>
        <w:t xml:space="preserve">. </w:t>
      </w:r>
      <w:r w:rsidR="00C05660">
        <w:rPr>
          <w:rFonts w:ascii="Times New Roman" w:hAnsi="Times New Roman" w:cs="Times New Roman"/>
        </w:rPr>
        <w:lastRenderedPageBreak/>
        <w:t xml:space="preserve">Ekonomikoje jaučiamas augimas – bendras BVP augo 6,3 proc., tačiau infliacija yra gana aukšta, t.y. apie 11 proc. ir matoma tendencija jai išlikti ar net dar daugiau augti. </w:t>
      </w:r>
      <w:r w:rsidR="00C91F71">
        <w:rPr>
          <w:rFonts w:ascii="Times New Roman" w:hAnsi="Times New Roman" w:cs="Times New Roman"/>
        </w:rPr>
        <w:t xml:space="preserve">Įvedus naujus mokesčius, o PVM padidinus iki 16 proc. šalyje padaugėjo </w:t>
      </w:r>
      <w:r w:rsidR="005C39A3">
        <w:rPr>
          <w:rFonts w:ascii="Times New Roman" w:hAnsi="Times New Roman" w:cs="Times New Roman"/>
        </w:rPr>
        <w:t>VMĮ (</w:t>
      </w:r>
      <w:r w:rsidR="005C39A3">
        <w:rPr>
          <w:rFonts w:ascii="Times New Roman" w:hAnsi="Times New Roman" w:cs="Times New Roman"/>
          <w:i/>
          <w:iCs/>
        </w:rPr>
        <w:t xml:space="preserve">SME) </w:t>
      </w:r>
      <w:r w:rsidR="00C91F71">
        <w:rPr>
          <w:rFonts w:ascii="Times New Roman" w:hAnsi="Times New Roman" w:cs="Times New Roman"/>
        </w:rPr>
        <w:t xml:space="preserve">bankrotų. </w:t>
      </w:r>
      <w:r w:rsidR="00C05660">
        <w:rPr>
          <w:rFonts w:ascii="Times New Roman" w:hAnsi="Times New Roman" w:cs="Times New Roman"/>
        </w:rPr>
        <w:t>Biudžeto deficitas sudaro 7-8 mlrd. USD.</w:t>
      </w:r>
      <w:r w:rsidR="00C91F71">
        <w:rPr>
          <w:rFonts w:ascii="Times New Roman" w:hAnsi="Times New Roman" w:cs="Times New Roman"/>
        </w:rPr>
        <w:t>, ir toliau didėja.</w:t>
      </w:r>
      <w:r w:rsidR="00C05660">
        <w:rPr>
          <w:rFonts w:ascii="Times New Roman" w:hAnsi="Times New Roman" w:cs="Times New Roman"/>
        </w:rPr>
        <w:t xml:space="preserve"> Bazinė palūkanų norma yra 17 proc. Socialinėje sferoje matomas augantis nepasitenkinimas maisto, energetikos ir mokesčių kainų augimu. Privalomojo medicininio draudimo fondas yra be galo įsiskolinęs medicinos įstaigoms, o bendrai socialinei sferai yra skiriama net 60 proc. viso šalies biudžeto. Ateityje Kazachstanas greičiausiai turės ieškoti finansinės pagal</w:t>
      </w:r>
      <w:r w:rsidR="002E7E87">
        <w:rPr>
          <w:rFonts w:ascii="Times New Roman" w:hAnsi="Times New Roman" w:cs="Times New Roman"/>
        </w:rPr>
        <w:t xml:space="preserve">bos iš užsienio, galbūt net iš AB </w:t>
      </w:r>
      <w:r w:rsidR="002E7E87" w:rsidRPr="002E7E87">
        <w:rPr>
          <w:rFonts w:ascii="Times New Roman" w:hAnsi="Times New Roman" w:cs="Times New Roman"/>
        </w:rPr>
        <w:t>„Viening</w:t>
      </w:r>
      <w:r w:rsidR="002E7E87">
        <w:rPr>
          <w:rFonts w:ascii="Times New Roman" w:hAnsi="Times New Roman" w:cs="Times New Roman"/>
        </w:rPr>
        <w:t>o</w:t>
      </w:r>
      <w:r w:rsidR="002E7E87" w:rsidRPr="002E7E87">
        <w:rPr>
          <w:rFonts w:ascii="Times New Roman" w:hAnsi="Times New Roman" w:cs="Times New Roman"/>
        </w:rPr>
        <w:t xml:space="preserve"> kaupiam</w:t>
      </w:r>
      <w:r w:rsidR="002E7E87">
        <w:rPr>
          <w:rFonts w:ascii="Times New Roman" w:hAnsi="Times New Roman" w:cs="Times New Roman"/>
        </w:rPr>
        <w:t>ojo</w:t>
      </w:r>
      <w:r w:rsidR="002E7E87" w:rsidRPr="002E7E87">
        <w:rPr>
          <w:rFonts w:ascii="Times New Roman" w:hAnsi="Times New Roman" w:cs="Times New Roman"/>
        </w:rPr>
        <w:t xml:space="preserve"> pensijų fond</w:t>
      </w:r>
      <w:r w:rsidR="002E7E87">
        <w:rPr>
          <w:rFonts w:ascii="Times New Roman" w:hAnsi="Times New Roman" w:cs="Times New Roman"/>
        </w:rPr>
        <w:t>o</w:t>
      </w:r>
      <w:r w:rsidR="002E7E87" w:rsidRPr="002E7E87">
        <w:rPr>
          <w:rFonts w:ascii="Times New Roman" w:hAnsi="Times New Roman" w:cs="Times New Roman"/>
        </w:rPr>
        <w:t>“ (JSC "UAPF")</w:t>
      </w:r>
      <w:r w:rsidR="002E7E87">
        <w:rPr>
          <w:rFonts w:ascii="Times New Roman" w:hAnsi="Times New Roman" w:cs="Times New Roman"/>
        </w:rPr>
        <w:t xml:space="preserve">, kas daroma jau ir dabar. Taip pat svarstomas pensijinio amžiaus didinimas. </w:t>
      </w:r>
    </w:p>
    <w:p w14:paraId="189E54BD" w14:textId="32649A06" w:rsidR="006211D9" w:rsidRDefault="002E7E87" w:rsidP="007B5A32">
      <w:pPr>
        <w:spacing w:after="0" w:line="276" w:lineRule="auto"/>
        <w:jc w:val="both"/>
        <w:rPr>
          <w:rFonts w:ascii="Times New Roman" w:hAnsi="Times New Roman" w:cs="Times New Roman"/>
        </w:rPr>
      </w:pPr>
      <w:r w:rsidRPr="00FA01D6">
        <w:rPr>
          <w:rFonts w:ascii="Times New Roman" w:hAnsi="Times New Roman" w:cs="Times New Roman"/>
          <w:b/>
          <w:bCs/>
        </w:rPr>
        <w:t>Uzbekistane</w:t>
      </w:r>
      <w:r>
        <w:rPr>
          <w:rFonts w:ascii="Times New Roman" w:hAnsi="Times New Roman" w:cs="Times New Roman"/>
        </w:rPr>
        <w:t xml:space="preserve"> tikimasi perrinkti dabartinį prezidentą</w:t>
      </w:r>
      <w:r w:rsidR="004F09D7">
        <w:rPr>
          <w:rFonts w:ascii="Times New Roman" w:hAnsi="Times New Roman" w:cs="Times New Roman"/>
        </w:rPr>
        <w:t xml:space="preserve"> S.</w:t>
      </w:r>
      <w:r>
        <w:rPr>
          <w:rFonts w:ascii="Times New Roman" w:hAnsi="Times New Roman" w:cs="Times New Roman"/>
        </w:rPr>
        <w:t xml:space="preserve"> Mirziyoyev</w:t>
      </w:r>
      <w:r w:rsidR="004F09D7">
        <w:rPr>
          <w:rFonts w:ascii="Times New Roman" w:hAnsi="Times New Roman" w:cs="Times New Roman"/>
        </w:rPr>
        <w:t>, kuris po konstitucijos įstatymo pataisų prezidento pareigas galėtų eiti net iki 2037 metų.</w:t>
      </w:r>
      <w:r w:rsidR="00FA01D6">
        <w:rPr>
          <w:rFonts w:ascii="Times New Roman" w:hAnsi="Times New Roman" w:cs="Times New Roman"/>
        </w:rPr>
        <w:t xml:space="preserve"> Šalyje reformos vykdomos iš viršaus į apačią principu, o užsienio politika kaip ir daugumoje CA šalių vykdoma </w:t>
      </w:r>
      <w:r w:rsidR="00890B38">
        <w:rPr>
          <w:rFonts w:ascii="Times New Roman" w:hAnsi="Times New Roman" w:cs="Times New Roman"/>
        </w:rPr>
        <w:t>daugia</w:t>
      </w:r>
      <w:r w:rsidR="00682FA7">
        <w:rPr>
          <w:rFonts w:ascii="Times New Roman" w:hAnsi="Times New Roman" w:cs="Times New Roman"/>
        </w:rPr>
        <w:t xml:space="preserve">vektoriniu principu (RU, CN, ES, Turkija, Arabų šalys). </w:t>
      </w:r>
      <w:r w:rsidR="00BC13D5">
        <w:rPr>
          <w:rFonts w:ascii="Times New Roman" w:hAnsi="Times New Roman" w:cs="Times New Roman"/>
        </w:rPr>
        <w:t xml:space="preserve">BVP kiekvienais metais auga 7 proc. ir sudaro 147 mlrd. USD, (3,846 USD per capita), TUI sudaro 43 mlrd. USD, per kelerius metus padidėjo 47 proc. Šalyje gyvena daugiau kaip 38 mln. Gyventojų, kiekvienais metais prieaugis apie 800 tūkst., labai jauna pagal </w:t>
      </w:r>
      <w:r w:rsidR="00C91F71">
        <w:rPr>
          <w:rFonts w:ascii="Times New Roman" w:hAnsi="Times New Roman" w:cs="Times New Roman"/>
        </w:rPr>
        <w:t>g</w:t>
      </w:r>
      <w:r w:rsidR="00BC13D5">
        <w:rPr>
          <w:rFonts w:ascii="Times New Roman" w:hAnsi="Times New Roman" w:cs="Times New Roman"/>
        </w:rPr>
        <w:t>yventojų amžių valstybė, oficialiai nedarbo lygis siekia tik 4,9 proc. Ekonomikoje vyrauja valstybinės įmo</w:t>
      </w:r>
      <w:r w:rsidR="004F1782">
        <w:rPr>
          <w:rFonts w:ascii="Times New Roman" w:hAnsi="Times New Roman" w:cs="Times New Roman"/>
        </w:rPr>
        <w:t>nės, privatizavimas  ir IPO (</w:t>
      </w:r>
      <w:r w:rsidR="004F1782">
        <w:rPr>
          <w:rFonts w:ascii="Times New Roman" w:hAnsi="Times New Roman" w:cs="Times New Roman"/>
          <w:i/>
          <w:iCs/>
        </w:rPr>
        <w:t xml:space="preserve">Initial public offering) </w:t>
      </w:r>
      <w:r w:rsidR="004F1782">
        <w:rPr>
          <w:rFonts w:ascii="Times New Roman" w:hAnsi="Times New Roman" w:cs="Times New Roman"/>
        </w:rPr>
        <w:t xml:space="preserve">yra „užšaldytas“, tačiau </w:t>
      </w:r>
      <w:r w:rsidR="001977E0">
        <w:rPr>
          <w:rFonts w:ascii="Times New Roman" w:hAnsi="Times New Roman" w:cs="Times New Roman"/>
        </w:rPr>
        <w:t xml:space="preserve">UZB </w:t>
      </w:r>
      <w:r w:rsidR="004F1782">
        <w:rPr>
          <w:rFonts w:ascii="Times New Roman" w:hAnsi="Times New Roman" w:cs="Times New Roman"/>
        </w:rPr>
        <w:t>gana atvira</w:t>
      </w:r>
      <w:r w:rsidR="001977E0">
        <w:rPr>
          <w:rFonts w:ascii="Times New Roman" w:hAnsi="Times New Roman" w:cs="Times New Roman"/>
        </w:rPr>
        <w:t>s</w:t>
      </w:r>
      <w:r w:rsidR="004F1782">
        <w:rPr>
          <w:rFonts w:ascii="Times New Roman" w:hAnsi="Times New Roman" w:cs="Times New Roman"/>
        </w:rPr>
        <w:t xml:space="preserve"> užsienio investicijoms.</w:t>
      </w:r>
      <w:r w:rsidR="00C91F71">
        <w:rPr>
          <w:rFonts w:ascii="Times New Roman" w:hAnsi="Times New Roman" w:cs="Times New Roman"/>
        </w:rPr>
        <w:t xml:space="preserve"> Biudžeto deficitą siekia padengti skatinant užsienio investicijas, o taip pat įkūrus Nacionalinį investicinį fondą</w:t>
      </w:r>
      <w:r w:rsidR="004F1782">
        <w:rPr>
          <w:rFonts w:ascii="Times New Roman" w:hAnsi="Times New Roman" w:cs="Times New Roman"/>
        </w:rPr>
        <w:t xml:space="preserve"> </w:t>
      </w:r>
    </w:p>
    <w:p w14:paraId="7F14614E" w14:textId="421E7590" w:rsidR="004F1782" w:rsidRDefault="001977E0" w:rsidP="007B5A32">
      <w:pPr>
        <w:spacing w:after="0" w:line="276" w:lineRule="auto"/>
        <w:jc w:val="both"/>
        <w:rPr>
          <w:rFonts w:ascii="Times New Roman" w:hAnsi="Times New Roman" w:cs="Times New Roman"/>
        </w:rPr>
      </w:pPr>
      <w:r w:rsidRPr="007D4746">
        <w:rPr>
          <w:rFonts w:ascii="Times New Roman" w:hAnsi="Times New Roman" w:cs="Times New Roman"/>
          <w:b/>
          <w:bCs/>
        </w:rPr>
        <w:t>Kirgizstane</w:t>
      </w:r>
      <w:r>
        <w:rPr>
          <w:rFonts w:ascii="Times New Roman" w:hAnsi="Times New Roman" w:cs="Times New Roman"/>
        </w:rPr>
        <w:t xml:space="preserve"> dabartinis prezidentas iš politinio ringo pašalino savo galimą varžovą </w:t>
      </w:r>
      <w:r w:rsidR="006628AF">
        <w:rPr>
          <w:rFonts w:ascii="Times New Roman" w:hAnsi="Times New Roman" w:cs="Times New Roman"/>
        </w:rPr>
        <w:t>buvusį saugumo ministrą K. Tashiev 2027 m. sausį vyksiančiuose rinkimuose į prezidento postą, tikėdamasis būti perrinktas dar vienai kadencijai. Be to, politiniuose kuluaruose kalbama, kad KG sostinė gali būti perkelta į Manas miestą. Ekonominiu požiūriu 2020-2024 metais šalies BVP padvigubėjo, o 2025 m. augo 11,1 proc. Nors šalies biudžetas turi 114 mln. U</w:t>
      </w:r>
      <w:r w:rsidR="005B5AE2">
        <w:rPr>
          <w:rFonts w:ascii="Times New Roman" w:hAnsi="Times New Roman" w:cs="Times New Roman"/>
        </w:rPr>
        <w:t>SD</w:t>
      </w:r>
      <w:r w:rsidR="006628AF">
        <w:rPr>
          <w:rFonts w:ascii="Times New Roman" w:hAnsi="Times New Roman" w:cs="Times New Roman"/>
        </w:rPr>
        <w:t xml:space="preserve"> perteklių, tačiau nacionalinė skola siekia maždaug 9-12 mlrd. USD. BVP augimas mažai įtakoja šeimų pajamas. Šalyje nuolat stinga elektros. Ateities perspektyvoje matoma, jog bus stiprinama dabartinio prezidento Japarov galia</w:t>
      </w:r>
      <w:r w:rsidR="007D4746">
        <w:rPr>
          <w:rFonts w:ascii="Times New Roman" w:hAnsi="Times New Roman" w:cs="Times New Roman"/>
        </w:rPr>
        <w:t>, augs CN ir RU įtaka, ypač per infrastuktūros projektus, taip pat išliks turto nacionalizavimo praktika (Kumtor Gold kasyklos nacionalizavimas).</w:t>
      </w:r>
      <w:r w:rsidR="007733F3">
        <w:rPr>
          <w:rFonts w:ascii="Times New Roman" w:hAnsi="Times New Roman" w:cs="Times New Roman"/>
        </w:rPr>
        <w:t xml:space="preserve"> Beje, KG apribojo aukso išvežimą iš šalies</w:t>
      </w:r>
      <w:r w:rsidR="00F959E4">
        <w:rPr>
          <w:rFonts w:ascii="Times New Roman" w:hAnsi="Times New Roman" w:cs="Times New Roman"/>
        </w:rPr>
        <w:t>, siekdama stiprinti savo rezervus.</w:t>
      </w:r>
    </w:p>
    <w:p w14:paraId="53EBB06E" w14:textId="0C72F6C1" w:rsidR="007D4746" w:rsidRDefault="003D035E" w:rsidP="007B5A32">
      <w:pPr>
        <w:spacing w:after="0" w:line="276" w:lineRule="auto"/>
        <w:jc w:val="both"/>
        <w:rPr>
          <w:rFonts w:ascii="Times New Roman" w:hAnsi="Times New Roman" w:cs="Times New Roman"/>
        </w:rPr>
      </w:pPr>
      <w:r w:rsidRPr="009D04A2">
        <w:rPr>
          <w:rFonts w:ascii="Times New Roman" w:hAnsi="Times New Roman" w:cs="Times New Roman"/>
          <w:b/>
          <w:bCs/>
        </w:rPr>
        <w:t xml:space="preserve">Tadžikistane </w:t>
      </w:r>
      <w:r>
        <w:rPr>
          <w:rFonts w:ascii="Times New Roman" w:hAnsi="Times New Roman" w:cs="Times New Roman"/>
        </w:rPr>
        <w:t>dabartinis prezidentas ruošiasi perduoti galias savo sūnui (Rustam</w:t>
      </w:r>
      <w:r w:rsidR="00AF3839">
        <w:rPr>
          <w:rFonts w:ascii="Times New Roman" w:hAnsi="Times New Roman" w:cs="Times New Roman"/>
        </w:rPr>
        <w:t xml:space="preserve"> Emomali</w:t>
      </w:r>
      <w:r>
        <w:rPr>
          <w:rFonts w:ascii="Times New Roman" w:hAnsi="Times New Roman" w:cs="Times New Roman"/>
        </w:rPr>
        <w:t xml:space="preserve"> </w:t>
      </w:r>
      <w:r w:rsidR="00A43BCE">
        <w:rPr>
          <w:rFonts w:ascii="Times New Roman" w:hAnsi="Times New Roman" w:cs="Times New Roman"/>
        </w:rPr>
        <w:t>R</w:t>
      </w:r>
      <w:r>
        <w:rPr>
          <w:rFonts w:ascii="Times New Roman" w:hAnsi="Times New Roman" w:cs="Times New Roman"/>
        </w:rPr>
        <w:t xml:space="preserve">akhmon, kuris šiuo metu yra Senato spikeris ir Dušanbė meras). Kaip viena iš rizikų galinčių įtakoti šalies politiką, yra draudimas jauniems asmenims lankytis mečetėse, kas gali virsti į radikalizmą. </w:t>
      </w:r>
      <w:r w:rsidR="009D04A2">
        <w:rPr>
          <w:rFonts w:ascii="Times New Roman" w:hAnsi="Times New Roman" w:cs="Times New Roman"/>
        </w:rPr>
        <w:t>49 proc. šalies BVP sudaro perlaidos iš užsienio, daugiausia RU, kurioje dirba daugiau kaip 500 tūkst. tadžikų. Iš esmės beveik pusė Tadžikistano piliečių (47 proc.) gyvena žemiau vidutinės skurdo ribos, o 12,4 proc. yra ypatingai neturtingi. Neoficialiais duomenimis darbuojasi tik apie 45,4 proc. darbingo amžiaus tadžikų. Tolimesnėje ateityje tarp didžiausių rizikų numatomas galimas konfliktas su Afganistanu, taip pat sepa</w:t>
      </w:r>
      <w:r w:rsidR="00890B38">
        <w:rPr>
          <w:rFonts w:ascii="Times New Roman" w:hAnsi="Times New Roman" w:cs="Times New Roman"/>
        </w:rPr>
        <w:t>ra</w:t>
      </w:r>
      <w:r w:rsidR="009D04A2">
        <w:rPr>
          <w:rFonts w:ascii="Times New Roman" w:hAnsi="Times New Roman" w:cs="Times New Roman"/>
        </w:rPr>
        <w:t xml:space="preserve">tizmo grėsmė Kalnų Badachšano regione, ir visiška priklausomybė nuo piniginių perlaidų iš dirbančiųjų rusijoje. </w:t>
      </w:r>
    </w:p>
    <w:p w14:paraId="5340FC25" w14:textId="37CDBC68" w:rsidR="009D04A2" w:rsidRDefault="009D04A2" w:rsidP="007B5A32">
      <w:pPr>
        <w:spacing w:after="0" w:line="276" w:lineRule="auto"/>
        <w:jc w:val="both"/>
        <w:rPr>
          <w:rFonts w:ascii="Times New Roman" w:hAnsi="Times New Roman" w:cs="Times New Roman"/>
        </w:rPr>
      </w:pPr>
      <w:r w:rsidRPr="00B907DD">
        <w:rPr>
          <w:rFonts w:ascii="Times New Roman" w:hAnsi="Times New Roman" w:cs="Times New Roman"/>
          <w:b/>
          <w:bCs/>
        </w:rPr>
        <w:t>Turkmėnistanas</w:t>
      </w:r>
      <w:r>
        <w:rPr>
          <w:rFonts w:ascii="Times New Roman" w:hAnsi="Times New Roman" w:cs="Times New Roman"/>
        </w:rPr>
        <w:t xml:space="preserve"> pasižymi kaip viena iš griežčiausių autoritarinių valstybių su </w:t>
      </w:r>
      <w:r w:rsidR="001648E8">
        <w:rPr>
          <w:rFonts w:ascii="Times New Roman" w:hAnsi="Times New Roman" w:cs="Times New Roman"/>
        </w:rPr>
        <w:t xml:space="preserve">visiška informacine izoliacija. Politikoje vyrauja „Amžinojo neutraliteto“ tendencija. Ekonomiškai Turkmėnistanas yra gana stabilus dėl savo turimų dujų resursų (4 vieta pasaulyje), kur pajamos už pardavimus sudaro 60 proc. BVP. Žemės ūkio sektoriuje dirba apie 42,5 proc. gyventojų, nors jie duoda mažai naudos. </w:t>
      </w:r>
      <w:r w:rsidR="00B907DD">
        <w:rPr>
          <w:rFonts w:ascii="Times New Roman" w:hAnsi="Times New Roman" w:cs="Times New Roman"/>
        </w:rPr>
        <w:t xml:space="preserve">Socialinis gyvenimas visiškai kontroliuojamas, spaudos laisvė neegzistuoja. Ateityje galvojama (bet </w:t>
      </w:r>
      <w:r w:rsidR="00B907DD">
        <w:rPr>
          <w:rFonts w:ascii="Times New Roman" w:hAnsi="Times New Roman" w:cs="Times New Roman"/>
        </w:rPr>
        <w:lastRenderedPageBreak/>
        <w:t xml:space="preserve">neaišku kada tai būtų) diversifikuoti ekonomiką kuriant tranzito ir prekybos koridorius apeinant Kaspijos jūrą, ir taip išvengti visiškos priklausomybės nuo energijos kainų. </w:t>
      </w:r>
    </w:p>
    <w:p w14:paraId="1B2ACD8C" w14:textId="77777777" w:rsidR="00F959E4" w:rsidRDefault="00F959E4" w:rsidP="007B5A32">
      <w:pPr>
        <w:spacing w:after="0" w:line="276" w:lineRule="auto"/>
        <w:jc w:val="both"/>
        <w:rPr>
          <w:rFonts w:ascii="Times New Roman" w:hAnsi="Times New Roman" w:cs="Times New Roman"/>
        </w:rPr>
      </w:pPr>
    </w:p>
    <w:p w14:paraId="540AAEA5" w14:textId="3814AB18" w:rsidR="00B418CE" w:rsidRPr="00890B38" w:rsidRDefault="00B418CE" w:rsidP="00B418CE">
      <w:pPr>
        <w:spacing w:after="0" w:line="276" w:lineRule="auto"/>
        <w:jc w:val="both"/>
        <w:rPr>
          <w:rFonts w:ascii="Times New Roman" w:hAnsi="Times New Roman" w:cs="Times New Roman"/>
          <w:b/>
          <w:bCs/>
          <w:u w:val="single"/>
        </w:rPr>
      </w:pPr>
      <w:r w:rsidRPr="00890B38">
        <w:rPr>
          <w:rFonts w:ascii="Times New Roman" w:hAnsi="Times New Roman" w:cs="Times New Roman"/>
          <w:b/>
          <w:bCs/>
          <w:u w:val="single"/>
        </w:rPr>
        <w:t>Galimybės investicijoms CA šalyse:</w:t>
      </w:r>
    </w:p>
    <w:p w14:paraId="568DEF73" w14:textId="0ADEF6EC" w:rsidR="00393AF0" w:rsidRPr="00393AF0" w:rsidRDefault="00B418CE" w:rsidP="00393AF0">
      <w:pPr>
        <w:pStyle w:val="ListParagraph"/>
        <w:numPr>
          <w:ilvl w:val="0"/>
          <w:numId w:val="7"/>
        </w:numPr>
        <w:spacing w:after="0" w:line="276" w:lineRule="auto"/>
        <w:ind w:left="0" w:firstLine="425"/>
        <w:jc w:val="both"/>
        <w:rPr>
          <w:rFonts w:ascii="Times New Roman" w:hAnsi="Times New Roman" w:cs="Times New Roman"/>
        </w:rPr>
      </w:pPr>
      <w:r w:rsidRPr="00393AF0">
        <w:rPr>
          <w:rFonts w:ascii="Times New Roman" w:hAnsi="Times New Roman" w:cs="Times New Roman"/>
        </w:rPr>
        <w:t>Energija mainais už vandenį: vieningos energijos sistemos CA regione kūrimas</w:t>
      </w:r>
      <w:r w:rsidR="00393AF0" w:rsidRPr="00393AF0">
        <w:rPr>
          <w:rFonts w:ascii="Times New Roman" w:hAnsi="Times New Roman" w:cs="Times New Roman"/>
        </w:rPr>
        <w:t xml:space="preserve">: </w:t>
      </w:r>
      <w:r w:rsidRPr="00393AF0">
        <w:rPr>
          <w:rFonts w:ascii="Times New Roman" w:hAnsi="Times New Roman" w:cs="Times New Roman"/>
        </w:rPr>
        <w:t xml:space="preserve">KZ jaučia ypatingą elektros trūkumą, tačiau esama infrastuktūra yra </w:t>
      </w:r>
      <w:r w:rsidR="008D60D2" w:rsidRPr="00393AF0">
        <w:rPr>
          <w:rFonts w:ascii="Times New Roman" w:hAnsi="Times New Roman" w:cs="Times New Roman"/>
        </w:rPr>
        <w:t xml:space="preserve">pasenusi ir labai brangu ją atnaujinti. Kaip galimas sprendimas galvojama apie naujos vieningos energetikos sistemos kūrimas CA šalyse, kuris leistų sukurti vandens-energijos barterio sistemą. Atsinaujinančios energijos ir atominės energijos projektai turi ypač didelės pridedamosios vertės: Kazachstane numatoma statyti </w:t>
      </w:r>
      <w:r w:rsidR="00393AF0" w:rsidRPr="00393AF0">
        <w:rPr>
          <w:rFonts w:ascii="Times New Roman" w:hAnsi="Times New Roman" w:cs="Times New Roman"/>
        </w:rPr>
        <w:t xml:space="preserve">atomines elektrines, kurios taptų regioninio bendradarbiavimo platforma. </w:t>
      </w:r>
    </w:p>
    <w:p w14:paraId="7CDFDDE2" w14:textId="7E220C12" w:rsidR="00393AF0" w:rsidRPr="00393AF0" w:rsidRDefault="00393AF0" w:rsidP="00393AF0">
      <w:pPr>
        <w:pStyle w:val="ListParagraph"/>
        <w:numPr>
          <w:ilvl w:val="0"/>
          <w:numId w:val="7"/>
        </w:numPr>
        <w:spacing w:after="0" w:line="276" w:lineRule="auto"/>
        <w:ind w:left="0" w:firstLine="425"/>
        <w:jc w:val="both"/>
        <w:rPr>
          <w:rFonts w:ascii="Times New Roman" w:hAnsi="Times New Roman" w:cs="Times New Roman"/>
        </w:rPr>
      </w:pPr>
      <w:r w:rsidRPr="00393AF0">
        <w:rPr>
          <w:rFonts w:ascii="Times New Roman" w:hAnsi="Times New Roman" w:cs="Times New Roman"/>
        </w:rPr>
        <w:t>Žiedinės ekonomikos vystymas Kirgizstane: iki 2040 metų Klimato kaitos tikslai pareikalaus apie 10 mlrd. USD daugiausiai užsienio investicijų. Nacionalinė žiedinės ekonomikos strategija paremta „žaliu“ finansavimu (</w:t>
      </w:r>
      <w:r w:rsidR="003E6D09">
        <w:rPr>
          <w:rFonts w:ascii="Times New Roman" w:hAnsi="Times New Roman" w:cs="Times New Roman"/>
        </w:rPr>
        <w:t>obligacijos, lengvatinės paskolos</w:t>
      </w:r>
      <w:r w:rsidRPr="00393AF0">
        <w:rPr>
          <w:rFonts w:ascii="Times New Roman" w:hAnsi="Times New Roman" w:cs="Times New Roman"/>
        </w:rPr>
        <w:t>), tapdami labai patraukliu įrankiu. Turint galvoje, kad iki 2050 metų elektroninių atliekų kiekis išaugs iki 26 tūkstančių tonų, Kirgizstanas tikisi, kad šalis taps lydere perdirbimo sferoje.</w:t>
      </w:r>
    </w:p>
    <w:p w14:paraId="27147516" w14:textId="58649B1F" w:rsidR="00393AF0" w:rsidRPr="00393AF0" w:rsidRDefault="00393AF0" w:rsidP="00393AF0">
      <w:pPr>
        <w:pStyle w:val="ListParagraph"/>
        <w:numPr>
          <w:ilvl w:val="0"/>
          <w:numId w:val="7"/>
        </w:numPr>
        <w:spacing w:after="0" w:line="276" w:lineRule="auto"/>
        <w:ind w:left="0" w:firstLine="425"/>
        <w:jc w:val="both"/>
        <w:rPr>
          <w:rFonts w:ascii="Times New Roman" w:hAnsi="Times New Roman" w:cs="Times New Roman"/>
        </w:rPr>
      </w:pPr>
      <w:r w:rsidRPr="00393AF0">
        <w:rPr>
          <w:rFonts w:ascii="Times New Roman" w:hAnsi="Times New Roman" w:cs="Times New Roman"/>
        </w:rPr>
        <w:t xml:space="preserve">Vaistų pramonės vystymas Tadžikistane: Tadžikistanas turi ypatingai didelį potencialą vaistų gamyboje: šalyje priskaičiuojama apie </w:t>
      </w:r>
      <w:r w:rsidR="00514C9D">
        <w:rPr>
          <w:rFonts w:ascii="Times New Roman" w:hAnsi="Times New Roman" w:cs="Times New Roman"/>
        </w:rPr>
        <w:t>3</w:t>
      </w:r>
      <w:r w:rsidRPr="00393AF0">
        <w:rPr>
          <w:rFonts w:ascii="Times New Roman" w:hAnsi="Times New Roman" w:cs="Times New Roman"/>
        </w:rPr>
        <w:t>500 rūsių me</w:t>
      </w:r>
      <w:r w:rsidR="003E6D09">
        <w:rPr>
          <w:rFonts w:ascii="Times New Roman" w:hAnsi="Times New Roman" w:cs="Times New Roman"/>
        </w:rPr>
        <w:t>di</w:t>
      </w:r>
      <w:r w:rsidRPr="00393AF0">
        <w:rPr>
          <w:rFonts w:ascii="Times New Roman" w:hAnsi="Times New Roman" w:cs="Times New Roman"/>
        </w:rPr>
        <w:t>cininių augalų, taip pat 97 proc. visų vaistų yra importuojami (84 mln. USD per dvejus metus) – visa tai sudaro geras prielaidas pakeisti importą savomis prekėmis. Valstybė sveikatos apsaugai skiria vos 7 proc. biudžeto, kuris padengia73 proc.  medicinos išlaidų kaimo vietovėse. Išvysčius medicininių augalų perdirbimą, šalis galėtų sumažinti savo priklausomybę nuo importuojamų vaistų ir tapti net eksportuotoja.</w:t>
      </w:r>
    </w:p>
    <w:p w14:paraId="64E2E5A2" w14:textId="77777777" w:rsidR="00393AF0" w:rsidRPr="00393AF0" w:rsidRDefault="00393AF0" w:rsidP="00393AF0">
      <w:pPr>
        <w:pStyle w:val="ListParagraph"/>
        <w:numPr>
          <w:ilvl w:val="0"/>
          <w:numId w:val="7"/>
        </w:numPr>
        <w:spacing w:after="0" w:line="276" w:lineRule="auto"/>
        <w:ind w:left="0" w:firstLine="425"/>
        <w:jc w:val="both"/>
        <w:rPr>
          <w:rFonts w:ascii="Times New Roman" w:hAnsi="Times New Roman" w:cs="Times New Roman"/>
        </w:rPr>
      </w:pPr>
      <w:r w:rsidRPr="00393AF0">
        <w:rPr>
          <w:rFonts w:ascii="Times New Roman" w:hAnsi="Times New Roman" w:cs="Times New Roman"/>
        </w:rPr>
        <w:t>Uzbekistanas kaip oro transporto centras: ilgalaikės investicijos užtikrinančios lyderystę regione. Dėl ypač geros lokacijos, Uzbekistanas gali tapti pagrindiniu tranzito centru tarp Rytų ir Vakarų. Prie Taškento yra statomas didelis oro uostas, galėsiantis aptarnauti 20 mln. Keleivių ir 129 tūkst. cargo krovinių. 2025 m. Uzbekistanas pasirašė didžiausią aviacijos istorijoje sutartį dėl 22 Boeing 787 Dreamliner pirkimo, siekdami pagerinti susisiekimą tolimuosiuose reisuose.</w:t>
      </w:r>
    </w:p>
    <w:p w14:paraId="1257F9E9" w14:textId="77777777" w:rsidR="00393AF0" w:rsidRPr="00393AF0" w:rsidRDefault="00393AF0" w:rsidP="00393AF0">
      <w:pPr>
        <w:pStyle w:val="ListParagraph"/>
        <w:numPr>
          <w:ilvl w:val="0"/>
          <w:numId w:val="7"/>
        </w:numPr>
        <w:spacing w:after="0" w:line="276" w:lineRule="auto"/>
        <w:ind w:left="0" w:firstLine="425"/>
        <w:jc w:val="both"/>
        <w:rPr>
          <w:rFonts w:ascii="Times New Roman" w:hAnsi="Times New Roman" w:cs="Times New Roman"/>
        </w:rPr>
      </w:pPr>
      <w:r w:rsidRPr="00393AF0">
        <w:rPr>
          <w:rFonts w:ascii="Times New Roman" w:hAnsi="Times New Roman" w:cs="Times New Roman"/>
        </w:rPr>
        <w:t xml:space="preserve">Tvaraus žemės ūkio vystymas Turkmėnistane galėtų tapti galimybe šaliai. Šiuo metu apie 68 proc. žemės yra druskingos, todėl vystoma tradicinė žemdirbystė atneša mažai pelno. Kaip galimą sprendimą Turkmėnistanas galėtų vystyti gyvulininkystę, o taip pat naudoti lašelinį laistymo būdą, kas sumažintų vandens sąnaudas apie 50-70 proc.  </w:t>
      </w:r>
    </w:p>
    <w:p w14:paraId="41FD7713" w14:textId="541B1B83" w:rsidR="00B418CE" w:rsidRPr="00B418CE" w:rsidRDefault="00B418CE" w:rsidP="00B418CE">
      <w:pPr>
        <w:pStyle w:val="ListParagraph"/>
        <w:spacing w:after="0" w:line="276" w:lineRule="auto"/>
        <w:jc w:val="both"/>
        <w:rPr>
          <w:rFonts w:ascii="Times New Roman" w:hAnsi="Times New Roman" w:cs="Times New Roman"/>
        </w:rPr>
      </w:pPr>
    </w:p>
    <w:p w14:paraId="5D4C23E4" w14:textId="3B0736B6" w:rsidR="006048A3" w:rsidRPr="00890B38" w:rsidRDefault="006048A3" w:rsidP="007B5A32">
      <w:pPr>
        <w:spacing w:after="0" w:line="276" w:lineRule="auto"/>
        <w:jc w:val="both"/>
        <w:rPr>
          <w:rFonts w:ascii="Times New Roman" w:hAnsi="Times New Roman" w:cs="Times New Roman"/>
          <w:b/>
          <w:bCs/>
          <w:u w:val="single"/>
        </w:rPr>
      </w:pPr>
      <w:r w:rsidRPr="00890B38">
        <w:rPr>
          <w:rFonts w:ascii="Times New Roman" w:hAnsi="Times New Roman" w:cs="Times New Roman"/>
          <w:b/>
          <w:bCs/>
          <w:u w:val="single"/>
        </w:rPr>
        <w:t>CA ir Mongolija: Makroekonominės perspektyvos</w:t>
      </w:r>
    </w:p>
    <w:p w14:paraId="30AF964A" w14:textId="03DD09C1" w:rsidR="00B27172" w:rsidRDefault="003E6D09" w:rsidP="007B5A32">
      <w:pPr>
        <w:spacing w:after="0" w:line="276" w:lineRule="auto"/>
        <w:jc w:val="both"/>
        <w:rPr>
          <w:rFonts w:ascii="Times New Roman" w:hAnsi="Times New Roman" w:cs="Times New Roman"/>
        </w:rPr>
      </w:pPr>
      <w:r>
        <w:rPr>
          <w:rFonts w:ascii="Times New Roman" w:hAnsi="Times New Roman" w:cs="Times New Roman"/>
        </w:rPr>
        <w:t xml:space="preserve"> Europos rekonstrukcijos ir plėtros bankas regionui numato kiek blogesnes regionines ekonomines prognozes nei kad metų pradžioje. Tai daugiausiai įtakojo staigus naftos</w:t>
      </w:r>
      <w:r w:rsidR="00B27172">
        <w:rPr>
          <w:rFonts w:ascii="Times New Roman" w:hAnsi="Times New Roman" w:cs="Times New Roman"/>
        </w:rPr>
        <w:t xml:space="preserve"> ir dujų</w:t>
      </w:r>
      <w:r>
        <w:rPr>
          <w:rFonts w:ascii="Times New Roman" w:hAnsi="Times New Roman" w:cs="Times New Roman"/>
        </w:rPr>
        <w:t xml:space="preserve"> kainų šuolis dėl Hormūzo sąsiaurio blokavimo ir neaiškios tolimesnės politinės prognozės. </w:t>
      </w:r>
      <w:r w:rsidR="00B27172">
        <w:rPr>
          <w:rFonts w:ascii="Times New Roman" w:hAnsi="Times New Roman" w:cs="Times New Roman"/>
        </w:rPr>
        <w:t>Vis dėlto, palyginus su kitomis Saudo Arabijos regiono šalimis, Centrinės Azijos šalys yra mažiau pažeidžiamos ekonomiškai ir išlieka gana stiprios.</w:t>
      </w:r>
      <w:r w:rsidR="00AF0AA9">
        <w:rPr>
          <w:rFonts w:ascii="Times New Roman" w:hAnsi="Times New Roman" w:cs="Times New Roman"/>
        </w:rPr>
        <w:t xml:space="preserve"> Privatus vartojimas ir toliau išlieka viena iš esminių ekonomiką skatinančių veiksnių, tačiau jis didžiąja dalimi remiasi vartotojiškų paskolų sąskaita. Tarp Mongolijos, UZB, KG ir KZ, vienam namų ūkiui tenkančių paskolų dydžiu pirmauja KG (nors pastaroji pvz. 2022 metais gerokai atsiliko nuo aukščiau išvardintų valstybių), toliau rikiuojasi UZB, KZ ir Mongolija. CA šalys vis dar išlieka didžiai priklausomos nuo perlaidų iš užsienio, daugiausiai iš rusijos, tačiau CA šalių vykdomos gana griežtos migracinės taisyklės, kontrolė ir migrantų reidai iš dalies sumažino RU įtaką. UZB </w:t>
      </w:r>
      <w:r w:rsidR="00575EF4">
        <w:rPr>
          <w:rFonts w:ascii="Times New Roman" w:hAnsi="Times New Roman" w:cs="Times New Roman"/>
        </w:rPr>
        <w:t xml:space="preserve">aktyviausiai ėmėsi įgyvendinti savo strategiją „Uzbekistan-2030“, </w:t>
      </w:r>
      <w:r w:rsidR="00575EF4">
        <w:rPr>
          <w:rFonts w:ascii="Times New Roman" w:hAnsi="Times New Roman" w:cs="Times New Roman"/>
        </w:rPr>
        <w:lastRenderedPageBreak/>
        <w:t xml:space="preserve">kuria siekia savo darbo jėgą pakreipti į daugiau mokančias Europos, Artimųjų Rytų ir Rytų šalis. Kirgizijoje pervedimai iš Kazachstano išaugo 5 kartus (2025 m.), o iš JAV-73 proc. Vis tik, palyginus su iš RU gaunamais pervedimais, iš kitų užsienio šalių pervedimai sudaro tik mažą dalį. </w:t>
      </w:r>
      <w:r w:rsidR="001A6D11">
        <w:rPr>
          <w:rFonts w:ascii="Times New Roman" w:hAnsi="Times New Roman" w:cs="Times New Roman"/>
        </w:rPr>
        <w:t xml:space="preserve">Infliacija ir toliau turi tendenciją augti – </w:t>
      </w:r>
      <w:r w:rsidR="001A6D11">
        <w:rPr>
          <w:rFonts w:ascii="Times New Roman" w:hAnsi="Times New Roman" w:cs="Times New Roman"/>
        </w:rPr>
        <w:t>(2026/04)</w:t>
      </w:r>
      <w:r w:rsidR="001A6D11">
        <w:rPr>
          <w:rFonts w:ascii="Times New Roman" w:hAnsi="Times New Roman" w:cs="Times New Roman"/>
        </w:rPr>
        <w:t xml:space="preserve"> KG ji aukščiausia - 11,4 proc., Mongolija – 11,2 proc., KZ – 10,4 proc., UZB – 5,5 proc., TJ – 3,5 proc. </w:t>
      </w:r>
      <w:r w:rsidR="00C91F71">
        <w:rPr>
          <w:rFonts w:ascii="Times New Roman" w:hAnsi="Times New Roman" w:cs="Times New Roman"/>
        </w:rPr>
        <w:t>Visose CA šalyse nuo praėjusių metų rudens vyriausybės ėmėsi stipriau reguliuoti valiutų srautus, siekdamos išlaikyti ir sustiprinti nacionalinės valiutos vertes. Tai ypač pasijautė KZ</w:t>
      </w:r>
      <w:r w:rsidR="005C39A3">
        <w:rPr>
          <w:rFonts w:ascii="Times New Roman" w:hAnsi="Times New Roman" w:cs="Times New Roman"/>
        </w:rPr>
        <w:t xml:space="preserve"> ir TJ, kur vietinės valiutos sustiprėjo mažiausiai 10 proc. palyginus su 2025 m. vasara. </w:t>
      </w:r>
      <w:r w:rsidR="005C39A3" w:rsidRPr="005C39A3">
        <w:rPr>
          <w:rFonts w:ascii="Times New Roman" w:hAnsi="Times New Roman" w:cs="Times New Roman"/>
        </w:rPr>
        <w:t xml:space="preserve">Dėl pastaraisiais metais padidėjusių pajamų, kurias lėmė stiprus ekonomikos augimas ir geresnė mokesčių administravimo sistema, </w:t>
      </w:r>
      <w:r w:rsidR="005C39A3">
        <w:rPr>
          <w:rFonts w:ascii="Times New Roman" w:hAnsi="Times New Roman" w:cs="Times New Roman"/>
        </w:rPr>
        <w:t xml:space="preserve">CA </w:t>
      </w:r>
      <w:r w:rsidR="005C39A3" w:rsidRPr="005C39A3">
        <w:rPr>
          <w:rFonts w:ascii="Times New Roman" w:hAnsi="Times New Roman" w:cs="Times New Roman"/>
        </w:rPr>
        <w:t>vyriausybė</w:t>
      </w:r>
      <w:r w:rsidR="005C39A3">
        <w:rPr>
          <w:rFonts w:ascii="Times New Roman" w:hAnsi="Times New Roman" w:cs="Times New Roman"/>
        </w:rPr>
        <w:t>s</w:t>
      </w:r>
      <w:r w:rsidR="005C39A3" w:rsidRPr="005C39A3">
        <w:rPr>
          <w:rFonts w:ascii="Times New Roman" w:hAnsi="Times New Roman" w:cs="Times New Roman"/>
        </w:rPr>
        <w:t xml:space="preserve"> gali didinti išlaidas</w:t>
      </w:r>
      <w:r w:rsidR="005C39A3">
        <w:rPr>
          <w:rFonts w:ascii="Times New Roman" w:hAnsi="Times New Roman" w:cs="Times New Roman"/>
        </w:rPr>
        <w:t xml:space="preserve">. Nepaisant tokio progreso, surenkamų mokesčių ir BVP santykis CA šalyse yra vis dar žymiai mažesnis nei kitų stabilių ekonomikų. Tačiau didėjantis regioninis bendradarbiavimas, ekonomikų diversifikavimas </w:t>
      </w:r>
      <w:r w:rsidR="00347A06">
        <w:rPr>
          <w:rFonts w:ascii="Times New Roman" w:hAnsi="Times New Roman" w:cs="Times New Roman"/>
        </w:rPr>
        <w:t>teigiamai paveikė tarptautinius reitingus, kurie</w:t>
      </w:r>
      <w:r w:rsidR="005C39A3" w:rsidRPr="005C39A3">
        <w:rPr>
          <w:rFonts w:ascii="Times New Roman" w:hAnsi="Times New Roman" w:cs="Times New Roman"/>
        </w:rPr>
        <w:t xml:space="preserve"> rodo, kad investuotojų nuomonė apie regioną pagerėjo, tačiau rizika išlieka.</w:t>
      </w:r>
    </w:p>
    <w:p w14:paraId="456EC861" w14:textId="77777777" w:rsidR="00B27172" w:rsidRDefault="00B27172" w:rsidP="007B5A32">
      <w:pPr>
        <w:spacing w:after="0" w:line="276" w:lineRule="auto"/>
        <w:jc w:val="both"/>
        <w:rPr>
          <w:rFonts w:ascii="Times New Roman" w:hAnsi="Times New Roman" w:cs="Times New Roman"/>
        </w:rPr>
      </w:pPr>
    </w:p>
    <w:p w14:paraId="4D09C5B3" w14:textId="0C430C58" w:rsidR="006048A3" w:rsidRPr="00890B38" w:rsidRDefault="006048A3" w:rsidP="007B5A32">
      <w:pPr>
        <w:spacing w:after="0" w:line="276" w:lineRule="auto"/>
        <w:jc w:val="both"/>
        <w:rPr>
          <w:rFonts w:ascii="Times New Roman" w:hAnsi="Times New Roman" w:cs="Times New Roman"/>
          <w:b/>
          <w:bCs/>
          <w:u w:val="single"/>
        </w:rPr>
      </w:pPr>
      <w:r w:rsidRPr="00890B38">
        <w:rPr>
          <w:rFonts w:ascii="Times New Roman" w:hAnsi="Times New Roman" w:cs="Times New Roman"/>
          <w:b/>
          <w:bCs/>
          <w:u w:val="single"/>
        </w:rPr>
        <w:t>Aviacijos realybės patikrinimas</w:t>
      </w:r>
    </w:p>
    <w:p w14:paraId="4D969CD3" w14:textId="3EE94F0A" w:rsidR="0053156E" w:rsidRDefault="00347A06" w:rsidP="007B5A32">
      <w:pPr>
        <w:spacing w:after="0" w:line="276" w:lineRule="auto"/>
        <w:jc w:val="both"/>
        <w:rPr>
          <w:rFonts w:ascii="Times New Roman" w:hAnsi="Times New Roman" w:cs="Times New Roman"/>
        </w:rPr>
      </w:pPr>
      <w:r>
        <w:rPr>
          <w:rFonts w:ascii="Times New Roman" w:hAnsi="Times New Roman" w:cs="Times New Roman"/>
        </w:rPr>
        <w:t>Air Astana grupė paskutiniaisiais metais tapo viena iš labiausiai augančių KZ kompanijų, kurios pajamos sudaro apie 1,4 mlrd. USD (2025 m. augimas 11,4 proc.)</w:t>
      </w:r>
      <w:r w:rsidR="00156A23">
        <w:rPr>
          <w:rFonts w:ascii="Times New Roman" w:hAnsi="Times New Roman" w:cs="Times New Roman"/>
        </w:rPr>
        <w:t xml:space="preserve">, </w:t>
      </w:r>
      <w:r w:rsidR="00156A23" w:rsidRPr="00156A23">
        <w:rPr>
          <w:rFonts w:ascii="Times New Roman" w:hAnsi="Times New Roman" w:cs="Times New Roman"/>
        </w:rPr>
        <w:t>2026 m. pirmąjį ketvirtį bendrovė uždirbo 331 mln. JAV dolerių bendrų pajamų ir kitų įplaukų.</w:t>
      </w:r>
      <w:r>
        <w:rPr>
          <w:rFonts w:ascii="Times New Roman" w:hAnsi="Times New Roman" w:cs="Times New Roman"/>
        </w:rPr>
        <w:t xml:space="preserve"> Tai dvigubo modelio kompanija – Air Astana ir FlyArystan</w:t>
      </w:r>
      <w:r w:rsidR="00156A23">
        <w:rPr>
          <w:rFonts w:ascii="Times New Roman" w:hAnsi="Times New Roman" w:cs="Times New Roman"/>
        </w:rPr>
        <w:t xml:space="preserve"> (low cost)</w:t>
      </w:r>
      <w:r>
        <w:rPr>
          <w:rFonts w:ascii="Times New Roman" w:hAnsi="Times New Roman" w:cs="Times New Roman"/>
        </w:rPr>
        <w:t xml:space="preserve">, kartu aptarnaujančios 9,7 mln. keleivių. Vietinėje rinkoje kompanija padengia 66 proc., tarptautiniame – 36 proc. poreikio. Lėktuvų skaičius didinamas nuo </w:t>
      </w:r>
      <w:r w:rsidR="00156A23">
        <w:rPr>
          <w:rFonts w:ascii="Times New Roman" w:hAnsi="Times New Roman" w:cs="Times New Roman"/>
        </w:rPr>
        <w:t xml:space="preserve">dabartinių </w:t>
      </w:r>
      <w:r>
        <w:rPr>
          <w:rFonts w:ascii="Times New Roman" w:hAnsi="Times New Roman" w:cs="Times New Roman"/>
        </w:rPr>
        <w:t>63 iki 86 lėktuvų 2030 m. Lėktuvų amžius apie 7 metai. 2031-35 metais ruošiamasi įsigyti 15 Boeing 787, taip pat 50 Airbus A320NEO.</w:t>
      </w:r>
    </w:p>
    <w:p w14:paraId="7ECAB3A3" w14:textId="73E257CB" w:rsidR="00890B38" w:rsidRDefault="00347A06" w:rsidP="007B5A32">
      <w:pPr>
        <w:spacing w:after="0" w:line="276" w:lineRule="auto"/>
        <w:jc w:val="both"/>
        <w:rPr>
          <w:rFonts w:ascii="Times New Roman" w:hAnsi="Times New Roman" w:cs="Times New Roman"/>
        </w:rPr>
      </w:pPr>
      <w:r>
        <w:rPr>
          <w:rFonts w:ascii="Times New Roman" w:hAnsi="Times New Roman" w:cs="Times New Roman"/>
        </w:rPr>
        <w:t xml:space="preserve">Centrinė Azija laikoma greičiausiai auganti aviacijos rinka pasaulyje. </w:t>
      </w:r>
      <w:r w:rsidR="005C446E">
        <w:rPr>
          <w:rFonts w:ascii="Times New Roman" w:hAnsi="Times New Roman" w:cs="Times New Roman"/>
        </w:rPr>
        <w:t>Kazachstane nuo 2020 m. iki 2025 m. vietos skry</w:t>
      </w:r>
      <w:r w:rsidR="00156A23">
        <w:rPr>
          <w:rFonts w:ascii="Times New Roman" w:hAnsi="Times New Roman" w:cs="Times New Roman"/>
        </w:rPr>
        <w:t>dž</w:t>
      </w:r>
      <w:r w:rsidR="005C446E">
        <w:rPr>
          <w:rFonts w:ascii="Times New Roman" w:hAnsi="Times New Roman" w:cs="Times New Roman"/>
        </w:rPr>
        <w:t>ių (bei keleivių) išaugo daugiau kaip 2 kartus, tuo tarpu tarptautinių skry</w:t>
      </w:r>
      <w:r w:rsidR="00156A23">
        <w:rPr>
          <w:rFonts w:ascii="Times New Roman" w:hAnsi="Times New Roman" w:cs="Times New Roman"/>
        </w:rPr>
        <w:t>dž</w:t>
      </w:r>
      <w:r w:rsidR="005C446E">
        <w:rPr>
          <w:rFonts w:ascii="Times New Roman" w:hAnsi="Times New Roman" w:cs="Times New Roman"/>
        </w:rPr>
        <w:t xml:space="preserve">ių daugiau nei 4 kartus. Ir nors Air Astana grupės skydžiai turi potencijos augti, tačiau susisiekimo prasme regionas gerokai atsilieka nuo Europos santykiu 9 proc. su 79 proc. atitinkamai. Kompanija skraido 97 tarptautiniais, 35 vietiniais maršrutais, taip pat 2025 metais pradėti vykdyti skrydžiai dar 25 naujais maršrutais. </w:t>
      </w:r>
      <w:r w:rsidR="00890B38">
        <w:rPr>
          <w:rFonts w:ascii="Times New Roman" w:hAnsi="Times New Roman" w:cs="Times New Roman"/>
        </w:rPr>
        <w:t>Kaip galimą potencialą skrydžiams mato CN rinką, CA ir Kaukazo šalis, taip pat Pietryčių Aziją ir Europą, tačiau plėsti į JAV rinką bent jau šiuo metu neketina dėl gana griežtos vizų politikos.</w:t>
      </w:r>
    </w:p>
    <w:p w14:paraId="4B0BA599" w14:textId="77777777" w:rsidR="00890B38" w:rsidRDefault="00890B38" w:rsidP="007B5A32">
      <w:pPr>
        <w:spacing w:after="0" w:line="276" w:lineRule="auto"/>
        <w:jc w:val="both"/>
        <w:rPr>
          <w:rFonts w:ascii="Times New Roman" w:hAnsi="Times New Roman" w:cs="Times New Roman"/>
        </w:rPr>
      </w:pPr>
    </w:p>
    <w:p w14:paraId="6750FC38" w14:textId="77777777" w:rsidR="00890B38" w:rsidRDefault="00890B38" w:rsidP="007B5A32">
      <w:pPr>
        <w:spacing w:after="0" w:line="276" w:lineRule="auto"/>
        <w:jc w:val="both"/>
        <w:rPr>
          <w:rFonts w:ascii="Times New Roman" w:hAnsi="Times New Roman" w:cs="Times New Roman"/>
        </w:rPr>
      </w:pPr>
    </w:p>
    <w:p w14:paraId="0ADA7FC2" w14:textId="77777777" w:rsidR="00890B38" w:rsidRDefault="00890B38" w:rsidP="007B5A32">
      <w:pPr>
        <w:spacing w:after="0" w:line="276" w:lineRule="auto"/>
        <w:jc w:val="both"/>
        <w:rPr>
          <w:rFonts w:ascii="Times New Roman" w:hAnsi="Times New Roman" w:cs="Times New Roman"/>
        </w:rPr>
      </w:pPr>
      <w:r>
        <w:rPr>
          <w:rFonts w:ascii="Times New Roman" w:hAnsi="Times New Roman" w:cs="Times New Roman"/>
        </w:rPr>
        <w:t>Generalinė konsulė</w:t>
      </w:r>
    </w:p>
    <w:p w14:paraId="0B723BC2" w14:textId="4688D830" w:rsidR="00890B38" w:rsidRPr="008170E0" w:rsidRDefault="00890B38" w:rsidP="007B5A32">
      <w:pPr>
        <w:spacing w:after="0" w:line="276" w:lineRule="auto"/>
        <w:jc w:val="both"/>
        <w:rPr>
          <w:rFonts w:ascii="Times New Roman" w:hAnsi="Times New Roman" w:cs="Times New Roman"/>
        </w:rPr>
      </w:pPr>
      <w:r>
        <w:rPr>
          <w:rFonts w:ascii="Times New Roman" w:hAnsi="Times New Roman" w:cs="Times New Roman"/>
        </w:rPr>
        <w:t>Šarūnė Kubiliūtė</w:t>
      </w:r>
    </w:p>
    <w:p w14:paraId="48400FBE" w14:textId="77777777" w:rsidR="00393AF0" w:rsidRPr="008170E0" w:rsidRDefault="00393AF0">
      <w:pPr>
        <w:spacing w:after="0" w:line="276" w:lineRule="auto"/>
        <w:jc w:val="both"/>
        <w:rPr>
          <w:rFonts w:ascii="Times New Roman" w:hAnsi="Times New Roman" w:cs="Times New Roman"/>
        </w:rPr>
      </w:pPr>
    </w:p>
    <w:sectPr w:rsidR="00393AF0" w:rsidRPr="008170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503B"/>
    <w:multiLevelType w:val="hybridMultilevel"/>
    <w:tmpl w:val="59301F8C"/>
    <w:lvl w:ilvl="0" w:tplc="E27EADC8">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251AD5"/>
    <w:multiLevelType w:val="hybridMultilevel"/>
    <w:tmpl w:val="502E6060"/>
    <w:lvl w:ilvl="0" w:tplc="E27EADC8">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8E21DC8"/>
    <w:multiLevelType w:val="hybridMultilevel"/>
    <w:tmpl w:val="5EAEAAFE"/>
    <w:lvl w:ilvl="0" w:tplc="E27EADC8">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0966DA6"/>
    <w:multiLevelType w:val="hybridMultilevel"/>
    <w:tmpl w:val="9AC87746"/>
    <w:lvl w:ilvl="0" w:tplc="E27EADC8">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9AB67D4"/>
    <w:multiLevelType w:val="hybridMultilevel"/>
    <w:tmpl w:val="076C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E2760B9"/>
    <w:multiLevelType w:val="hybridMultilevel"/>
    <w:tmpl w:val="0C06C48E"/>
    <w:lvl w:ilvl="0" w:tplc="E27EADC8">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FA95A0D"/>
    <w:multiLevelType w:val="hybridMultilevel"/>
    <w:tmpl w:val="B9E29410"/>
    <w:lvl w:ilvl="0" w:tplc="E27EADC8">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35676086">
    <w:abstractNumId w:val="4"/>
  </w:num>
  <w:num w:numId="2" w16cid:durableId="607927826">
    <w:abstractNumId w:val="1"/>
  </w:num>
  <w:num w:numId="3" w16cid:durableId="1157962359">
    <w:abstractNumId w:val="6"/>
  </w:num>
  <w:num w:numId="4" w16cid:durableId="2036730690">
    <w:abstractNumId w:val="0"/>
  </w:num>
  <w:num w:numId="5" w16cid:durableId="1821992315">
    <w:abstractNumId w:val="3"/>
  </w:num>
  <w:num w:numId="6" w16cid:durableId="869144550">
    <w:abstractNumId w:val="5"/>
  </w:num>
  <w:num w:numId="7" w16cid:durableId="8222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2D"/>
    <w:rsid w:val="00056A7C"/>
    <w:rsid w:val="000B33BD"/>
    <w:rsid w:val="00156A23"/>
    <w:rsid w:val="001648E8"/>
    <w:rsid w:val="001977E0"/>
    <w:rsid w:val="001A6D11"/>
    <w:rsid w:val="002929B6"/>
    <w:rsid w:val="002E7E87"/>
    <w:rsid w:val="002F3126"/>
    <w:rsid w:val="00342239"/>
    <w:rsid w:val="00345F62"/>
    <w:rsid w:val="00347A06"/>
    <w:rsid w:val="00393AF0"/>
    <w:rsid w:val="003D035E"/>
    <w:rsid w:val="003E6D09"/>
    <w:rsid w:val="00485B2D"/>
    <w:rsid w:val="004A7022"/>
    <w:rsid w:val="004B63C1"/>
    <w:rsid w:val="004B7437"/>
    <w:rsid w:val="004F09D7"/>
    <w:rsid w:val="004F1782"/>
    <w:rsid w:val="00507268"/>
    <w:rsid w:val="00514C9D"/>
    <w:rsid w:val="0053156E"/>
    <w:rsid w:val="00575EF4"/>
    <w:rsid w:val="00586C8A"/>
    <w:rsid w:val="005B5AE2"/>
    <w:rsid w:val="005C39A3"/>
    <w:rsid w:val="005C446E"/>
    <w:rsid w:val="006048A3"/>
    <w:rsid w:val="006211D9"/>
    <w:rsid w:val="006628AF"/>
    <w:rsid w:val="00682FA7"/>
    <w:rsid w:val="00727C00"/>
    <w:rsid w:val="007733F3"/>
    <w:rsid w:val="007B5A32"/>
    <w:rsid w:val="007D4746"/>
    <w:rsid w:val="008170E0"/>
    <w:rsid w:val="00865F93"/>
    <w:rsid w:val="00890B38"/>
    <w:rsid w:val="008D60D2"/>
    <w:rsid w:val="009A0434"/>
    <w:rsid w:val="009D04A2"/>
    <w:rsid w:val="00A21424"/>
    <w:rsid w:val="00A43BCE"/>
    <w:rsid w:val="00AF0AA9"/>
    <w:rsid w:val="00AF3839"/>
    <w:rsid w:val="00B27172"/>
    <w:rsid w:val="00B418CE"/>
    <w:rsid w:val="00B907DD"/>
    <w:rsid w:val="00BC13D5"/>
    <w:rsid w:val="00C05660"/>
    <w:rsid w:val="00C91F71"/>
    <w:rsid w:val="00E1297B"/>
    <w:rsid w:val="00EA643E"/>
    <w:rsid w:val="00F06E52"/>
    <w:rsid w:val="00F959E4"/>
    <w:rsid w:val="00FA0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E3A6"/>
  <w15:chartTrackingRefBased/>
  <w15:docId w15:val="{F8B88CA2-1D14-4ABF-AC84-5BF439AE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B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B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B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B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B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B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B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B2D"/>
    <w:rPr>
      <w:rFonts w:eastAsiaTheme="majorEastAsia" w:cstheme="majorBidi"/>
      <w:color w:val="272727" w:themeColor="text1" w:themeTint="D8"/>
    </w:rPr>
  </w:style>
  <w:style w:type="paragraph" w:styleId="Title">
    <w:name w:val="Title"/>
    <w:basedOn w:val="Normal"/>
    <w:next w:val="Normal"/>
    <w:link w:val="TitleChar"/>
    <w:uiPriority w:val="10"/>
    <w:qFormat/>
    <w:rsid w:val="00485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B2D"/>
    <w:pPr>
      <w:spacing w:before="160"/>
      <w:jc w:val="center"/>
    </w:pPr>
    <w:rPr>
      <w:i/>
      <w:iCs/>
      <w:color w:val="404040" w:themeColor="text1" w:themeTint="BF"/>
    </w:rPr>
  </w:style>
  <w:style w:type="character" w:customStyle="1" w:styleId="QuoteChar">
    <w:name w:val="Quote Char"/>
    <w:basedOn w:val="DefaultParagraphFont"/>
    <w:link w:val="Quote"/>
    <w:uiPriority w:val="29"/>
    <w:rsid w:val="00485B2D"/>
    <w:rPr>
      <w:i/>
      <w:iCs/>
      <w:color w:val="404040" w:themeColor="text1" w:themeTint="BF"/>
    </w:rPr>
  </w:style>
  <w:style w:type="paragraph" w:styleId="ListParagraph">
    <w:name w:val="List Paragraph"/>
    <w:basedOn w:val="Normal"/>
    <w:uiPriority w:val="34"/>
    <w:qFormat/>
    <w:rsid w:val="00485B2D"/>
    <w:pPr>
      <w:ind w:left="720"/>
      <w:contextualSpacing/>
    </w:pPr>
  </w:style>
  <w:style w:type="character" w:styleId="IntenseEmphasis">
    <w:name w:val="Intense Emphasis"/>
    <w:basedOn w:val="DefaultParagraphFont"/>
    <w:uiPriority w:val="21"/>
    <w:qFormat/>
    <w:rsid w:val="00485B2D"/>
    <w:rPr>
      <w:i/>
      <w:iCs/>
      <w:color w:val="0F4761" w:themeColor="accent1" w:themeShade="BF"/>
    </w:rPr>
  </w:style>
  <w:style w:type="paragraph" w:styleId="IntenseQuote">
    <w:name w:val="Intense Quote"/>
    <w:basedOn w:val="Normal"/>
    <w:next w:val="Normal"/>
    <w:link w:val="IntenseQuoteChar"/>
    <w:uiPriority w:val="30"/>
    <w:qFormat/>
    <w:rsid w:val="00485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B2D"/>
    <w:rPr>
      <w:i/>
      <w:iCs/>
      <w:color w:val="0F4761" w:themeColor="accent1" w:themeShade="BF"/>
    </w:rPr>
  </w:style>
  <w:style w:type="character" w:styleId="IntenseReference">
    <w:name w:val="Intense Reference"/>
    <w:basedOn w:val="DefaultParagraphFont"/>
    <w:uiPriority w:val="32"/>
    <w:qFormat/>
    <w:rsid w:val="00485B2D"/>
    <w:rPr>
      <w:b/>
      <w:bCs/>
      <w:smallCaps/>
      <w:color w:val="0F4761" w:themeColor="accent1" w:themeShade="BF"/>
      <w:spacing w:val="5"/>
    </w:rPr>
  </w:style>
  <w:style w:type="paragraph" w:styleId="NormalWeb">
    <w:name w:val="Normal (Web)"/>
    <w:basedOn w:val="Normal"/>
    <w:uiPriority w:val="99"/>
    <w:semiHidden/>
    <w:unhideWhenUsed/>
    <w:rsid w:val="007B5A32"/>
    <w:rPr>
      <w:rFonts w:ascii="Times New Roman" w:hAnsi="Times New Roman" w:cs="Times New Roman"/>
    </w:rPr>
  </w:style>
  <w:style w:type="table" w:styleId="TableGrid">
    <w:name w:val="Table Grid"/>
    <w:basedOn w:val="TableNormal"/>
    <w:uiPriority w:val="39"/>
    <w:rsid w:val="00586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7980</Words>
  <Characters>4550</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KUBILIŪTĖ</dc:creator>
  <cp:keywords/>
  <dc:description/>
  <cp:lastModifiedBy>Šarūnė KUBILIŪTĖ</cp:lastModifiedBy>
  <cp:revision>11</cp:revision>
  <dcterms:created xsi:type="dcterms:W3CDTF">2026-06-15T05:17:00Z</dcterms:created>
  <dcterms:modified xsi:type="dcterms:W3CDTF">2026-06-15T05:32:00Z</dcterms:modified>
</cp:coreProperties>
</file>