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2FC5" w14:textId="1859AF1E" w:rsidR="00A86332" w:rsidRDefault="007A5B12" w:rsidP="00976F86">
      <w:pPr>
        <w:jc w:val="center"/>
        <w:rPr>
          <w:rFonts w:ascii="Times New Roman" w:hAnsi="Times New Roman" w:cs="Times New Roman"/>
          <w:b/>
          <w:bCs/>
          <w:sz w:val="32"/>
          <w:szCs w:val="32"/>
        </w:rPr>
      </w:pPr>
      <w:r w:rsidRPr="00F10919">
        <w:rPr>
          <w:rFonts w:ascii="Times New Roman" w:hAnsi="Times New Roman" w:cs="Times New Roman"/>
          <w:b/>
          <w:bCs/>
          <w:sz w:val="32"/>
          <w:szCs w:val="32"/>
        </w:rPr>
        <w:t>Azerbaidžano ekonomika</w:t>
      </w:r>
      <w:r w:rsidR="00036E01">
        <w:rPr>
          <w:rFonts w:ascii="Times New Roman" w:hAnsi="Times New Roman" w:cs="Times New Roman"/>
          <w:b/>
          <w:bCs/>
          <w:sz w:val="32"/>
          <w:szCs w:val="32"/>
        </w:rPr>
        <w:t xml:space="preserve"> </w:t>
      </w:r>
    </w:p>
    <w:p w14:paraId="0953C2C9" w14:textId="77777777" w:rsidR="005671B8" w:rsidRDefault="005671B8" w:rsidP="00976F86">
      <w:pPr>
        <w:jc w:val="center"/>
        <w:rPr>
          <w:rFonts w:ascii="Times New Roman" w:hAnsi="Times New Roman" w:cs="Times New Roman"/>
          <w:b/>
          <w:bCs/>
          <w:sz w:val="32"/>
          <w:szCs w:val="32"/>
        </w:rPr>
      </w:pPr>
    </w:p>
    <w:p w14:paraId="11EB2FE6" w14:textId="7FA6736E" w:rsidR="002C0AE4" w:rsidRPr="002A5305" w:rsidRDefault="002C0AE4" w:rsidP="002A5305">
      <w:pPr>
        <w:jc w:val="both"/>
        <w:rPr>
          <w:rFonts w:ascii="Times New Roman" w:hAnsi="Times New Roman" w:cs="Times New Roman"/>
          <w:b/>
          <w:bCs/>
        </w:rPr>
      </w:pPr>
      <w:r w:rsidRPr="002A5305">
        <w:rPr>
          <w:rFonts w:ascii="Times New Roman" w:hAnsi="Times New Roman" w:cs="Times New Roman"/>
          <w:b/>
          <w:bCs/>
        </w:rPr>
        <w:t xml:space="preserve">Pagrindiniai </w:t>
      </w:r>
      <w:r w:rsidR="00036E01">
        <w:rPr>
          <w:rFonts w:ascii="Times New Roman" w:hAnsi="Times New Roman" w:cs="Times New Roman"/>
          <w:b/>
          <w:bCs/>
        </w:rPr>
        <w:t xml:space="preserve">ekonominiai </w:t>
      </w:r>
      <w:r w:rsidRPr="002A5305">
        <w:rPr>
          <w:rFonts w:ascii="Times New Roman" w:hAnsi="Times New Roman" w:cs="Times New Roman"/>
          <w:b/>
          <w:bCs/>
        </w:rPr>
        <w:t>rodikliai</w:t>
      </w:r>
    </w:p>
    <w:p w14:paraId="6DAB2312" w14:textId="3A9A54CC" w:rsidR="002C0AE4" w:rsidRDefault="002C0AE4" w:rsidP="002A5305">
      <w:pPr>
        <w:jc w:val="both"/>
        <w:rPr>
          <w:rFonts w:ascii="Times New Roman" w:hAnsi="Times New Roman" w:cs="Times New Roman"/>
        </w:rPr>
      </w:pPr>
      <w:r w:rsidRPr="002A5305">
        <w:rPr>
          <w:rFonts w:ascii="Times New Roman" w:hAnsi="Times New Roman" w:cs="Times New Roman"/>
        </w:rPr>
        <w:t xml:space="preserve">BVP (2025 m.) </w:t>
      </w:r>
      <w:r w:rsidR="003A3317" w:rsidRPr="002A5305">
        <w:rPr>
          <w:rFonts w:ascii="Times New Roman" w:hAnsi="Times New Roman" w:cs="Times New Roman"/>
          <w:b/>
          <w:bCs/>
        </w:rPr>
        <w:t xml:space="preserve">– </w:t>
      </w:r>
      <w:r w:rsidRPr="002A5305">
        <w:rPr>
          <w:rFonts w:ascii="Times New Roman" w:hAnsi="Times New Roman" w:cs="Times New Roman"/>
          <w:b/>
          <w:bCs/>
        </w:rPr>
        <w:t xml:space="preserve">76,4 </w:t>
      </w:r>
      <w:proofErr w:type="spellStart"/>
      <w:r w:rsidRPr="002A5305">
        <w:rPr>
          <w:rFonts w:ascii="Times New Roman" w:hAnsi="Times New Roman" w:cs="Times New Roman"/>
          <w:b/>
          <w:bCs/>
        </w:rPr>
        <w:t>mlrd</w:t>
      </w:r>
      <w:proofErr w:type="spellEnd"/>
      <w:r w:rsidRPr="002A5305">
        <w:rPr>
          <w:rFonts w:ascii="Times New Roman" w:hAnsi="Times New Roman" w:cs="Times New Roman"/>
          <w:b/>
          <w:bCs/>
        </w:rPr>
        <w:t xml:space="preserve"> USD</w:t>
      </w:r>
      <w:r w:rsidRPr="002A5305">
        <w:rPr>
          <w:rFonts w:ascii="Times New Roman" w:hAnsi="Times New Roman" w:cs="Times New Roman"/>
        </w:rPr>
        <w:t xml:space="preserve">. </w:t>
      </w:r>
      <w:r w:rsidR="00C90C87" w:rsidRPr="002A5305">
        <w:rPr>
          <w:rFonts w:ascii="Times New Roman" w:hAnsi="Times New Roman" w:cs="Times New Roman"/>
        </w:rPr>
        <w:t>A</w:t>
      </w:r>
      <w:r w:rsidR="00630E25" w:rsidRPr="002A5305">
        <w:rPr>
          <w:rFonts w:ascii="Times New Roman" w:hAnsi="Times New Roman" w:cs="Times New Roman"/>
        </w:rPr>
        <w:t>ugim</w:t>
      </w:r>
      <w:r w:rsidR="00C90C87" w:rsidRPr="002A5305">
        <w:rPr>
          <w:rFonts w:ascii="Times New Roman" w:hAnsi="Times New Roman" w:cs="Times New Roman"/>
        </w:rPr>
        <w:t>o prognozė</w:t>
      </w:r>
      <w:r w:rsidR="00630E25" w:rsidRPr="002A5305">
        <w:rPr>
          <w:rFonts w:ascii="Times New Roman" w:hAnsi="Times New Roman" w:cs="Times New Roman"/>
        </w:rPr>
        <w:t xml:space="preserve"> </w:t>
      </w:r>
      <w:r w:rsidR="003A3317" w:rsidRPr="002A5305">
        <w:rPr>
          <w:rFonts w:ascii="Times New Roman" w:hAnsi="Times New Roman" w:cs="Times New Roman"/>
        </w:rPr>
        <w:t xml:space="preserve">2025-2026 m. </w:t>
      </w:r>
      <w:r w:rsidR="00630E25" w:rsidRPr="002A5305">
        <w:rPr>
          <w:rFonts w:ascii="Times New Roman" w:hAnsi="Times New Roman" w:cs="Times New Roman"/>
        </w:rPr>
        <w:t xml:space="preserve">– </w:t>
      </w:r>
      <w:r w:rsidRPr="002A5305">
        <w:rPr>
          <w:rFonts w:ascii="Times New Roman" w:hAnsi="Times New Roman" w:cs="Times New Roman"/>
          <w:b/>
          <w:bCs/>
        </w:rPr>
        <w:t>2,5–3 %</w:t>
      </w:r>
      <w:r w:rsidR="007A5B12" w:rsidRPr="002A5305">
        <w:rPr>
          <w:rFonts w:ascii="Times New Roman" w:hAnsi="Times New Roman" w:cs="Times New Roman"/>
        </w:rPr>
        <w:t xml:space="preserve">. </w:t>
      </w:r>
      <w:r w:rsidR="0042047D" w:rsidRPr="005F4714">
        <w:rPr>
          <w:rFonts w:ascii="Times New Roman" w:hAnsi="Times New Roman" w:cs="Times New Roman"/>
        </w:rPr>
        <w:t xml:space="preserve">Infliacija </w:t>
      </w:r>
      <w:r w:rsidR="00C55675">
        <w:rPr>
          <w:rFonts w:ascii="Times New Roman" w:hAnsi="Times New Roman" w:cs="Times New Roman"/>
        </w:rPr>
        <w:t>–</w:t>
      </w:r>
      <w:r w:rsidR="0042047D" w:rsidRPr="002A5305">
        <w:rPr>
          <w:rFonts w:ascii="Times New Roman" w:hAnsi="Times New Roman" w:cs="Times New Roman"/>
        </w:rPr>
        <w:t xml:space="preserve"> 5,7 proc. iki metų pabaigos turėtų mažėti iki </w:t>
      </w:r>
      <w:r w:rsidR="0042047D" w:rsidRPr="005F4714">
        <w:rPr>
          <w:rFonts w:ascii="Times New Roman" w:hAnsi="Times New Roman" w:cs="Times New Roman"/>
        </w:rPr>
        <w:t>5 %</w:t>
      </w:r>
      <w:r w:rsidR="0042047D" w:rsidRPr="002A5305">
        <w:rPr>
          <w:rFonts w:ascii="Times New Roman" w:hAnsi="Times New Roman" w:cs="Times New Roman"/>
        </w:rPr>
        <w:t>.</w:t>
      </w:r>
    </w:p>
    <w:p w14:paraId="47B63A0B" w14:textId="2A46AC1A" w:rsidR="004356C8" w:rsidRDefault="004356C8" w:rsidP="002A5305">
      <w:pPr>
        <w:jc w:val="both"/>
        <w:rPr>
          <w:rFonts w:ascii="Times New Roman" w:hAnsi="Times New Roman" w:cs="Times New Roman"/>
        </w:rPr>
      </w:pPr>
      <w:r>
        <w:rPr>
          <w:rFonts w:ascii="Times New Roman" w:hAnsi="Times New Roman" w:cs="Times New Roman"/>
        </w:rPr>
        <w:t xml:space="preserve">BVP vienam gyventojui </w:t>
      </w:r>
      <w:r w:rsidR="005D3AB3">
        <w:rPr>
          <w:rFonts w:ascii="Times New Roman" w:hAnsi="Times New Roman" w:cs="Times New Roman"/>
        </w:rPr>
        <w:t>7</w:t>
      </w:r>
      <w:r w:rsidR="00562DF3">
        <w:rPr>
          <w:rFonts w:ascii="Times New Roman" w:hAnsi="Times New Roman" w:cs="Times New Roman"/>
        </w:rPr>
        <w:t>.</w:t>
      </w:r>
      <w:r w:rsidR="005D3AB3">
        <w:rPr>
          <w:rFonts w:ascii="Times New Roman" w:hAnsi="Times New Roman" w:cs="Times New Roman"/>
        </w:rPr>
        <w:t>500 USD</w:t>
      </w:r>
      <w:r w:rsidR="00C55675">
        <w:rPr>
          <w:rFonts w:ascii="Times New Roman" w:hAnsi="Times New Roman" w:cs="Times New Roman"/>
        </w:rPr>
        <w:t xml:space="preserve"> (</w:t>
      </w:r>
      <w:r w:rsidR="005D3AB3">
        <w:rPr>
          <w:rFonts w:ascii="Times New Roman" w:hAnsi="Times New Roman" w:cs="Times New Roman"/>
        </w:rPr>
        <w:t>3 kartus mažiau nei Lietuvos</w:t>
      </w:r>
      <w:r w:rsidR="0098779A">
        <w:rPr>
          <w:rFonts w:ascii="Times New Roman" w:hAnsi="Times New Roman" w:cs="Times New Roman"/>
        </w:rPr>
        <w:t>,</w:t>
      </w:r>
      <w:r w:rsidR="00562DF3">
        <w:rPr>
          <w:rFonts w:ascii="Times New Roman" w:hAnsi="Times New Roman" w:cs="Times New Roman"/>
        </w:rPr>
        <w:t xml:space="preserve"> maž</w:t>
      </w:r>
      <w:r w:rsidR="00C55675">
        <w:rPr>
          <w:rFonts w:ascii="Times New Roman" w:hAnsi="Times New Roman" w:cs="Times New Roman"/>
        </w:rPr>
        <w:t>iau</w:t>
      </w:r>
      <w:r w:rsidR="00562DF3">
        <w:rPr>
          <w:rFonts w:ascii="Times New Roman" w:hAnsi="Times New Roman" w:cs="Times New Roman"/>
        </w:rPr>
        <w:t xml:space="preserve"> nei Armėnijos (9.000 USD) ar </w:t>
      </w:r>
      <w:r w:rsidR="00C55675">
        <w:rPr>
          <w:rFonts w:ascii="Times New Roman" w:hAnsi="Times New Roman" w:cs="Times New Roman"/>
        </w:rPr>
        <w:t>Gruzijos</w:t>
      </w:r>
      <w:r w:rsidR="00562DF3">
        <w:rPr>
          <w:rFonts w:ascii="Times New Roman" w:hAnsi="Times New Roman" w:cs="Times New Roman"/>
        </w:rPr>
        <w:t xml:space="preserve"> (10.000 USD)</w:t>
      </w:r>
      <w:r w:rsidR="00036E01">
        <w:rPr>
          <w:rFonts w:ascii="Times New Roman" w:hAnsi="Times New Roman" w:cs="Times New Roman"/>
        </w:rPr>
        <w:t>.</w:t>
      </w:r>
    </w:p>
    <w:p w14:paraId="2F28D660" w14:textId="1BE00A36" w:rsidR="00C9521C" w:rsidRDefault="00C9521C" w:rsidP="002A5305">
      <w:pPr>
        <w:jc w:val="both"/>
        <w:rPr>
          <w:rFonts w:ascii="Times New Roman" w:hAnsi="Times New Roman" w:cs="Times New Roman"/>
        </w:rPr>
      </w:pPr>
      <w:r>
        <w:rPr>
          <w:rFonts w:ascii="Times New Roman" w:hAnsi="Times New Roman" w:cs="Times New Roman"/>
        </w:rPr>
        <w:t>Valstybės skola santykinai nedidelė</w:t>
      </w:r>
      <w:r w:rsidR="00036E01">
        <w:rPr>
          <w:rFonts w:ascii="Times New Roman" w:hAnsi="Times New Roman" w:cs="Times New Roman"/>
        </w:rPr>
        <w:t xml:space="preserve"> </w:t>
      </w:r>
      <w:r>
        <w:rPr>
          <w:rFonts w:ascii="Times New Roman" w:hAnsi="Times New Roman" w:cs="Times New Roman"/>
        </w:rPr>
        <w:t>- apie 24</w:t>
      </w:r>
      <w:r>
        <w:rPr>
          <w:rFonts w:ascii="Times New Roman" w:hAnsi="Times New Roman" w:cs="Times New Roman"/>
          <w:lang w:val="en-US"/>
        </w:rPr>
        <w:t>% BVP</w:t>
      </w:r>
      <w:r w:rsidR="00ED1C1E">
        <w:rPr>
          <w:rFonts w:ascii="Times New Roman" w:hAnsi="Times New Roman" w:cs="Times New Roman"/>
          <w:lang w:val="en-US"/>
        </w:rPr>
        <w:t xml:space="preserve">. </w:t>
      </w:r>
      <w:proofErr w:type="spellStart"/>
      <w:r w:rsidR="00ED1C1E">
        <w:rPr>
          <w:rFonts w:ascii="Times New Roman" w:hAnsi="Times New Roman" w:cs="Times New Roman"/>
          <w:lang w:val="en-US"/>
        </w:rPr>
        <w:t>Azerbai</w:t>
      </w:r>
      <w:r w:rsidR="00ED1C1E">
        <w:rPr>
          <w:rFonts w:ascii="Times New Roman" w:hAnsi="Times New Roman" w:cs="Times New Roman"/>
        </w:rPr>
        <w:t>džano</w:t>
      </w:r>
      <w:proofErr w:type="spellEnd"/>
      <w:r w:rsidR="00ED1C1E">
        <w:rPr>
          <w:rFonts w:ascii="Times New Roman" w:hAnsi="Times New Roman" w:cs="Times New Roman"/>
        </w:rPr>
        <w:t xml:space="preserve"> valiuta manatas (AZN) pririštas prie JAV dolerio (</w:t>
      </w:r>
      <w:r w:rsidR="00A845AD">
        <w:rPr>
          <w:rFonts w:ascii="Times New Roman" w:hAnsi="Times New Roman" w:cs="Times New Roman"/>
        </w:rPr>
        <w:t>1,7 AZN už 1 USD)</w:t>
      </w:r>
      <w:r w:rsidR="00F14255">
        <w:rPr>
          <w:rFonts w:ascii="Times New Roman" w:hAnsi="Times New Roman" w:cs="Times New Roman"/>
        </w:rPr>
        <w:t xml:space="preserve">. Nors manatas </w:t>
      </w:r>
      <w:r w:rsidR="00A845AD">
        <w:rPr>
          <w:rFonts w:ascii="Times New Roman" w:hAnsi="Times New Roman" w:cs="Times New Roman"/>
        </w:rPr>
        <w:t xml:space="preserve">iš esmės laikomas stabiliu, bet </w:t>
      </w:r>
      <w:r w:rsidR="00F14255">
        <w:rPr>
          <w:rFonts w:ascii="Times New Roman" w:hAnsi="Times New Roman" w:cs="Times New Roman"/>
        </w:rPr>
        <w:t xml:space="preserve">jau kuris laikas kalbama apie galimą AZN devalvaciją. AZN stabilumas daugiausiai priklauso nuo energetikos eksporto pajamų. </w:t>
      </w:r>
    </w:p>
    <w:p w14:paraId="25DDEB63" w14:textId="4C820FEB" w:rsidR="002E45C0" w:rsidRPr="00ED1C1E" w:rsidRDefault="002E45C0" w:rsidP="002A5305">
      <w:pPr>
        <w:jc w:val="both"/>
        <w:rPr>
          <w:rFonts w:ascii="Times New Roman" w:hAnsi="Times New Roman" w:cs="Times New Roman"/>
        </w:rPr>
      </w:pPr>
      <w:r>
        <w:rPr>
          <w:rFonts w:ascii="Times New Roman" w:hAnsi="Times New Roman" w:cs="Times New Roman"/>
        </w:rPr>
        <w:t>Svarbi AZ ekonomikos stabilumo institucija yra Valstybinis naftos fondas (SOFAZ)</w:t>
      </w:r>
      <w:r w:rsidR="00482168">
        <w:rPr>
          <w:rFonts w:ascii="Times New Roman" w:hAnsi="Times New Roman" w:cs="Times New Roman"/>
        </w:rPr>
        <w:t xml:space="preserve">, kurio turtas siekia </w:t>
      </w:r>
      <w:r w:rsidR="00353158">
        <w:rPr>
          <w:rFonts w:ascii="Times New Roman" w:hAnsi="Times New Roman" w:cs="Times New Roman"/>
        </w:rPr>
        <w:t xml:space="preserve">apie 73 </w:t>
      </w:r>
      <w:proofErr w:type="spellStart"/>
      <w:r w:rsidR="00353158">
        <w:rPr>
          <w:rFonts w:ascii="Times New Roman" w:hAnsi="Times New Roman" w:cs="Times New Roman"/>
        </w:rPr>
        <w:t>mlrd</w:t>
      </w:r>
      <w:proofErr w:type="spellEnd"/>
      <w:r w:rsidR="00353158">
        <w:rPr>
          <w:rFonts w:ascii="Times New Roman" w:hAnsi="Times New Roman" w:cs="Times New Roman"/>
        </w:rPr>
        <w:t xml:space="preserve"> USD. Kasmet reikšminga</w:t>
      </w:r>
      <w:r w:rsidR="00F86B53">
        <w:rPr>
          <w:rFonts w:ascii="Times New Roman" w:hAnsi="Times New Roman" w:cs="Times New Roman"/>
        </w:rPr>
        <w:t xml:space="preserve"> SOFAZ lė</w:t>
      </w:r>
      <w:r w:rsidR="00036E01">
        <w:rPr>
          <w:rFonts w:ascii="Times New Roman" w:hAnsi="Times New Roman" w:cs="Times New Roman"/>
        </w:rPr>
        <w:t>š</w:t>
      </w:r>
      <w:r w:rsidR="00F86B53">
        <w:rPr>
          <w:rFonts w:ascii="Times New Roman" w:hAnsi="Times New Roman" w:cs="Times New Roman"/>
        </w:rPr>
        <w:t>ų dalis pervedama į valstybės biudžetą</w:t>
      </w:r>
      <w:r w:rsidR="006D1417">
        <w:rPr>
          <w:rFonts w:ascii="Times New Roman" w:hAnsi="Times New Roman" w:cs="Times New Roman"/>
        </w:rPr>
        <w:t>, todėl biudžeto pajamos išlieka stipriai susietos su naftos ir dujų kainomis.</w:t>
      </w:r>
    </w:p>
    <w:p w14:paraId="057B4B12" w14:textId="61D6A487" w:rsidR="00C46FFF" w:rsidRPr="002A5305" w:rsidRDefault="00C55675" w:rsidP="002A5305">
      <w:pPr>
        <w:jc w:val="both"/>
        <w:rPr>
          <w:rFonts w:ascii="Times New Roman" w:hAnsi="Times New Roman" w:cs="Times New Roman"/>
          <w:b/>
          <w:bCs/>
        </w:rPr>
      </w:pPr>
      <w:r>
        <w:rPr>
          <w:rFonts w:ascii="Times New Roman" w:hAnsi="Times New Roman" w:cs="Times New Roman"/>
          <w:b/>
          <w:bCs/>
        </w:rPr>
        <w:t>Ekonomikos struktūra</w:t>
      </w:r>
      <w:r w:rsidR="00A65B41" w:rsidRPr="002A5305">
        <w:rPr>
          <w:rFonts w:ascii="Times New Roman" w:hAnsi="Times New Roman" w:cs="Times New Roman"/>
          <w:b/>
          <w:bCs/>
        </w:rPr>
        <w:t>:</w:t>
      </w:r>
    </w:p>
    <w:p w14:paraId="6D408A69" w14:textId="373DCC2B" w:rsidR="007D1597" w:rsidRPr="002A5305" w:rsidRDefault="007D1597" w:rsidP="002A5305">
      <w:pPr>
        <w:pStyle w:val="ListParagraph"/>
        <w:numPr>
          <w:ilvl w:val="0"/>
          <w:numId w:val="20"/>
        </w:numPr>
        <w:jc w:val="both"/>
        <w:rPr>
          <w:rFonts w:ascii="Times New Roman" w:hAnsi="Times New Roman" w:cs="Times New Roman"/>
        </w:rPr>
      </w:pPr>
      <w:r w:rsidRPr="002A5305">
        <w:rPr>
          <w:rFonts w:ascii="Times New Roman" w:hAnsi="Times New Roman" w:cs="Times New Roman"/>
          <w:b/>
          <w:bCs/>
        </w:rPr>
        <w:t>Tradicinė energetika (n</w:t>
      </w:r>
      <w:r w:rsidR="00C46FFF" w:rsidRPr="002A5305">
        <w:rPr>
          <w:rFonts w:ascii="Times New Roman" w:hAnsi="Times New Roman" w:cs="Times New Roman"/>
          <w:b/>
          <w:bCs/>
        </w:rPr>
        <w:t>aft</w:t>
      </w:r>
      <w:r w:rsidR="00C90C87" w:rsidRPr="002A5305">
        <w:rPr>
          <w:rFonts w:ascii="Times New Roman" w:hAnsi="Times New Roman" w:cs="Times New Roman"/>
          <w:b/>
          <w:bCs/>
        </w:rPr>
        <w:t>a,</w:t>
      </w:r>
      <w:r w:rsidR="00C46FFF" w:rsidRPr="002A5305">
        <w:rPr>
          <w:rFonts w:ascii="Times New Roman" w:hAnsi="Times New Roman" w:cs="Times New Roman"/>
          <w:b/>
          <w:bCs/>
        </w:rPr>
        <w:t xml:space="preserve"> duj</w:t>
      </w:r>
      <w:r w:rsidR="00C90C87" w:rsidRPr="002A5305">
        <w:rPr>
          <w:rFonts w:ascii="Times New Roman" w:hAnsi="Times New Roman" w:cs="Times New Roman"/>
          <w:b/>
          <w:bCs/>
        </w:rPr>
        <w:t>os</w:t>
      </w:r>
      <w:r w:rsidRPr="002A5305">
        <w:rPr>
          <w:rFonts w:ascii="Times New Roman" w:hAnsi="Times New Roman" w:cs="Times New Roman"/>
          <w:b/>
          <w:bCs/>
        </w:rPr>
        <w:t>)</w:t>
      </w:r>
      <w:r w:rsidR="00C46FFF" w:rsidRPr="002A5305">
        <w:rPr>
          <w:rFonts w:ascii="Times New Roman" w:hAnsi="Times New Roman" w:cs="Times New Roman"/>
          <w:b/>
          <w:bCs/>
        </w:rPr>
        <w:t xml:space="preserve"> – 40–</w:t>
      </w:r>
      <w:r w:rsidR="00036E01">
        <w:rPr>
          <w:rFonts w:ascii="Times New Roman" w:hAnsi="Times New Roman" w:cs="Times New Roman"/>
          <w:b/>
          <w:bCs/>
        </w:rPr>
        <w:t>50</w:t>
      </w:r>
      <w:r w:rsidR="00C46FFF" w:rsidRPr="002A5305">
        <w:rPr>
          <w:rFonts w:ascii="Times New Roman" w:hAnsi="Times New Roman" w:cs="Times New Roman"/>
          <w:b/>
          <w:bCs/>
        </w:rPr>
        <w:t xml:space="preserve"> % BVP</w:t>
      </w:r>
      <w:r w:rsidRPr="002A5305">
        <w:rPr>
          <w:rFonts w:ascii="Times New Roman" w:hAnsi="Times New Roman" w:cs="Times New Roman"/>
          <w:b/>
          <w:bCs/>
        </w:rPr>
        <w:t xml:space="preserve">. </w:t>
      </w:r>
      <w:r w:rsidR="00C46FFF" w:rsidRPr="002A5305">
        <w:rPr>
          <w:rFonts w:ascii="Times New Roman" w:hAnsi="Times New Roman" w:cs="Times New Roman"/>
        </w:rPr>
        <w:t>Pagrindinis ekonomikos variklis</w:t>
      </w:r>
      <w:r w:rsidRPr="002A5305">
        <w:rPr>
          <w:rFonts w:ascii="Times New Roman" w:hAnsi="Times New Roman" w:cs="Times New Roman"/>
        </w:rPr>
        <w:t xml:space="preserve">, tačiau </w:t>
      </w:r>
      <w:r w:rsidR="00036E01">
        <w:rPr>
          <w:rFonts w:ascii="Times New Roman" w:hAnsi="Times New Roman" w:cs="Times New Roman"/>
        </w:rPr>
        <w:t>„</w:t>
      </w:r>
      <w:r w:rsidRPr="002A5305">
        <w:rPr>
          <w:rFonts w:ascii="Times New Roman" w:hAnsi="Times New Roman" w:cs="Times New Roman"/>
        </w:rPr>
        <w:t>ne energetikos</w:t>
      </w:r>
      <w:r w:rsidR="00036E01">
        <w:rPr>
          <w:rFonts w:ascii="Times New Roman" w:hAnsi="Times New Roman" w:cs="Times New Roman"/>
        </w:rPr>
        <w:t>“</w:t>
      </w:r>
      <w:r w:rsidRPr="002A5305">
        <w:rPr>
          <w:rFonts w:ascii="Times New Roman" w:hAnsi="Times New Roman" w:cs="Times New Roman"/>
        </w:rPr>
        <w:t xml:space="preserve"> sektoriai auga.</w:t>
      </w:r>
    </w:p>
    <w:p w14:paraId="392273FB" w14:textId="5740B243" w:rsidR="007D1597" w:rsidRPr="002A5305" w:rsidRDefault="00C46FFF" w:rsidP="002A5305">
      <w:pPr>
        <w:pStyle w:val="ListParagraph"/>
        <w:numPr>
          <w:ilvl w:val="0"/>
          <w:numId w:val="20"/>
        </w:numPr>
        <w:jc w:val="both"/>
        <w:rPr>
          <w:rFonts w:ascii="Times New Roman" w:hAnsi="Times New Roman" w:cs="Times New Roman"/>
        </w:rPr>
      </w:pPr>
      <w:r w:rsidRPr="002A5305">
        <w:rPr>
          <w:rFonts w:ascii="Times New Roman" w:hAnsi="Times New Roman" w:cs="Times New Roman"/>
          <w:b/>
          <w:bCs/>
        </w:rPr>
        <w:t>Ne naftos</w:t>
      </w:r>
      <w:r w:rsidR="00C90C87" w:rsidRPr="002A5305">
        <w:rPr>
          <w:rFonts w:ascii="Times New Roman" w:hAnsi="Times New Roman" w:cs="Times New Roman"/>
          <w:b/>
          <w:bCs/>
        </w:rPr>
        <w:t>/dujų</w:t>
      </w:r>
      <w:r w:rsidRPr="002A5305">
        <w:rPr>
          <w:rFonts w:ascii="Times New Roman" w:hAnsi="Times New Roman" w:cs="Times New Roman"/>
          <w:b/>
          <w:bCs/>
        </w:rPr>
        <w:t xml:space="preserve"> pramonė ir gavyba – 10–15 % BVP</w:t>
      </w:r>
      <w:r w:rsidR="005A5200" w:rsidRPr="002A5305">
        <w:rPr>
          <w:rFonts w:ascii="Times New Roman" w:hAnsi="Times New Roman" w:cs="Times New Roman"/>
          <w:b/>
          <w:bCs/>
        </w:rPr>
        <w:t xml:space="preserve"> </w:t>
      </w:r>
      <w:r w:rsidR="007D1597" w:rsidRPr="002A5305">
        <w:rPr>
          <w:rFonts w:ascii="Times New Roman" w:hAnsi="Times New Roman" w:cs="Times New Roman"/>
        </w:rPr>
        <w:t>– a</w:t>
      </w:r>
      <w:r w:rsidRPr="002A5305">
        <w:rPr>
          <w:rFonts w:ascii="Times New Roman" w:hAnsi="Times New Roman" w:cs="Times New Roman"/>
        </w:rPr>
        <w:t>pima statybų, chemijos, metalurgijos, perdirbimo ir kitą pramonę</w:t>
      </w:r>
      <w:r w:rsidR="007D1597" w:rsidRPr="002A5305">
        <w:rPr>
          <w:rFonts w:ascii="Times New Roman" w:hAnsi="Times New Roman" w:cs="Times New Roman"/>
        </w:rPr>
        <w:t xml:space="preserve"> be energetikos</w:t>
      </w:r>
      <w:r w:rsidRPr="002A5305">
        <w:rPr>
          <w:rFonts w:ascii="Times New Roman" w:hAnsi="Times New Roman" w:cs="Times New Roman"/>
        </w:rPr>
        <w:t>.</w:t>
      </w:r>
      <w:r w:rsidR="005A5200" w:rsidRPr="002A5305">
        <w:rPr>
          <w:rFonts w:ascii="Times New Roman" w:hAnsi="Times New Roman" w:cs="Times New Roman"/>
        </w:rPr>
        <w:t xml:space="preserve"> </w:t>
      </w:r>
    </w:p>
    <w:p w14:paraId="44FA4E50" w14:textId="5DCCCB2B" w:rsidR="007D1597" w:rsidRPr="002A5305" w:rsidRDefault="00C46FFF" w:rsidP="002A5305">
      <w:pPr>
        <w:pStyle w:val="ListParagraph"/>
        <w:numPr>
          <w:ilvl w:val="0"/>
          <w:numId w:val="20"/>
        </w:numPr>
        <w:jc w:val="both"/>
        <w:rPr>
          <w:rFonts w:ascii="Times New Roman" w:hAnsi="Times New Roman" w:cs="Times New Roman"/>
        </w:rPr>
      </w:pPr>
      <w:r w:rsidRPr="002A5305">
        <w:rPr>
          <w:rFonts w:ascii="Times New Roman" w:hAnsi="Times New Roman" w:cs="Times New Roman"/>
          <w:b/>
          <w:bCs/>
        </w:rPr>
        <w:t xml:space="preserve">Paslaugų sektorius </w:t>
      </w:r>
      <w:r w:rsidR="007D1597" w:rsidRPr="002A5305">
        <w:rPr>
          <w:rFonts w:ascii="Times New Roman" w:hAnsi="Times New Roman" w:cs="Times New Roman"/>
          <w:b/>
          <w:bCs/>
        </w:rPr>
        <w:t xml:space="preserve">– 30–35 % BVP </w:t>
      </w:r>
      <w:r w:rsidR="007D1597" w:rsidRPr="002A5305">
        <w:rPr>
          <w:rFonts w:ascii="Times New Roman" w:hAnsi="Times New Roman" w:cs="Times New Roman"/>
        </w:rPr>
        <w:t xml:space="preserve">– </w:t>
      </w:r>
      <w:r w:rsidRPr="002A5305">
        <w:rPr>
          <w:rFonts w:ascii="Times New Roman" w:hAnsi="Times New Roman" w:cs="Times New Roman"/>
        </w:rPr>
        <w:t>transportas, prekyba, logistika, finans</w:t>
      </w:r>
      <w:r w:rsidR="007D1597" w:rsidRPr="002A5305">
        <w:rPr>
          <w:rFonts w:ascii="Times New Roman" w:hAnsi="Times New Roman" w:cs="Times New Roman"/>
        </w:rPr>
        <w:t>inės paslaugos</w:t>
      </w:r>
      <w:r w:rsidRPr="002A5305">
        <w:rPr>
          <w:rFonts w:ascii="Times New Roman" w:hAnsi="Times New Roman" w:cs="Times New Roman"/>
        </w:rPr>
        <w:t>, ICT, turizmas ir kt.</w:t>
      </w:r>
      <w:r w:rsidR="00036E01">
        <w:rPr>
          <w:rFonts w:ascii="Times New Roman" w:hAnsi="Times New Roman" w:cs="Times New Roman"/>
        </w:rPr>
        <w:t xml:space="preserve"> – </w:t>
      </w:r>
      <w:r w:rsidR="007D1597" w:rsidRPr="002A5305">
        <w:rPr>
          <w:rFonts w:ascii="Times New Roman" w:hAnsi="Times New Roman" w:cs="Times New Roman"/>
        </w:rPr>
        <w:t xml:space="preserve"> </w:t>
      </w:r>
      <w:r w:rsidR="00036E01">
        <w:rPr>
          <w:rFonts w:ascii="Times New Roman" w:hAnsi="Times New Roman" w:cs="Times New Roman"/>
        </w:rPr>
        <w:t>s</w:t>
      </w:r>
      <w:r w:rsidRPr="002A5305">
        <w:rPr>
          <w:rFonts w:ascii="Times New Roman" w:hAnsi="Times New Roman" w:cs="Times New Roman"/>
        </w:rPr>
        <w:t xml:space="preserve">parčiai auganti </w:t>
      </w:r>
      <w:r w:rsidR="00036E01">
        <w:rPr>
          <w:rFonts w:ascii="Times New Roman" w:hAnsi="Times New Roman" w:cs="Times New Roman"/>
        </w:rPr>
        <w:t xml:space="preserve">ekonomikos </w:t>
      </w:r>
      <w:r w:rsidRPr="002A5305">
        <w:rPr>
          <w:rFonts w:ascii="Times New Roman" w:hAnsi="Times New Roman" w:cs="Times New Roman"/>
        </w:rPr>
        <w:t xml:space="preserve">dalis, ypač transportas ir logistika </w:t>
      </w:r>
      <w:r w:rsidR="00036E01">
        <w:rPr>
          <w:rFonts w:ascii="Times New Roman" w:hAnsi="Times New Roman" w:cs="Times New Roman"/>
        </w:rPr>
        <w:t xml:space="preserve">– </w:t>
      </w:r>
      <w:r w:rsidRPr="002A5305">
        <w:rPr>
          <w:rFonts w:ascii="Times New Roman" w:hAnsi="Times New Roman" w:cs="Times New Roman"/>
        </w:rPr>
        <w:t xml:space="preserve">dėl </w:t>
      </w:r>
      <w:r w:rsidR="007D1597" w:rsidRPr="002A5305">
        <w:rPr>
          <w:rFonts w:ascii="Times New Roman" w:hAnsi="Times New Roman" w:cs="Times New Roman"/>
        </w:rPr>
        <w:t xml:space="preserve">šalies </w:t>
      </w:r>
      <w:r w:rsidRPr="002A5305">
        <w:rPr>
          <w:rFonts w:ascii="Times New Roman" w:hAnsi="Times New Roman" w:cs="Times New Roman"/>
        </w:rPr>
        <w:t>strateginės padėties tarp Europos ir Azijos</w:t>
      </w:r>
      <w:r w:rsidR="007D1597" w:rsidRPr="002A5305">
        <w:rPr>
          <w:rFonts w:ascii="Times New Roman" w:hAnsi="Times New Roman" w:cs="Times New Roman"/>
        </w:rPr>
        <w:t>.</w:t>
      </w:r>
    </w:p>
    <w:p w14:paraId="55854CF5" w14:textId="13CD45C5" w:rsidR="007A5B12" w:rsidRPr="002A5305" w:rsidRDefault="00C46FFF" w:rsidP="002A5305">
      <w:pPr>
        <w:pStyle w:val="ListParagraph"/>
        <w:numPr>
          <w:ilvl w:val="0"/>
          <w:numId w:val="20"/>
        </w:numPr>
        <w:jc w:val="both"/>
        <w:rPr>
          <w:rFonts w:ascii="Times New Roman" w:hAnsi="Times New Roman" w:cs="Times New Roman"/>
        </w:rPr>
      </w:pPr>
      <w:r w:rsidRPr="002A5305">
        <w:rPr>
          <w:rFonts w:ascii="Times New Roman" w:hAnsi="Times New Roman" w:cs="Times New Roman"/>
          <w:b/>
          <w:bCs/>
        </w:rPr>
        <w:t xml:space="preserve">Žemės ūkis ir maisto gamyba </w:t>
      </w:r>
      <w:r w:rsidRPr="002A5305">
        <w:rPr>
          <w:rFonts w:ascii="Times New Roman" w:hAnsi="Times New Roman" w:cs="Times New Roman"/>
        </w:rPr>
        <w:t>– 5–7 % BVP</w:t>
      </w:r>
      <w:r w:rsidR="005A5200" w:rsidRPr="002A5305">
        <w:rPr>
          <w:rFonts w:ascii="Times New Roman" w:hAnsi="Times New Roman" w:cs="Times New Roman"/>
        </w:rPr>
        <w:t>. S</w:t>
      </w:r>
      <w:r w:rsidRPr="002A5305">
        <w:rPr>
          <w:rFonts w:ascii="Times New Roman" w:hAnsi="Times New Roman" w:cs="Times New Roman"/>
        </w:rPr>
        <w:t>trategiškai svarbi ir turinti augimo potencialą sritis.</w:t>
      </w:r>
    </w:p>
    <w:p w14:paraId="3F794F64" w14:textId="64A80D67" w:rsidR="00092EB0" w:rsidRPr="00C55675" w:rsidRDefault="00092EB0" w:rsidP="002A5305">
      <w:pPr>
        <w:jc w:val="both"/>
        <w:rPr>
          <w:rFonts w:ascii="Times New Roman" w:hAnsi="Times New Roman" w:cs="Times New Roman"/>
          <w:b/>
          <w:bCs/>
        </w:rPr>
      </w:pPr>
      <w:r w:rsidRPr="00C55675">
        <w:rPr>
          <w:rFonts w:ascii="Times New Roman" w:hAnsi="Times New Roman" w:cs="Times New Roman"/>
          <w:b/>
          <w:bCs/>
        </w:rPr>
        <w:t>Importo/eksporto struktūra</w:t>
      </w:r>
    </w:p>
    <w:p w14:paraId="5B0F300C" w14:textId="77777777" w:rsidR="00036E01" w:rsidRDefault="00036E01" w:rsidP="00036E01">
      <w:pPr>
        <w:jc w:val="both"/>
        <w:rPr>
          <w:rFonts w:ascii="Times New Roman" w:hAnsi="Times New Roman" w:cs="Times New Roman"/>
        </w:rPr>
      </w:pPr>
      <w:r w:rsidRPr="00ED5AB4">
        <w:rPr>
          <w:rFonts w:ascii="Times New Roman" w:hAnsi="Times New Roman" w:cs="Times New Roman"/>
        </w:rPr>
        <w:t xml:space="preserve">ES </w:t>
      </w:r>
      <w:r>
        <w:rPr>
          <w:rFonts w:ascii="Times New Roman" w:hAnsi="Times New Roman" w:cs="Times New Roman"/>
        </w:rPr>
        <w:t>išlieka</w:t>
      </w:r>
      <w:r w:rsidRPr="00ED5AB4">
        <w:rPr>
          <w:rFonts w:ascii="Times New Roman" w:hAnsi="Times New Roman" w:cs="Times New Roman"/>
        </w:rPr>
        <w:t xml:space="preserve"> didžiausia </w:t>
      </w:r>
      <w:r>
        <w:rPr>
          <w:rFonts w:ascii="Times New Roman" w:hAnsi="Times New Roman" w:cs="Times New Roman"/>
        </w:rPr>
        <w:t>AZ</w:t>
      </w:r>
      <w:r w:rsidRPr="00ED5AB4">
        <w:rPr>
          <w:rFonts w:ascii="Times New Roman" w:hAnsi="Times New Roman" w:cs="Times New Roman"/>
        </w:rPr>
        <w:t xml:space="preserve"> eksporto ir trečia pagal dydį importo rinka (po Rusijos ir Kinijos). Azerbaidžano ekonomika išlieka labai priklausoma nuo iškastinio kuro eksporto (90 % eksporto pajamų ir </w:t>
      </w:r>
      <w:r>
        <w:rPr>
          <w:rFonts w:ascii="Times New Roman" w:hAnsi="Times New Roman" w:cs="Times New Roman"/>
        </w:rPr>
        <w:t>40-</w:t>
      </w:r>
      <w:r w:rsidRPr="00ED5AB4">
        <w:rPr>
          <w:rFonts w:ascii="Times New Roman" w:hAnsi="Times New Roman" w:cs="Times New Roman"/>
        </w:rPr>
        <w:t xml:space="preserve">50 % valstybės biudžeto). </w:t>
      </w:r>
    </w:p>
    <w:p w14:paraId="6296282E" w14:textId="09E86221" w:rsidR="000D1DC9" w:rsidRDefault="000D1DC9" w:rsidP="00036E01">
      <w:pPr>
        <w:jc w:val="both"/>
        <w:rPr>
          <w:rFonts w:ascii="Times New Roman" w:hAnsi="Times New Roman" w:cs="Times New Roman"/>
        </w:rPr>
      </w:pPr>
      <w:r w:rsidRPr="000D1DC9">
        <w:rPr>
          <w:rFonts w:ascii="Times New Roman" w:hAnsi="Times New Roman" w:cs="Times New Roman"/>
          <w:b/>
          <w:bCs/>
        </w:rPr>
        <w:t>Eksportas 2024 m.</w:t>
      </w:r>
      <w:r w:rsidRPr="000D1DC9">
        <w:rPr>
          <w:rFonts w:ascii="Times New Roman" w:hAnsi="Times New Roman" w:cs="Times New Roman"/>
        </w:rPr>
        <w:t xml:space="preserve"> siekė apie 26,55 mlrd. JAV dolerių, iš kurių didžiąją dalį (apie 88–90 %) sudarė angliavandeniliai – nafta, dujos ir jų produktai. Pagrindinės eksporto kryptys buvo Italija (~40,9 %), Turkija (~14,4 %) ir Rusija (~4,4 % viso eksporto). Į </w:t>
      </w:r>
      <w:r>
        <w:rPr>
          <w:rFonts w:ascii="Times New Roman" w:hAnsi="Times New Roman" w:cs="Times New Roman"/>
        </w:rPr>
        <w:t>ES</w:t>
      </w:r>
      <w:r w:rsidRPr="000D1DC9">
        <w:rPr>
          <w:rFonts w:ascii="Times New Roman" w:hAnsi="Times New Roman" w:cs="Times New Roman"/>
        </w:rPr>
        <w:t xml:space="preserve"> rinką nukreipta daugiau nei 63 % viso eksporto (apie 16,8 mlrd. JAV dolerių), o Italija sudarė didžiausią dalį tarp ES šalių, po jos sekė Graikija, Vokietija, Ispanija ir Čekija. Pažymėtina, kad eksportas į Rusiją daugiausia apima ne energetikos prekes, o angliavandeniliai pirmiausia eksportuojami į ES rinkas.</w:t>
      </w:r>
    </w:p>
    <w:p w14:paraId="7B0EFF78" w14:textId="77777777" w:rsidR="000D1DC9" w:rsidRDefault="000D1DC9" w:rsidP="00036E01">
      <w:pPr>
        <w:jc w:val="both"/>
        <w:rPr>
          <w:rFonts w:ascii="Times New Roman" w:hAnsi="Times New Roman" w:cs="Times New Roman"/>
        </w:rPr>
      </w:pPr>
    </w:p>
    <w:p w14:paraId="523343A1" w14:textId="26EBB628" w:rsidR="00036E01" w:rsidRDefault="000D1DC9" w:rsidP="00036E01">
      <w:pPr>
        <w:jc w:val="both"/>
        <w:rPr>
          <w:rFonts w:ascii="Times New Roman" w:hAnsi="Times New Roman" w:cs="Times New Roman"/>
        </w:rPr>
      </w:pPr>
      <w:r w:rsidRPr="000D1DC9">
        <w:rPr>
          <w:rFonts w:ascii="Times New Roman" w:hAnsi="Times New Roman" w:cs="Times New Roman"/>
          <w:b/>
          <w:bCs/>
        </w:rPr>
        <w:lastRenderedPageBreak/>
        <w:t>Importas 2024 m. siekė apie 21,05 mlrd. JAV dolerių.</w:t>
      </w:r>
      <w:r w:rsidRPr="000D1DC9">
        <w:rPr>
          <w:rFonts w:ascii="Times New Roman" w:hAnsi="Times New Roman" w:cs="Times New Roman"/>
        </w:rPr>
        <w:t xml:space="preserve"> Didžiausią importo dalį sudarė mašinos ir įranga, transporto priemonės, elektrotechnikos gaminiai bei įvairios vartojimo prekės. Pagrindiniai importo partneriai buvo Rusija, Turkija ir Kinija. Nors </w:t>
      </w:r>
      <w:r>
        <w:rPr>
          <w:rFonts w:ascii="Times New Roman" w:hAnsi="Times New Roman" w:cs="Times New Roman"/>
        </w:rPr>
        <w:t xml:space="preserve">formaliai </w:t>
      </w:r>
      <w:r w:rsidRPr="000D1DC9">
        <w:rPr>
          <w:rFonts w:ascii="Times New Roman" w:hAnsi="Times New Roman" w:cs="Times New Roman"/>
        </w:rPr>
        <w:t>didžiausia importo kategorija įvardijama kaip „perlai“, iš tikrųjų ją daugiausia sudaro auksas</w:t>
      </w:r>
      <w:r w:rsidR="008108B9">
        <w:rPr>
          <w:rFonts w:ascii="Times New Roman" w:hAnsi="Times New Roman" w:cs="Times New Roman"/>
        </w:rPr>
        <w:t>,</w:t>
      </w:r>
      <w:r w:rsidRPr="000D1DC9">
        <w:rPr>
          <w:rFonts w:ascii="Times New Roman" w:hAnsi="Times New Roman" w:cs="Times New Roman"/>
        </w:rPr>
        <w:t xml:space="preserve"> kiti finansinio pobūdžio srautai</w:t>
      </w:r>
      <w:r w:rsidR="008108B9">
        <w:rPr>
          <w:rFonts w:ascii="Times New Roman" w:hAnsi="Times New Roman" w:cs="Times New Roman"/>
        </w:rPr>
        <w:t xml:space="preserve"> ir reeksportas</w:t>
      </w:r>
      <w:r w:rsidRPr="000D1DC9">
        <w:rPr>
          <w:rFonts w:ascii="Times New Roman" w:hAnsi="Times New Roman" w:cs="Times New Roman"/>
        </w:rPr>
        <w:t>, kurie neatspindi pagrindinės šalies vartojimo ar pramonės importo struktūros.</w:t>
      </w:r>
      <w:r w:rsidR="008108B9">
        <w:rPr>
          <w:rFonts w:ascii="Times New Roman" w:hAnsi="Times New Roman" w:cs="Times New Roman"/>
        </w:rPr>
        <w:t xml:space="preserve"> </w:t>
      </w:r>
      <w:r w:rsidR="00036E01">
        <w:rPr>
          <w:rFonts w:ascii="Times New Roman" w:hAnsi="Times New Roman" w:cs="Times New Roman"/>
        </w:rPr>
        <w:t>Prie ekonomikos diversifikacijos prisidėtų AZ narystė PPO – AZ</w:t>
      </w:r>
      <w:r w:rsidR="00036E01" w:rsidRPr="00ED5AB4">
        <w:rPr>
          <w:rFonts w:ascii="Times New Roman" w:hAnsi="Times New Roman" w:cs="Times New Roman"/>
        </w:rPr>
        <w:t xml:space="preserve"> siekia prisijungti prie PPO nuo 1997 m., </w:t>
      </w:r>
      <w:r w:rsidR="00036E01">
        <w:rPr>
          <w:rFonts w:ascii="Times New Roman" w:hAnsi="Times New Roman" w:cs="Times New Roman"/>
        </w:rPr>
        <w:t xml:space="preserve">tačiau </w:t>
      </w:r>
      <w:r w:rsidR="00036E01" w:rsidRPr="00ED5AB4">
        <w:rPr>
          <w:rFonts w:ascii="Times New Roman" w:hAnsi="Times New Roman" w:cs="Times New Roman"/>
        </w:rPr>
        <w:t>iki šiol derybose pasiekta ribota pažanga.</w:t>
      </w:r>
    </w:p>
    <w:p w14:paraId="76310900" w14:textId="77777777" w:rsidR="00036E01" w:rsidRDefault="00036E01" w:rsidP="002A5305">
      <w:pPr>
        <w:jc w:val="both"/>
        <w:rPr>
          <w:rFonts w:ascii="Times New Roman" w:hAnsi="Times New Roman" w:cs="Times New Roman"/>
          <w:b/>
          <w:bCs/>
          <w:i/>
          <w:iCs/>
        </w:rPr>
      </w:pPr>
    </w:p>
    <w:p w14:paraId="619EA451" w14:textId="46DF32A7" w:rsidR="00646B4B" w:rsidRPr="00646B4B" w:rsidRDefault="00A245A3" w:rsidP="00646B4B">
      <w:pPr>
        <w:jc w:val="both"/>
        <w:rPr>
          <w:rFonts w:ascii="Times New Roman" w:hAnsi="Times New Roman" w:cs="Times New Roman"/>
          <w:b/>
          <w:bCs/>
        </w:rPr>
      </w:pPr>
      <w:r w:rsidRPr="002A5305">
        <w:rPr>
          <w:rFonts w:ascii="Times New Roman" w:hAnsi="Times New Roman" w:cs="Times New Roman"/>
          <w:noProof/>
        </w:rPr>
        <w:drawing>
          <wp:inline distT="0" distB="0" distL="0" distR="0" wp14:anchorId="6FFA17E3" wp14:editId="0E9FAAD1">
            <wp:extent cx="6120130" cy="3672205"/>
            <wp:effectExtent l="0" t="0" r="0" b="4445"/>
            <wp:docPr id="1257039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39955" name=""/>
                    <pic:cNvPicPr/>
                  </pic:nvPicPr>
                  <pic:blipFill>
                    <a:blip r:embed="rId7"/>
                    <a:stretch>
                      <a:fillRect/>
                    </a:stretch>
                  </pic:blipFill>
                  <pic:spPr>
                    <a:xfrm>
                      <a:off x="0" y="0"/>
                      <a:ext cx="6120130" cy="3672205"/>
                    </a:xfrm>
                    <a:prstGeom prst="rect">
                      <a:avLst/>
                    </a:prstGeom>
                  </pic:spPr>
                </pic:pic>
              </a:graphicData>
            </a:graphic>
          </wp:inline>
        </w:drawing>
      </w:r>
      <w:r w:rsidRPr="002A5305">
        <w:rPr>
          <w:rFonts w:ascii="Times New Roman" w:hAnsi="Times New Roman" w:cs="Times New Roman"/>
          <w:i/>
          <w:iCs/>
          <w:sz w:val="18"/>
          <w:szCs w:val="18"/>
        </w:rPr>
        <w:t xml:space="preserve">Šaltinis: ICDT 2025 </w:t>
      </w:r>
      <w:hyperlink r:id="rId8" w:history="1">
        <w:r w:rsidRPr="002A5305">
          <w:rPr>
            <w:rStyle w:val="Hyperlink"/>
            <w:rFonts w:ascii="Times New Roman" w:hAnsi="Times New Roman" w:cs="Times New Roman"/>
            <w:i/>
            <w:iCs/>
            <w:sz w:val="18"/>
            <w:szCs w:val="18"/>
          </w:rPr>
          <w:t>www.icdt-cidc.org</w:t>
        </w:r>
      </w:hyperlink>
      <w:r w:rsidRPr="002A5305">
        <w:rPr>
          <w:rFonts w:ascii="Times New Roman" w:hAnsi="Times New Roman" w:cs="Times New Roman"/>
          <w:i/>
          <w:iCs/>
          <w:sz w:val="18"/>
          <w:szCs w:val="18"/>
        </w:rPr>
        <w:t xml:space="preserve"> </w:t>
      </w:r>
    </w:p>
    <w:p w14:paraId="1E129B88" w14:textId="77777777" w:rsidR="00646B4B" w:rsidRPr="00753F0D" w:rsidRDefault="00646B4B" w:rsidP="00646B4B">
      <w:pPr>
        <w:jc w:val="both"/>
        <w:rPr>
          <w:rFonts w:ascii="Times New Roman" w:hAnsi="Times New Roman" w:cs="Times New Roman"/>
        </w:rPr>
      </w:pPr>
      <w:r w:rsidRPr="00753F0D">
        <w:rPr>
          <w:rFonts w:ascii="Times New Roman" w:hAnsi="Times New Roman" w:cs="Times New Roman"/>
          <w:b/>
          <w:bCs/>
        </w:rPr>
        <w:t>Energetika</w:t>
      </w:r>
    </w:p>
    <w:p w14:paraId="4AE57DA8" w14:textId="5F6A29EB" w:rsidR="00646B4B" w:rsidRDefault="00646B4B" w:rsidP="00646B4B">
      <w:pPr>
        <w:jc w:val="both"/>
        <w:rPr>
          <w:rFonts w:ascii="Times New Roman" w:hAnsi="Times New Roman" w:cs="Times New Roman"/>
        </w:rPr>
      </w:pPr>
      <w:r w:rsidRPr="00036E01">
        <w:rPr>
          <w:rFonts w:ascii="Times New Roman" w:hAnsi="Times New Roman" w:cs="Times New Roman"/>
          <w:b/>
          <w:bCs/>
        </w:rPr>
        <w:t xml:space="preserve">Nuo 2021 m. Azerbaidžano dujų eksportas į Europą </w:t>
      </w:r>
      <w:r w:rsidR="00A640DF">
        <w:rPr>
          <w:rFonts w:ascii="Times New Roman" w:hAnsi="Times New Roman" w:cs="Times New Roman"/>
          <w:b/>
          <w:bCs/>
        </w:rPr>
        <w:t xml:space="preserve">išaugo </w:t>
      </w:r>
      <w:r w:rsidR="00A640DF" w:rsidRPr="00036E01">
        <w:rPr>
          <w:rFonts w:ascii="Times New Roman" w:hAnsi="Times New Roman" w:cs="Times New Roman"/>
          <w:b/>
          <w:bCs/>
        </w:rPr>
        <w:t>daugiau kaip 50 %</w:t>
      </w:r>
      <w:r w:rsidR="00A640DF">
        <w:rPr>
          <w:rFonts w:ascii="Times New Roman" w:hAnsi="Times New Roman" w:cs="Times New Roman"/>
          <w:b/>
          <w:bCs/>
        </w:rPr>
        <w:t xml:space="preserve"> </w:t>
      </w:r>
      <w:r w:rsidRPr="00036E01">
        <w:rPr>
          <w:rFonts w:ascii="Times New Roman" w:hAnsi="Times New Roman" w:cs="Times New Roman"/>
          <w:b/>
          <w:bCs/>
        </w:rPr>
        <w:t>– nuo maždaug 8 mlrd. kubinių metrų iki apie 13 mlrd. kubinių metrų per metus</w:t>
      </w:r>
      <w:r w:rsidR="00A640DF">
        <w:rPr>
          <w:rFonts w:ascii="Times New Roman" w:hAnsi="Times New Roman" w:cs="Times New Roman"/>
          <w:b/>
          <w:bCs/>
        </w:rPr>
        <w:t xml:space="preserve">. </w:t>
      </w:r>
      <w:r w:rsidRPr="00753F0D">
        <w:rPr>
          <w:rFonts w:ascii="Times New Roman" w:hAnsi="Times New Roman" w:cs="Times New Roman"/>
        </w:rPr>
        <w:t>Šiuo metu Azerbaidžano dujos sudaro apie 4 % ES dujų importo. Jos į Europą tiekiamos per Pietinį dujų koridorių, pirmiausia į Italiją, Graikiją ir Bulgariją, o per regionines jungtis pasiekia ir kitas šalis, įskaitant Rumuniją, Kroatiją, Vengriją, Slovėniją</w:t>
      </w:r>
      <w:r w:rsidR="00B27F5C">
        <w:rPr>
          <w:rFonts w:ascii="Times New Roman" w:hAnsi="Times New Roman" w:cs="Times New Roman"/>
        </w:rPr>
        <w:t>,</w:t>
      </w:r>
      <w:r w:rsidRPr="00753F0D">
        <w:rPr>
          <w:rFonts w:ascii="Times New Roman" w:hAnsi="Times New Roman" w:cs="Times New Roman"/>
        </w:rPr>
        <w:t xml:space="preserve"> Slovakiją. Iš viso Europos rinka sudaro maždaug pusę Azerbaidžano dujų eksporto pagal kiekį ir apie du trečdalius pagal vertę.</w:t>
      </w:r>
    </w:p>
    <w:p w14:paraId="61127A49" w14:textId="77777777" w:rsidR="00646B4B" w:rsidRPr="00753F0D" w:rsidRDefault="00646B4B" w:rsidP="00646B4B">
      <w:pPr>
        <w:jc w:val="both"/>
        <w:rPr>
          <w:rFonts w:ascii="Times New Roman" w:hAnsi="Times New Roman" w:cs="Times New Roman"/>
        </w:rPr>
      </w:pPr>
      <w:r w:rsidRPr="00753F0D">
        <w:rPr>
          <w:rFonts w:ascii="Times New Roman" w:hAnsi="Times New Roman" w:cs="Times New Roman"/>
          <w:b/>
          <w:bCs/>
        </w:rPr>
        <w:t>Tikimasi, kad iki šio dešimtmečio pabaigos dujų tiekimas dar didės, plečiant Pietinį dujų koridorių, nors ne tiek, kiek buvo planuota</w:t>
      </w:r>
      <w:r w:rsidRPr="00753F0D">
        <w:rPr>
          <w:rFonts w:ascii="Times New Roman" w:hAnsi="Times New Roman" w:cs="Times New Roman"/>
        </w:rPr>
        <w:t xml:space="preserve">. Pradinis tikslas buvo iki 2027 m. padvigubinti transportavimo pajėgumą iki 20 mlrd. kubinių metrų per metus, kas sudarytų apie 7 % ES dujų suvartojimo. Azerbaidžanas ir toliau prašo ES paramos didinant Pietinio dujų koridoriaus perdavimo pajėgumus, tačiau ES pabrėžia, kad ES biudžetas ir Europos investicijų bankas nebefinansuoja iškastinio kuro projektų. </w:t>
      </w:r>
      <w:r>
        <w:rPr>
          <w:rFonts w:ascii="Times New Roman" w:hAnsi="Times New Roman" w:cs="Times New Roman"/>
        </w:rPr>
        <w:t xml:space="preserve"> </w:t>
      </w:r>
      <w:r w:rsidRPr="00753F0D">
        <w:rPr>
          <w:rFonts w:ascii="Times New Roman" w:hAnsi="Times New Roman" w:cs="Times New Roman"/>
        </w:rPr>
        <w:t xml:space="preserve">Be to, Azerbaidžano valdžios institucijos skundžiasi, kad sudėtinga sudaryti </w:t>
      </w:r>
      <w:r w:rsidRPr="00753F0D">
        <w:rPr>
          <w:rFonts w:ascii="Times New Roman" w:hAnsi="Times New Roman" w:cs="Times New Roman"/>
        </w:rPr>
        <w:lastRenderedPageBreak/>
        <w:t xml:space="preserve">ilgalaikes dujų tiekimo sutartis su ES klientais. Nors ES institucijos stengiasi sudaryti palankias sąlygas, komercinės sutarties sąlygos galiausiai priklauso nuo verslo subjektų derybų. </w:t>
      </w:r>
    </w:p>
    <w:p w14:paraId="7ADACED5" w14:textId="4CC4DF70" w:rsidR="00E2198D" w:rsidRDefault="00646B4B" w:rsidP="00646B4B">
      <w:pPr>
        <w:jc w:val="both"/>
        <w:rPr>
          <w:rFonts w:ascii="Times New Roman" w:hAnsi="Times New Roman" w:cs="Times New Roman"/>
        </w:rPr>
      </w:pPr>
      <w:r w:rsidRPr="00753F0D">
        <w:rPr>
          <w:rFonts w:ascii="Times New Roman" w:hAnsi="Times New Roman" w:cs="Times New Roman"/>
          <w:b/>
          <w:bCs/>
        </w:rPr>
        <w:t>Naftos gavyba Azerbaidžane išlieka antras svarbus šalies ekonomikos ramstis, nors gamyba pamažu mažėja.</w:t>
      </w:r>
      <w:r w:rsidRPr="00753F0D">
        <w:rPr>
          <w:rFonts w:ascii="Times New Roman" w:hAnsi="Times New Roman" w:cs="Times New Roman"/>
        </w:rPr>
        <w:t xml:space="preserve"> 2024 m. ES šalys (Italija, Graikija, Vokietija, Ispanija, Čekija ir Kroatija) iš Azerbaidžano importavo apie 4 % savo metinio naftos kiekio.</w:t>
      </w:r>
    </w:p>
    <w:p w14:paraId="3E8BF4E5" w14:textId="72D0BBE3" w:rsidR="00E2198D" w:rsidRDefault="00E2198D" w:rsidP="00646B4B">
      <w:pPr>
        <w:jc w:val="both"/>
        <w:rPr>
          <w:rFonts w:ascii="Times New Roman" w:hAnsi="Times New Roman" w:cs="Times New Roman"/>
        </w:rPr>
      </w:pPr>
      <w:r w:rsidRPr="00E2198D">
        <w:rPr>
          <w:rFonts w:ascii="Times New Roman" w:hAnsi="Times New Roman" w:cs="Times New Roman"/>
          <w:b/>
          <w:bCs/>
        </w:rPr>
        <w:t>Azerbaidžane sparčiai vystosi atsinaujinančios energetikos sektorius.</w:t>
      </w:r>
      <w:r w:rsidRPr="00E2198D">
        <w:rPr>
          <w:rFonts w:ascii="Times New Roman" w:hAnsi="Times New Roman" w:cs="Times New Roman"/>
        </w:rPr>
        <w:t xml:space="preserve"> Šalis turi didelį techninį potencialą ir ambicingus politinius tikslus didinti atsinaujinančių išteklių dalį energetikos balanse. Pasirašoma vis daugiau investicinių ir plėtros sutarčių, ypač su Artimųjų Rytų investuotojais – Saudo Arabijos „ACWA Power“ yra strateginis partneris vėjo energetikoje, o JAE „</w:t>
      </w:r>
      <w:proofErr w:type="spellStart"/>
      <w:r w:rsidRPr="00E2198D">
        <w:rPr>
          <w:rFonts w:ascii="Times New Roman" w:hAnsi="Times New Roman" w:cs="Times New Roman"/>
        </w:rPr>
        <w:t>Masdar</w:t>
      </w:r>
      <w:proofErr w:type="spellEnd"/>
      <w:r w:rsidRPr="00E2198D">
        <w:rPr>
          <w:rFonts w:ascii="Times New Roman" w:hAnsi="Times New Roman" w:cs="Times New Roman"/>
        </w:rPr>
        <w:t>“ – saulės energetikoje. Taip pat stiprėja bendradarbiavimas su Kinijos technologijų tiekėjais</w:t>
      </w:r>
      <w:r>
        <w:rPr>
          <w:rFonts w:ascii="Times New Roman" w:hAnsi="Times New Roman" w:cs="Times New Roman"/>
        </w:rPr>
        <w:t>.</w:t>
      </w:r>
    </w:p>
    <w:p w14:paraId="7971DF59" w14:textId="5F9A53C1" w:rsidR="00B27F5C" w:rsidRDefault="00646B4B" w:rsidP="00646B4B">
      <w:pPr>
        <w:jc w:val="both"/>
        <w:rPr>
          <w:rFonts w:ascii="Times New Roman" w:hAnsi="Times New Roman" w:cs="Times New Roman"/>
        </w:rPr>
      </w:pPr>
      <w:r w:rsidRPr="00753F0D">
        <w:rPr>
          <w:rFonts w:ascii="Times New Roman" w:hAnsi="Times New Roman" w:cs="Times New Roman"/>
        </w:rPr>
        <w:t>Vienas pagrindinių iššūkių – sukurti perdavimo infrastruktūrą, kuri leistų tiekti elektrą ir (arba) vandenilį į ES ir Turkijos rinkas.</w:t>
      </w:r>
      <w:r>
        <w:rPr>
          <w:rFonts w:ascii="Times New Roman" w:hAnsi="Times New Roman" w:cs="Times New Roman"/>
        </w:rPr>
        <w:t xml:space="preserve"> </w:t>
      </w:r>
      <w:r w:rsidRPr="00753F0D">
        <w:rPr>
          <w:rFonts w:ascii="Times New Roman" w:hAnsi="Times New Roman" w:cs="Times New Roman"/>
        </w:rPr>
        <w:t>ES pramonė ypač domisi vėjo energetikos plėtra Kaspijos jūroje.</w:t>
      </w:r>
      <w:r>
        <w:rPr>
          <w:rFonts w:ascii="Times New Roman" w:hAnsi="Times New Roman" w:cs="Times New Roman"/>
        </w:rPr>
        <w:t xml:space="preserve"> </w:t>
      </w:r>
      <w:r w:rsidRPr="00753F0D">
        <w:rPr>
          <w:rFonts w:ascii="Times New Roman" w:hAnsi="Times New Roman" w:cs="Times New Roman"/>
        </w:rPr>
        <w:t xml:space="preserve">Azerbaidžanas siekia ES paramos kuriant </w:t>
      </w:r>
      <w:r>
        <w:rPr>
          <w:rFonts w:ascii="Times New Roman" w:hAnsi="Times New Roman" w:cs="Times New Roman"/>
        </w:rPr>
        <w:t xml:space="preserve">vadinamąjį </w:t>
      </w:r>
      <w:r w:rsidRPr="00753F0D">
        <w:rPr>
          <w:rFonts w:ascii="Times New Roman" w:hAnsi="Times New Roman" w:cs="Times New Roman"/>
        </w:rPr>
        <w:t xml:space="preserve">„žaliosios energijos koridorių“. Tam numatytos kelios Azerbaidžano inicijuotos iniciatyvos: Azerbaidžano, Gruzijos, Rumunijos ir Vengrijos susitarimas dėl 4 GW galios aukštos įtampos kabelio per Juodąją jūrą (ES dalyvauja kaip stebėtoja, Bulgarija neseniai pateikė paraišką prisijungti); Azerbaidžano, Kazachstano ir Uzbekistano susitarimas dėl aukštos įtampos kabelio per Kaspijos jūrą; taip pat Azerbaidžano, Gruzijos, Turkijos ir Bulgarijos susitarimas dėl sausumos perdavimo maršruto per </w:t>
      </w:r>
      <w:proofErr w:type="spellStart"/>
      <w:r w:rsidRPr="00753F0D">
        <w:rPr>
          <w:rFonts w:ascii="Times New Roman" w:hAnsi="Times New Roman" w:cs="Times New Roman"/>
        </w:rPr>
        <w:t>Anatoliją</w:t>
      </w:r>
      <w:proofErr w:type="spellEnd"/>
      <w:r w:rsidRPr="00753F0D">
        <w:rPr>
          <w:rFonts w:ascii="Times New Roman" w:hAnsi="Times New Roman" w:cs="Times New Roman"/>
        </w:rPr>
        <w:t>.</w:t>
      </w:r>
    </w:p>
    <w:p w14:paraId="162C2F25" w14:textId="7F79A9BE" w:rsidR="00646B4B" w:rsidRPr="00753F0D" w:rsidRDefault="00646B4B" w:rsidP="00646B4B">
      <w:pPr>
        <w:jc w:val="both"/>
        <w:rPr>
          <w:rFonts w:ascii="Times New Roman" w:hAnsi="Times New Roman" w:cs="Times New Roman"/>
        </w:rPr>
      </w:pPr>
      <w:r w:rsidRPr="00753F0D">
        <w:rPr>
          <w:rFonts w:ascii="Times New Roman" w:hAnsi="Times New Roman" w:cs="Times New Roman"/>
        </w:rPr>
        <w:t xml:space="preserve">Tuo pačiu Gruzija ir Rumunija jau pažengusios į priekį plėtodamos 1,3 GW galios Juodosios jūros kabelio projektą. Šis projektas jau įtrauktas į „Global </w:t>
      </w:r>
      <w:proofErr w:type="spellStart"/>
      <w:r w:rsidRPr="00753F0D">
        <w:rPr>
          <w:rFonts w:ascii="Times New Roman" w:hAnsi="Times New Roman" w:cs="Times New Roman"/>
        </w:rPr>
        <w:t>Gateway</w:t>
      </w:r>
      <w:proofErr w:type="spellEnd"/>
      <w:r w:rsidRPr="00753F0D">
        <w:rPr>
          <w:rFonts w:ascii="Times New Roman" w:hAnsi="Times New Roman" w:cs="Times New Roman"/>
        </w:rPr>
        <w:t xml:space="preserve">“ flagmanų sąrašą ir pateiktas kaip kandidatas į „abipusio intereso projektus“ pagal </w:t>
      </w:r>
      <w:proofErr w:type="spellStart"/>
      <w:r w:rsidRPr="00753F0D">
        <w:rPr>
          <w:rFonts w:ascii="Times New Roman" w:hAnsi="Times New Roman" w:cs="Times New Roman"/>
        </w:rPr>
        <w:t>Trans</w:t>
      </w:r>
      <w:proofErr w:type="spellEnd"/>
      <w:r w:rsidRPr="00753F0D">
        <w:rPr>
          <w:rFonts w:ascii="Times New Roman" w:hAnsi="Times New Roman" w:cs="Times New Roman"/>
        </w:rPr>
        <w:t xml:space="preserve">-Europinių energetikos tinklų (TEN-E) reglamentą. </w:t>
      </w:r>
    </w:p>
    <w:p w14:paraId="38194D0C" w14:textId="77777777" w:rsidR="00646B4B" w:rsidRDefault="00646B4B" w:rsidP="00646B4B">
      <w:pPr>
        <w:jc w:val="both"/>
        <w:rPr>
          <w:rFonts w:ascii="Times New Roman" w:hAnsi="Times New Roman" w:cs="Times New Roman"/>
        </w:rPr>
      </w:pPr>
      <w:r w:rsidRPr="00753F0D">
        <w:rPr>
          <w:rFonts w:ascii="Times New Roman" w:hAnsi="Times New Roman" w:cs="Times New Roman"/>
        </w:rPr>
        <w:t>Visi šie projektai dar yra plėtros stadijoje, todėl dar neaišku, kurie iš jų bus ekonomiškai gyvybingi ir įgyvendinti, galbūt pasitelkiant ES finansavimą iš vidaus programų (</w:t>
      </w:r>
      <w:proofErr w:type="spellStart"/>
      <w:r w:rsidRPr="00753F0D">
        <w:rPr>
          <w:rFonts w:ascii="Times New Roman" w:hAnsi="Times New Roman" w:cs="Times New Roman"/>
        </w:rPr>
        <w:t>Connecting</w:t>
      </w:r>
      <w:proofErr w:type="spellEnd"/>
      <w:r w:rsidRPr="00753F0D">
        <w:rPr>
          <w:rFonts w:ascii="Times New Roman" w:hAnsi="Times New Roman" w:cs="Times New Roman"/>
        </w:rPr>
        <w:t xml:space="preserve"> </w:t>
      </w:r>
      <w:proofErr w:type="spellStart"/>
      <w:r w:rsidRPr="00753F0D">
        <w:rPr>
          <w:rFonts w:ascii="Times New Roman" w:hAnsi="Times New Roman" w:cs="Times New Roman"/>
        </w:rPr>
        <w:t>Europe</w:t>
      </w:r>
      <w:proofErr w:type="spellEnd"/>
      <w:r w:rsidRPr="00753F0D">
        <w:rPr>
          <w:rFonts w:ascii="Times New Roman" w:hAnsi="Times New Roman" w:cs="Times New Roman"/>
        </w:rPr>
        <w:t xml:space="preserve"> </w:t>
      </w:r>
      <w:proofErr w:type="spellStart"/>
      <w:r w:rsidRPr="00753F0D">
        <w:rPr>
          <w:rFonts w:ascii="Times New Roman" w:hAnsi="Times New Roman" w:cs="Times New Roman"/>
        </w:rPr>
        <w:t>Facility</w:t>
      </w:r>
      <w:proofErr w:type="spellEnd"/>
      <w:r w:rsidRPr="00753F0D">
        <w:rPr>
          <w:rFonts w:ascii="Times New Roman" w:hAnsi="Times New Roman" w:cs="Times New Roman"/>
        </w:rPr>
        <w:t xml:space="preserve">) ir (arba) išorinių instrumentų (EFSD+ / Global </w:t>
      </w:r>
      <w:proofErr w:type="spellStart"/>
      <w:r w:rsidRPr="00753F0D">
        <w:rPr>
          <w:rFonts w:ascii="Times New Roman" w:hAnsi="Times New Roman" w:cs="Times New Roman"/>
        </w:rPr>
        <w:t>Gateway</w:t>
      </w:r>
      <w:proofErr w:type="spellEnd"/>
      <w:r w:rsidRPr="00753F0D">
        <w:rPr>
          <w:rFonts w:ascii="Times New Roman" w:hAnsi="Times New Roman" w:cs="Times New Roman"/>
        </w:rPr>
        <w:t xml:space="preserve"> strategijos).</w:t>
      </w:r>
    </w:p>
    <w:p w14:paraId="3DAD9E73" w14:textId="77777777" w:rsidR="00646B4B" w:rsidRPr="00753F0D" w:rsidRDefault="00646B4B" w:rsidP="00646B4B">
      <w:pPr>
        <w:jc w:val="both"/>
        <w:rPr>
          <w:rFonts w:ascii="Times New Roman" w:hAnsi="Times New Roman" w:cs="Times New Roman"/>
        </w:rPr>
      </w:pPr>
      <w:r>
        <w:rPr>
          <w:rFonts w:ascii="Times New Roman" w:hAnsi="Times New Roman" w:cs="Times New Roman"/>
          <w:b/>
          <w:bCs/>
        </w:rPr>
        <w:t>Junglumas</w:t>
      </w:r>
    </w:p>
    <w:p w14:paraId="48A47A7E" w14:textId="1ADA496E" w:rsidR="00646B4B" w:rsidRPr="00753F0D" w:rsidRDefault="00646B4B" w:rsidP="00646B4B">
      <w:pPr>
        <w:jc w:val="both"/>
        <w:rPr>
          <w:rFonts w:ascii="Times New Roman" w:hAnsi="Times New Roman" w:cs="Times New Roman"/>
        </w:rPr>
      </w:pPr>
      <w:r w:rsidRPr="00753F0D">
        <w:rPr>
          <w:rFonts w:ascii="Times New Roman" w:hAnsi="Times New Roman" w:cs="Times New Roman"/>
          <w:b/>
          <w:bCs/>
        </w:rPr>
        <w:t>Azerbaidžan</w:t>
      </w:r>
      <w:r w:rsidR="00B27F5C">
        <w:rPr>
          <w:rFonts w:ascii="Times New Roman" w:hAnsi="Times New Roman" w:cs="Times New Roman"/>
          <w:b/>
          <w:bCs/>
        </w:rPr>
        <w:t>as</w:t>
      </w:r>
      <w:r w:rsidRPr="00753F0D">
        <w:rPr>
          <w:rFonts w:ascii="Times New Roman" w:hAnsi="Times New Roman" w:cs="Times New Roman"/>
          <w:b/>
          <w:bCs/>
        </w:rPr>
        <w:t xml:space="preserve"> </w:t>
      </w:r>
      <w:r w:rsidRPr="00036E01">
        <w:rPr>
          <w:rFonts w:ascii="Times New Roman" w:hAnsi="Times New Roman" w:cs="Times New Roman"/>
          <w:b/>
          <w:bCs/>
        </w:rPr>
        <w:t>siekia plėtoti</w:t>
      </w:r>
      <w:r w:rsidRPr="00753F0D">
        <w:rPr>
          <w:rFonts w:ascii="Times New Roman" w:hAnsi="Times New Roman" w:cs="Times New Roman"/>
          <w:b/>
          <w:bCs/>
        </w:rPr>
        <w:t xml:space="preserve"> strateginius susisiekimo projektus su Centrine ir Rytų Azija, ypač per </w:t>
      </w:r>
      <w:proofErr w:type="spellStart"/>
      <w:r w:rsidRPr="00753F0D">
        <w:rPr>
          <w:rFonts w:ascii="Times New Roman" w:hAnsi="Times New Roman" w:cs="Times New Roman"/>
          <w:b/>
          <w:bCs/>
        </w:rPr>
        <w:t>Vidurinįjį</w:t>
      </w:r>
      <w:proofErr w:type="spellEnd"/>
      <w:r w:rsidRPr="00753F0D">
        <w:rPr>
          <w:rFonts w:ascii="Times New Roman" w:hAnsi="Times New Roman" w:cs="Times New Roman"/>
          <w:b/>
          <w:bCs/>
        </w:rPr>
        <w:t xml:space="preserve"> koridorių (arba </w:t>
      </w:r>
      <w:proofErr w:type="spellStart"/>
      <w:r w:rsidRPr="00753F0D">
        <w:rPr>
          <w:rFonts w:ascii="Times New Roman" w:hAnsi="Times New Roman" w:cs="Times New Roman"/>
          <w:b/>
          <w:bCs/>
        </w:rPr>
        <w:t>Transkaspijos</w:t>
      </w:r>
      <w:proofErr w:type="spellEnd"/>
      <w:r w:rsidRPr="00753F0D">
        <w:rPr>
          <w:rFonts w:ascii="Times New Roman" w:hAnsi="Times New Roman" w:cs="Times New Roman"/>
          <w:b/>
          <w:bCs/>
        </w:rPr>
        <w:t xml:space="preserve"> tarptautinį transporto maršrutą – TCTC), jungiantį Kiniją ir Europą. </w:t>
      </w:r>
      <w:r w:rsidRPr="00753F0D">
        <w:rPr>
          <w:rFonts w:ascii="Times New Roman" w:hAnsi="Times New Roman" w:cs="Times New Roman"/>
        </w:rPr>
        <w:t>Azerbaidžanas (Baku uostas) yra svarbus šio maršruto mazgas. Nors koridorius pradėjo veikti 2017 m., jo geopolitinė reikšmė labai išaugo po Rusijos invazijos į Ukrainą, kai transporto operatoriai pradėjo ieškoti alternatyvių, patikimų ir saugių prekybos maršrutų, perorientuodami dalį krovinių iš dominuojančio Šiaurinio (geležinkelio) koridoriaus per Rusiją.</w:t>
      </w:r>
    </w:p>
    <w:p w14:paraId="68FC1002" w14:textId="77777777" w:rsidR="00646B4B" w:rsidRPr="00753F0D" w:rsidRDefault="00646B4B" w:rsidP="00646B4B">
      <w:pPr>
        <w:jc w:val="both"/>
        <w:rPr>
          <w:rFonts w:ascii="Times New Roman" w:hAnsi="Times New Roman" w:cs="Times New Roman"/>
        </w:rPr>
      </w:pPr>
      <w:r w:rsidRPr="00753F0D">
        <w:rPr>
          <w:rFonts w:ascii="Times New Roman" w:hAnsi="Times New Roman" w:cs="Times New Roman"/>
          <w:b/>
          <w:bCs/>
        </w:rPr>
        <w:t>2022–2024 m. prekybos apimtys TCTC maršrutu beveik patrigubėjo (padidėjo 2,6 karto).</w:t>
      </w:r>
      <w:r w:rsidRPr="00753F0D">
        <w:rPr>
          <w:rFonts w:ascii="Times New Roman" w:hAnsi="Times New Roman" w:cs="Times New Roman"/>
        </w:rPr>
        <w:t xml:space="preserve"> Tuo pat metu išryškėjo dideli investicijų poreikiai ir infrastruktūros trūkumai – kelionė šiuo maršrutu trunka 30–45 dienas, palyginti su maždaug 14 dienų Šiauriniame koridoriuje. Azerbaidžanas atidžiai stebi ES ir Centrinės Azijos dialogą, pabrėždamas savo interesą ir primindamas, kad jo teritorija šiuo metu yra vienintelis geopolitinis sausumos ryšys tarp ES ir Centrinės Azijos. </w:t>
      </w:r>
    </w:p>
    <w:p w14:paraId="28FF0D92" w14:textId="77777777" w:rsidR="00646B4B" w:rsidRDefault="00646B4B" w:rsidP="00646B4B">
      <w:pPr>
        <w:jc w:val="both"/>
        <w:rPr>
          <w:rFonts w:ascii="Times New Roman" w:hAnsi="Times New Roman" w:cs="Times New Roman"/>
        </w:rPr>
      </w:pPr>
      <w:r w:rsidRPr="00753F0D">
        <w:rPr>
          <w:rFonts w:ascii="Times New Roman" w:hAnsi="Times New Roman" w:cs="Times New Roman"/>
        </w:rPr>
        <w:lastRenderedPageBreak/>
        <w:t xml:space="preserve">TCTC veiklos efektyvumo ir ekonominio patrauklumo didinimas yra viena pagrindinių ES „Global </w:t>
      </w:r>
      <w:proofErr w:type="spellStart"/>
      <w:r w:rsidRPr="00753F0D">
        <w:rPr>
          <w:rFonts w:ascii="Times New Roman" w:hAnsi="Times New Roman" w:cs="Times New Roman"/>
        </w:rPr>
        <w:t>Gateway</w:t>
      </w:r>
      <w:proofErr w:type="spellEnd"/>
      <w:r w:rsidRPr="00753F0D">
        <w:rPr>
          <w:rFonts w:ascii="Times New Roman" w:hAnsi="Times New Roman" w:cs="Times New Roman"/>
        </w:rPr>
        <w:t>“ iniciatyvų. Ji daugiausia orientuota į Centrinę Aziją, tačiau apima ir visas Pietų Kaukazo šalis bei Turkiją</w:t>
      </w:r>
      <w:r>
        <w:rPr>
          <w:rFonts w:ascii="Times New Roman" w:hAnsi="Times New Roman" w:cs="Times New Roman"/>
        </w:rPr>
        <w:t>.</w:t>
      </w:r>
    </w:p>
    <w:p w14:paraId="5BB862A5" w14:textId="77777777" w:rsidR="00646B4B" w:rsidRPr="00753F0D" w:rsidRDefault="00646B4B" w:rsidP="00646B4B">
      <w:pPr>
        <w:jc w:val="both"/>
        <w:rPr>
          <w:rFonts w:ascii="Times New Roman" w:hAnsi="Times New Roman" w:cs="Times New Roman"/>
        </w:rPr>
      </w:pPr>
      <w:r w:rsidRPr="00D8217A">
        <w:rPr>
          <w:rFonts w:ascii="Times New Roman" w:hAnsi="Times New Roman" w:cs="Times New Roman"/>
          <w:b/>
          <w:bCs/>
          <w:noProof/>
          <w:lang w:val="en-GB" w:eastAsia="lt-LT"/>
        </w:rPr>
        <w:drawing>
          <wp:inline distT="0" distB="0" distL="0" distR="0" wp14:anchorId="6A3D85B1" wp14:editId="553EC18C">
            <wp:extent cx="5951220" cy="2560320"/>
            <wp:effectExtent l="0" t="0" r="11430" b="11430"/>
            <wp:docPr id="2028074176" name="Picture 4" descr="A map of the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8" descr="A map of the country&#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51220" cy="2560320"/>
                    </a:xfrm>
                    <a:prstGeom prst="rect">
                      <a:avLst/>
                    </a:prstGeom>
                    <a:noFill/>
                    <a:ln>
                      <a:noFill/>
                    </a:ln>
                  </pic:spPr>
                </pic:pic>
              </a:graphicData>
            </a:graphic>
          </wp:inline>
        </w:drawing>
      </w:r>
    </w:p>
    <w:p w14:paraId="4DD082AE" w14:textId="122A5F8E" w:rsidR="00646B4B" w:rsidRPr="00646B4B" w:rsidRDefault="00646B4B" w:rsidP="00646B4B">
      <w:pPr>
        <w:pStyle w:val="gmail-p1"/>
        <w:rPr>
          <w:sz w:val="22"/>
          <w:szCs w:val="22"/>
        </w:rPr>
      </w:pPr>
      <w:r w:rsidRPr="00D8217A">
        <w:rPr>
          <w:i/>
          <w:iCs/>
          <w:sz w:val="22"/>
          <w:szCs w:val="22"/>
          <w:lang w:val="en-GB"/>
        </w:rPr>
        <w:t>Trans-</w:t>
      </w:r>
      <w:proofErr w:type="spellStart"/>
      <w:r w:rsidRPr="00646B4B">
        <w:rPr>
          <w:i/>
          <w:iCs/>
          <w:sz w:val="22"/>
          <w:szCs w:val="22"/>
          <w:lang w:val="en-GB"/>
        </w:rPr>
        <w:t>Kaspijos</w:t>
      </w:r>
      <w:proofErr w:type="spellEnd"/>
      <w:r w:rsidRPr="00646B4B">
        <w:rPr>
          <w:i/>
          <w:iCs/>
          <w:sz w:val="22"/>
          <w:szCs w:val="22"/>
          <w:lang w:val="en-GB"/>
        </w:rPr>
        <w:t xml:space="preserve"> </w:t>
      </w:r>
      <w:proofErr w:type="spellStart"/>
      <w:r w:rsidRPr="00646B4B">
        <w:rPr>
          <w:i/>
          <w:iCs/>
          <w:sz w:val="22"/>
          <w:szCs w:val="22"/>
          <w:lang w:val="en-GB"/>
        </w:rPr>
        <w:t>transporto</w:t>
      </w:r>
      <w:proofErr w:type="spellEnd"/>
      <w:r w:rsidRPr="00646B4B">
        <w:rPr>
          <w:i/>
          <w:iCs/>
          <w:sz w:val="22"/>
          <w:szCs w:val="22"/>
          <w:lang w:val="en-GB"/>
        </w:rPr>
        <w:t xml:space="preserve"> </w:t>
      </w:r>
      <w:proofErr w:type="spellStart"/>
      <w:r w:rsidRPr="00646B4B">
        <w:rPr>
          <w:i/>
          <w:iCs/>
          <w:sz w:val="22"/>
          <w:szCs w:val="22"/>
          <w:lang w:val="en-GB"/>
        </w:rPr>
        <w:t>koridorius</w:t>
      </w:r>
      <w:proofErr w:type="spellEnd"/>
      <w:r w:rsidRPr="00646B4B">
        <w:rPr>
          <w:i/>
          <w:iCs/>
          <w:sz w:val="22"/>
          <w:szCs w:val="22"/>
          <w:lang w:val="en-GB"/>
        </w:rPr>
        <w:t xml:space="preserve"> (</w:t>
      </w:r>
      <w:proofErr w:type="spellStart"/>
      <w:r w:rsidRPr="00646B4B">
        <w:rPr>
          <w:i/>
          <w:iCs/>
          <w:sz w:val="22"/>
          <w:szCs w:val="22"/>
          <w:lang w:val="en-GB"/>
        </w:rPr>
        <w:t>plėtros</w:t>
      </w:r>
      <w:proofErr w:type="spellEnd"/>
      <w:r w:rsidRPr="00646B4B">
        <w:rPr>
          <w:i/>
          <w:iCs/>
          <w:sz w:val="22"/>
          <w:szCs w:val="22"/>
          <w:lang w:val="en-GB"/>
        </w:rPr>
        <w:t xml:space="preserve"> </w:t>
      </w:r>
      <w:proofErr w:type="spellStart"/>
      <w:r w:rsidRPr="00646B4B">
        <w:rPr>
          <w:i/>
          <w:iCs/>
          <w:sz w:val="22"/>
          <w:szCs w:val="22"/>
          <w:lang w:val="en-GB"/>
        </w:rPr>
        <w:t>planas</w:t>
      </w:r>
      <w:proofErr w:type="spellEnd"/>
      <w:r w:rsidRPr="00646B4B">
        <w:rPr>
          <w:i/>
          <w:iCs/>
          <w:sz w:val="22"/>
          <w:szCs w:val="22"/>
          <w:lang w:val="en-GB"/>
        </w:rPr>
        <w:t xml:space="preserve"> </w:t>
      </w:r>
      <w:proofErr w:type="spellStart"/>
      <w:r w:rsidRPr="00646B4B">
        <w:rPr>
          <w:i/>
          <w:iCs/>
          <w:sz w:val="22"/>
          <w:szCs w:val="22"/>
          <w:lang w:val="en-GB"/>
        </w:rPr>
        <w:t>iki</w:t>
      </w:r>
      <w:proofErr w:type="spellEnd"/>
      <w:r w:rsidRPr="00D8217A">
        <w:rPr>
          <w:i/>
          <w:iCs/>
          <w:sz w:val="22"/>
          <w:szCs w:val="22"/>
          <w:lang w:val="en-GB"/>
        </w:rPr>
        <w:t xml:space="preserve"> 2030</w:t>
      </w:r>
      <w:r w:rsidR="00A43BAE">
        <w:rPr>
          <w:i/>
          <w:iCs/>
          <w:sz w:val="22"/>
          <w:szCs w:val="22"/>
          <w:lang w:val="en-GB"/>
        </w:rPr>
        <w:t>m.</w:t>
      </w:r>
      <w:r w:rsidRPr="00D8217A">
        <w:rPr>
          <w:i/>
          <w:iCs/>
          <w:sz w:val="22"/>
          <w:szCs w:val="22"/>
          <w:lang w:val="en-GB"/>
        </w:rPr>
        <w:t>)</w:t>
      </w:r>
    </w:p>
    <w:p w14:paraId="5332385C" w14:textId="77777777" w:rsidR="00646B4B" w:rsidRPr="00036E01" w:rsidRDefault="00646B4B" w:rsidP="00646B4B">
      <w:pPr>
        <w:jc w:val="both"/>
        <w:rPr>
          <w:rFonts w:ascii="Times New Roman" w:hAnsi="Times New Roman" w:cs="Times New Roman"/>
        </w:rPr>
      </w:pPr>
      <w:r w:rsidRPr="00036E01">
        <w:rPr>
          <w:rFonts w:ascii="Times New Roman" w:hAnsi="Times New Roman" w:cs="Times New Roman"/>
          <w:b/>
          <w:bCs/>
        </w:rPr>
        <w:t>2023 m. sausį Azerbaidžanas pasirašė memorandumą su Rusija ir Iranu dėl Šiaurės–Pietų transporto koridoriaus plėtros.</w:t>
      </w:r>
      <w:r w:rsidRPr="00036E01">
        <w:rPr>
          <w:rFonts w:ascii="Times New Roman" w:hAnsi="Times New Roman" w:cs="Times New Roman"/>
        </w:rPr>
        <w:t xml:space="preserve"> Šiuo projektu siekiama atgaivinti dešimtmečius gyvavusią idėją sukurti geležinkelių, kelių ir jūrų transporto ryšius tarp Rusijos ir Indijos, kurie sutrumpintų tranzito laiką perpus – nuo maždaug 60 iki 30 dienų. Apie 70 % iš planuojamų 7200 km geležinkelio linijos jau veikia, o memorandume numatyta likusią dalį užbaigti per trejus metus. Azerbaidžanas neseniai modernizavo savo </w:t>
      </w:r>
      <w:proofErr w:type="spellStart"/>
      <w:r w:rsidRPr="00036E01">
        <w:rPr>
          <w:rFonts w:ascii="Times New Roman" w:hAnsi="Times New Roman" w:cs="Times New Roman"/>
        </w:rPr>
        <w:t>Astara</w:t>
      </w:r>
      <w:proofErr w:type="spellEnd"/>
      <w:r w:rsidRPr="00036E01">
        <w:rPr>
          <w:rFonts w:ascii="Times New Roman" w:hAnsi="Times New Roman" w:cs="Times New Roman"/>
        </w:rPr>
        <w:t xml:space="preserve"> geležinkelio krovinių terminalą prie sienos su Iranu.</w:t>
      </w:r>
    </w:p>
    <w:p w14:paraId="5F25AC4E" w14:textId="7D4E2E19" w:rsidR="00646B4B" w:rsidRDefault="00B27F5C" w:rsidP="00646B4B">
      <w:pPr>
        <w:jc w:val="both"/>
        <w:rPr>
          <w:rFonts w:ascii="Times New Roman" w:hAnsi="Times New Roman" w:cs="Times New Roman"/>
        </w:rPr>
      </w:pPr>
      <w:r>
        <w:rPr>
          <w:rFonts w:ascii="Times New Roman" w:hAnsi="Times New Roman" w:cs="Times New Roman"/>
        </w:rPr>
        <w:t>P</w:t>
      </w:r>
      <w:r w:rsidR="00646B4B" w:rsidRPr="00036E01">
        <w:rPr>
          <w:rFonts w:ascii="Times New Roman" w:hAnsi="Times New Roman" w:cs="Times New Roman"/>
        </w:rPr>
        <w:t>agrindinė projekto varomoji jėga</w:t>
      </w:r>
      <w:r>
        <w:rPr>
          <w:rFonts w:ascii="Times New Roman" w:hAnsi="Times New Roman" w:cs="Times New Roman"/>
        </w:rPr>
        <w:t xml:space="preserve"> –</w:t>
      </w:r>
      <w:r w:rsidR="00646B4B" w:rsidRPr="00036E01">
        <w:rPr>
          <w:rFonts w:ascii="Times New Roman" w:hAnsi="Times New Roman" w:cs="Times New Roman"/>
        </w:rPr>
        <w:t xml:space="preserve"> Rusija, kuri itin suinteresuota jo įgyvendinimu dėl tradicinių logistikos maršrutų sutrikimų, įskaitant ir dėl karo Ukrainoje. Teigiama, kad Rusija siūlo finansinę paramą Iranui, kad šis užbaigtų trūkstamą geležinkelio jungtį su Azerbaidžanu. </w:t>
      </w:r>
    </w:p>
    <w:p w14:paraId="30761A02" w14:textId="77777777" w:rsidR="00B000C7" w:rsidRDefault="00F0691B" w:rsidP="00F0691B">
      <w:pPr>
        <w:jc w:val="both"/>
        <w:rPr>
          <w:rFonts w:ascii="Times New Roman" w:hAnsi="Times New Roman" w:cs="Times New Roman"/>
        </w:rPr>
      </w:pPr>
      <w:r w:rsidRPr="00F0691B">
        <w:rPr>
          <w:rFonts w:ascii="Times New Roman" w:eastAsia="Times New Roman" w:hAnsi="Times New Roman" w:cs="Times New Roman"/>
          <w:b/>
          <w:bCs/>
          <w:kern w:val="0"/>
          <w:lang w:eastAsia="lt-LT"/>
          <w14:ligatures w14:val="none"/>
        </w:rPr>
        <w:t xml:space="preserve">TRIPP – </w:t>
      </w:r>
      <w:proofErr w:type="spellStart"/>
      <w:r w:rsidRPr="00F0691B">
        <w:rPr>
          <w:rFonts w:ascii="Times New Roman" w:hAnsi="Times New Roman" w:cs="Times New Roman"/>
          <w:b/>
          <w:bCs/>
          <w:i/>
          <w:iCs/>
        </w:rPr>
        <w:t>Trump</w:t>
      </w:r>
      <w:proofErr w:type="spellEnd"/>
      <w:r w:rsidRPr="00F0691B">
        <w:rPr>
          <w:rFonts w:ascii="Times New Roman" w:hAnsi="Times New Roman" w:cs="Times New Roman"/>
          <w:b/>
          <w:bCs/>
          <w:i/>
          <w:iCs/>
        </w:rPr>
        <w:t xml:space="preserve"> </w:t>
      </w:r>
      <w:proofErr w:type="spellStart"/>
      <w:r w:rsidRPr="00F0691B">
        <w:rPr>
          <w:rFonts w:ascii="Times New Roman" w:hAnsi="Times New Roman" w:cs="Times New Roman"/>
          <w:b/>
          <w:bCs/>
          <w:i/>
          <w:iCs/>
        </w:rPr>
        <w:t>Route</w:t>
      </w:r>
      <w:proofErr w:type="spellEnd"/>
      <w:r w:rsidRPr="00F0691B">
        <w:rPr>
          <w:rFonts w:ascii="Times New Roman" w:hAnsi="Times New Roman" w:cs="Times New Roman"/>
          <w:b/>
          <w:bCs/>
          <w:i/>
          <w:iCs/>
        </w:rPr>
        <w:t xml:space="preserve"> </w:t>
      </w:r>
      <w:proofErr w:type="spellStart"/>
      <w:r w:rsidRPr="00F0691B">
        <w:rPr>
          <w:rFonts w:ascii="Times New Roman" w:hAnsi="Times New Roman" w:cs="Times New Roman"/>
          <w:b/>
          <w:bCs/>
          <w:i/>
          <w:iCs/>
        </w:rPr>
        <w:t>for</w:t>
      </w:r>
      <w:proofErr w:type="spellEnd"/>
      <w:r w:rsidRPr="00F0691B">
        <w:rPr>
          <w:rFonts w:ascii="Times New Roman" w:hAnsi="Times New Roman" w:cs="Times New Roman"/>
          <w:b/>
          <w:bCs/>
          <w:i/>
          <w:iCs/>
        </w:rPr>
        <w:t xml:space="preserve"> International </w:t>
      </w:r>
      <w:proofErr w:type="spellStart"/>
      <w:r w:rsidRPr="00F0691B">
        <w:rPr>
          <w:rFonts w:ascii="Times New Roman" w:hAnsi="Times New Roman" w:cs="Times New Roman"/>
          <w:b/>
          <w:bCs/>
          <w:i/>
          <w:iCs/>
        </w:rPr>
        <w:t>Peace</w:t>
      </w:r>
      <w:proofErr w:type="spellEnd"/>
      <w:r w:rsidRPr="00F0691B">
        <w:rPr>
          <w:rFonts w:ascii="Times New Roman" w:hAnsi="Times New Roman" w:cs="Times New Roman"/>
          <w:b/>
          <w:bCs/>
          <w:i/>
          <w:iCs/>
        </w:rPr>
        <w:t xml:space="preserve"> </w:t>
      </w:r>
      <w:proofErr w:type="spellStart"/>
      <w:r w:rsidRPr="00F0691B">
        <w:rPr>
          <w:rFonts w:ascii="Times New Roman" w:hAnsi="Times New Roman" w:cs="Times New Roman"/>
          <w:b/>
          <w:bCs/>
          <w:i/>
          <w:iCs/>
        </w:rPr>
        <w:t>and</w:t>
      </w:r>
      <w:proofErr w:type="spellEnd"/>
      <w:r w:rsidRPr="00F0691B">
        <w:rPr>
          <w:rFonts w:ascii="Times New Roman" w:hAnsi="Times New Roman" w:cs="Times New Roman"/>
          <w:b/>
          <w:bCs/>
          <w:i/>
          <w:iCs/>
        </w:rPr>
        <w:t xml:space="preserve"> </w:t>
      </w:r>
      <w:proofErr w:type="spellStart"/>
      <w:r w:rsidRPr="00F0691B">
        <w:rPr>
          <w:rFonts w:ascii="Times New Roman" w:hAnsi="Times New Roman" w:cs="Times New Roman"/>
          <w:b/>
          <w:bCs/>
          <w:i/>
          <w:iCs/>
        </w:rPr>
        <w:t>Prosperity</w:t>
      </w:r>
      <w:proofErr w:type="spellEnd"/>
      <w:r w:rsidRPr="00F0691B">
        <w:rPr>
          <w:rFonts w:ascii="Times New Roman" w:hAnsi="Times New Roman" w:cs="Times New Roman"/>
          <w:b/>
          <w:bCs/>
          <w:i/>
          <w:iCs/>
        </w:rPr>
        <w:t xml:space="preserve">, </w:t>
      </w:r>
      <w:proofErr w:type="spellStart"/>
      <w:r w:rsidRPr="00F0691B">
        <w:rPr>
          <w:rFonts w:ascii="Times New Roman" w:hAnsi="Times New Roman" w:cs="Times New Roman"/>
          <w:b/>
          <w:bCs/>
          <w:i/>
          <w:iCs/>
        </w:rPr>
        <w:t>Trump‘o</w:t>
      </w:r>
      <w:proofErr w:type="spellEnd"/>
      <w:r w:rsidRPr="00F0691B">
        <w:rPr>
          <w:rFonts w:ascii="Times New Roman" w:hAnsi="Times New Roman" w:cs="Times New Roman"/>
          <w:b/>
          <w:bCs/>
          <w:i/>
          <w:iCs/>
        </w:rPr>
        <w:t xml:space="preserve"> kelias tarptautinei taikai ir klestėjimui</w:t>
      </w:r>
      <w:r w:rsidRPr="003D3FC0">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 xml:space="preserve">– </w:t>
      </w:r>
      <w:r w:rsidRPr="003D3FC0">
        <w:rPr>
          <w:rFonts w:ascii="Times New Roman" w:eastAsia="Times New Roman" w:hAnsi="Times New Roman" w:cs="Times New Roman"/>
          <w:kern w:val="0"/>
          <w:lang w:eastAsia="lt-LT"/>
          <w14:ligatures w14:val="none"/>
        </w:rPr>
        <w:t>JAV remiamas regioninio susisiekimo ir prekybos koridoriaus projektas Pietų Kaukaze, siejamas su 2025 m. rugpjūčio 8 d. Vašingtone pasiektu preliminariu Armėnijos</w:t>
      </w:r>
      <w:r w:rsidRPr="003D3FC0">
        <w:rPr>
          <w:rFonts w:ascii="Times New Roman" w:hAnsi="Times New Roman" w:cs="Times New Roman"/>
        </w:rPr>
        <w:t>-</w:t>
      </w:r>
      <w:r w:rsidRPr="003D3FC0">
        <w:rPr>
          <w:rFonts w:ascii="Times New Roman" w:eastAsia="Times New Roman" w:hAnsi="Times New Roman" w:cs="Times New Roman"/>
          <w:kern w:val="0"/>
          <w:lang w:eastAsia="lt-LT"/>
          <w14:ligatures w14:val="none"/>
        </w:rPr>
        <w:t>Azerbaidžano taikos susitarim</w:t>
      </w:r>
      <w:r w:rsidRPr="003D3FC0">
        <w:rPr>
          <w:rFonts w:ascii="Times New Roman" w:hAnsi="Times New Roman" w:cs="Times New Roman"/>
        </w:rPr>
        <w:t>u</w:t>
      </w:r>
      <w:r w:rsidRPr="003D3FC0">
        <w:rPr>
          <w:rFonts w:ascii="Times New Roman" w:eastAsia="Times New Roman" w:hAnsi="Times New Roman" w:cs="Times New Roman"/>
          <w:kern w:val="0"/>
          <w:lang w:eastAsia="lt-LT"/>
          <w14:ligatures w14:val="none"/>
        </w:rPr>
        <w:t xml:space="preserve">. </w:t>
      </w:r>
      <w:r w:rsidRPr="003D3FC0">
        <w:rPr>
          <w:rFonts w:ascii="Times New Roman" w:hAnsi="Times New Roman" w:cs="Times New Roman"/>
        </w:rPr>
        <w:t xml:space="preserve">Projekto esmė – 43 km </w:t>
      </w:r>
      <w:proofErr w:type="spellStart"/>
      <w:r w:rsidRPr="003D3FC0">
        <w:rPr>
          <w:rFonts w:ascii="Times New Roman" w:hAnsi="Times New Roman" w:cs="Times New Roman"/>
        </w:rPr>
        <w:t>multimodalinio</w:t>
      </w:r>
      <w:proofErr w:type="spellEnd"/>
      <w:r w:rsidRPr="003D3FC0">
        <w:rPr>
          <w:rFonts w:ascii="Times New Roman" w:hAnsi="Times New Roman" w:cs="Times New Roman"/>
        </w:rPr>
        <w:t xml:space="preserve"> tranzito jungtis Armėnijos teritorijoje, kuri turėtų atverti trumpesnį alternatyvų kelią tarp Turkijos/Europos ir Kaspijos baseino/Centrinės Azijos krypčių bei tapti infrastruktūriniu taikos susitarimo „stuburu“.</w:t>
      </w:r>
      <w:r w:rsidRPr="003D3FC0">
        <w:rPr>
          <w:rFonts w:ascii="Times New Roman" w:hAnsi="Times New Roman" w:cs="Times New Roman"/>
          <w:b/>
          <w:bCs/>
        </w:rPr>
        <w:t xml:space="preserve"> </w:t>
      </w:r>
      <w:r w:rsidRPr="003D3FC0">
        <w:rPr>
          <w:rFonts w:ascii="Times New Roman" w:hAnsi="Times New Roman" w:cs="Times New Roman"/>
        </w:rPr>
        <w:t xml:space="preserve">Projektas turi sujungti Azerbaidžaną su jo </w:t>
      </w:r>
      <w:proofErr w:type="spellStart"/>
      <w:r w:rsidRPr="003D3FC0">
        <w:rPr>
          <w:rFonts w:ascii="Times New Roman" w:hAnsi="Times New Roman" w:cs="Times New Roman"/>
        </w:rPr>
        <w:t>eksklavu</w:t>
      </w:r>
      <w:proofErr w:type="spellEnd"/>
      <w:r w:rsidRPr="003D3FC0">
        <w:rPr>
          <w:rFonts w:ascii="Times New Roman" w:hAnsi="Times New Roman" w:cs="Times New Roman"/>
        </w:rPr>
        <w:t xml:space="preserve"> </w:t>
      </w:r>
      <w:proofErr w:type="spellStart"/>
      <w:r w:rsidRPr="003D3FC0">
        <w:rPr>
          <w:rFonts w:ascii="Times New Roman" w:hAnsi="Times New Roman" w:cs="Times New Roman"/>
        </w:rPr>
        <w:t>Nachičevane</w:t>
      </w:r>
      <w:proofErr w:type="spellEnd"/>
      <w:r w:rsidRPr="003D3FC0">
        <w:rPr>
          <w:rFonts w:ascii="Times New Roman" w:hAnsi="Times New Roman" w:cs="Times New Roman"/>
        </w:rPr>
        <w:t xml:space="preserve"> per Armėniją, išlaikant „nepertraukiamo“ tranzito principą. TRIPP vertinamas ir kaip platesnis JAV vis a vis Rusijos-Kinijos įtakos balansavimo instrumentas regione. </w:t>
      </w:r>
      <w:r w:rsidRPr="00F0691B">
        <w:rPr>
          <w:rFonts w:ascii="Times New Roman" w:hAnsi="Times New Roman" w:cs="Times New Roman"/>
          <w:b/>
          <w:bCs/>
        </w:rPr>
        <w:t>Šiuo metu projektas yra įgyvendinimo planavimo stadijoje</w:t>
      </w:r>
      <w:r w:rsidRPr="003D3FC0">
        <w:rPr>
          <w:rFonts w:ascii="Times New Roman" w:hAnsi="Times New Roman" w:cs="Times New Roman"/>
        </w:rPr>
        <w:t xml:space="preserve">: paskelbtas įgyvendinimo pagrindų dokumentas, kuriame išdėstyti tikslai bei principai, tačiau kol kas nėra patvirtintų teisinių, techninių sprendinių, finansinio mechanizmo ir užtikrintų lėšų (JAV skyrė 145 mln. USD pradinį įnašą). </w:t>
      </w:r>
    </w:p>
    <w:p w14:paraId="63FD5831" w14:textId="0AF33CF4" w:rsidR="00B000C7" w:rsidRDefault="00B000C7" w:rsidP="00F0691B">
      <w:pPr>
        <w:jc w:val="both"/>
        <w:rPr>
          <w:rFonts w:ascii="Times New Roman" w:hAnsi="Times New Roman" w:cs="Times New Roman"/>
        </w:rPr>
      </w:pPr>
      <w:r w:rsidRPr="00B000C7">
        <w:rPr>
          <w:rFonts w:ascii="Times New Roman" w:hAnsi="Times New Roman" w:cs="Times New Roman"/>
          <w:b/>
          <w:bCs/>
        </w:rPr>
        <w:t>JAV pradėjo TRIPP trasos apžiūrą ir rengs projekto galimybių studiją.</w:t>
      </w:r>
      <w:r w:rsidRPr="00B000C7">
        <w:rPr>
          <w:rFonts w:ascii="Times New Roman" w:hAnsi="Times New Roman" w:cs="Times New Roman"/>
        </w:rPr>
        <w:t xml:space="preserve"> Projekto kritikai atkreipia dėmesį į abejotiną ekonominį atsiperkamumą (neaišku, ar pakaks krovinių srautų), iššūkius </w:t>
      </w:r>
      <w:r w:rsidRPr="00B000C7">
        <w:rPr>
          <w:rFonts w:ascii="Times New Roman" w:hAnsi="Times New Roman" w:cs="Times New Roman"/>
        </w:rPr>
        <w:lastRenderedPageBreak/>
        <w:t xml:space="preserve">pritraukiant privačius investuotojus bei neapibrėžtą teisinį ir administracinį projekto pobūdį – TRIPP išlieka ambicinga politinė ir </w:t>
      </w:r>
      <w:proofErr w:type="spellStart"/>
      <w:r w:rsidRPr="00B000C7">
        <w:rPr>
          <w:rFonts w:ascii="Times New Roman" w:hAnsi="Times New Roman" w:cs="Times New Roman"/>
        </w:rPr>
        <w:t>geostrateginė</w:t>
      </w:r>
      <w:proofErr w:type="spellEnd"/>
      <w:r w:rsidRPr="00B000C7">
        <w:rPr>
          <w:rFonts w:ascii="Times New Roman" w:hAnsi="Times New Roman" w:cs="Times New Roman"/>
        </w:rPr>
        <w:t xml:space="preserve"> iniciatyva, kurią gali būti sudėtinga paversti ekonomiškai gyvybinga. </w:t>
      </w:r>
    </w:p>
    <w:p w14:paraId="18166C06" w14:textId="15E7F4B1" w:rsidR="00B000C7" w:rsidRDefault="00B000C7" w:rsidP="00F0691B">
      <w:pPr>
        <w:jc w:val="both"/>
        <w:rPr>
          <w:rFonts w:ascii="Times New Roman" w:hAnsi="Times New Roman" w:cs="Times New Roman"/>
        </w:rPr>
      </w:pPr>
      <w:r w:rsidRPr="00B000C7">
        <w:rPr>
          <w:rFonts w:ascii="Times New Roman" w:hAnsi="Times New Roman" w:cs="Times New Roman"/>
          <w:b/>
          <w:bCs/>
        </w:rPr>
        <w:t xml:space="preserve">Tuo tarpu Azerbaidžanas siekia aktyviau įtraukti </w:t>
      </w:r>
      <w:r w:rsidRPr="00B000C7">
        <w:rPr>
          <w:rFonts w:ascii="Times New Roman" w:hAnsi="Times New Roman" w:cs="Times New Roman"/>
          <w:b/>
          <w:bCs/>
        </w:rPr>
        <w:t>ES</w:t>
      </w:r>
      <w:r w:rsidRPr="00B000C7">
        <w:rPr>
          <w:rFonts w:ascii="Times New Roman" w:hAnsi="Times New Roman" w:cs="Times New Roman"/>
          <w:b/>
          <w:bCs/>
        </w:rPr>
        <w:t xml:space="preserve"> į transporto jungčių per </w:t>
      </w:r>
      <w:proofErr w:type="spellStart"/>
      <w:r w:rsidRPr="00B000C7">
        <w:rPr>
          <w:rFonts w:ascii="Times New Roman" w:hAnsi="Times New Roman" w:cs="Times New Roman"/>
          <w:b/>
          <w:bCs/>
        </w:rPr>
        <w:t>Nachičevanę</w:t>
      </w:r>
      <w:proofErr w:type="spellEnd"/>
      <w:r w:rsidRPr="00B000C7">
        <w:rPr>
          <w:rFonts w:ascii="Times New Roman" w:hAnsi="Times New Roman" w:cs="Times New Roman"/>
          <w:b/>
          <w:bCs/>
        </w:rPr>
        <w:t xml:space="preserve"> plėtrą, </w:t>
      </w:r>
      <w:r w:rsidRPr="00B000C7">
        <w:rPr>
          <w:rFonts w:ascii="Times New Roman" w:hAnsi="Times New Roman" w:cs="Times New Roman"/>
        </w:rPr>
        <w:t xml:space="preserve">matydamas šį projektą kaip dalį platesnių Rytų–Vakarų koridoriaus stiprinimo pastangų. ES, savo ruožtu, domisi regiono junglumo didinimu per „Global </w:t>
      </w:r>
      <w:proofErr w:type="spellStart"/>
      <w:r w:rsidRPr="00B000C7">
        <w:rPr>
          <w:rFonts w:ascii="Times New Roman" w:hAnsi="Times New Roman" w:cs="Times New Roman"/>
        </w:rPr>
        <w:t>Gateway</w:t>
      </w:r>
      <w:proofErr w:type="spellEnd"/>
      <w:r w:rsidRPr="00B000C7">
        <w:rPr>
          <w:rFonts w:ascii="Times New Roman" w:hAnsi="Times New Roman" w:cs="Times New Roman"/>
        </w:rPr>
        <w:t>“ iniciatyvą, galinčią suteikti finansinę ir techninę paramą infrastruktūros projektams, taip pat skatinti standartizacijos, reguliacinės aplinkos ir tvarumo reikalavimų diegimą. Nors konkretaus ES finansavimo mastas kol kas išlieka neapibrėžtas, ES įsitraukimas –</w:t>
      </w:r>
      <w:r w:rsidRPr="00B000C7">
        <w:rPr>
          <w:rFonts w:ascii="Times New Roman" w:hAnsi="Times New Roman" w:cs="Times New Roman"/>
        </w:rPr>
        <w:t xml:space="preserve"> </w:t>
      </w:r>
      <w:r w:rsidRPr="00B000C7">
        <w:rPr>
          <w:rFonts w:ascii="Times New Roman" w:hAnsi="Times New Roman" w:cs="Times New Roman"/>
        </w:rPr>
        <w:t xml:space="preserve">per techninę pagalbą ar dalinį finansavimą – galėtų padidinti transporto jungčių per </w:t>
      </w:r>
      <w:proofErr w:type="spellStart"/>
      <w:r w:rsidRPr="00B000C7">
        <w:rPr>
          <w:rFonts w:ascii="Times New Roman" w:hAnsi="Times New Roman" w:cs="Times New Roman"/>
        </w:rPr>
        <w:t>Nachičevanę</w:t>
      </w:r>
      <w:proofErr w:type="spellEnd"/>
      <w:r w:rsidRPr="00B000C7">
        <w:rPr>
          <w:rFonts w:ascii="Times New Roman" w:hAnsi="Times New Roman" w:cs="Times New Roman"/>
        </w:rPr>
        <w:t xml:space="preserve"> projekt</w:t>
      </w:r>
      <w:r w:rsidRPr="00B000C7">
        <w:rPr>
          <w:rFonts w:ascii="Times New Roman" w:hAnsi="Times New Roman" w:cs="Times New Roman"/>
        </w:rPr>
        <w:t>ų</w:t>
      </w:r>
      <w:r w:rsidRPr="00B000C7">
        <w:rPr>
          <w:rFonts w:ascii="Times New Roman" w:hAnsi="Times New Roman" w:cs="Times New Roman"/>
        </w:rPr>
        <w:t xml:space="preserve"> patikimumą bei prisidėti prie j</w:t>
      </w:r>
      <w:r w:rsidRPr="00B000C7">
        <w:rPr>
          <w:rFonts w:ascii="Times New Roman" w:hAnsi="Times New Roman" w:cs="Times New Roman"/>
        </w:rPr>
        <w:t>ų</w:t>
      </w:r>
      <w:r w:rsidRPr="00B000C7">
        <w:rPr>
          <w:rFonts w:ascii="Times New Roman" w:hAnsi="Times New Roman" w:cs="Times New Roman"/>
        </w:rPr>
        <w:t xml:space="preserve"> integracijos į platesnius Europos transporto tinklus.</w:t>
      </w:r>
    </w:p>
    <w:p w14:paraId="1C86A9A8" w14:textId="6AA79D89" w:rsidR="00F0691B" w:rsidRPr="003D3FC0" w:rsidRDefault="00F0691B" w:rsidP="00F0691B">
      <w:pPr>
        <w:jc w:val="both"/>
        <w:rPr>
          <w:rFonts w:ascii="Times New Roman" w:hAnsi="Times New Roman" w:cs="Times New Roman"/>
        </w:rPr>
      </w:pPr>
      <w:r w:rsidRPr="003D3FC0">
        <w:rPr>
          <w:noProof/>
        </w:rPr>
        <w:drawing>
          <wp:inline distT="0" distB="0" distL="0" distR="0" wp14:anchorId="3B537CD1" wp14:editId="2658B028">
            <wp:extent cx="6123187" cy="4061460"/>
            <wp:effectExtent l="0" t="0" r="0" b="0"/>
            <wp:docPr id="226033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7832" cy="4091073"/>
                    </a:xfrm>
                    <a:prstGeom prst="rect">
                      <a:avLst/>
                    </a:prstGeom>
                    <a:noFill/>
                    <a:ln>
                      <a:noFill/>
                    </a:ln>
                  </pic:spPr>
                </pic:pic>
              </a:graphicData>
            </a:graphic>
          </wp:inline>
        </w:drawing>
      </w:r>
    </w:p>
    <w:p w14:paraId="419EF326" w14:textId="4FF96BB5" w:rsidR="00646B4B" w:rsidRPr="00F0691B" w:rsidRDefault="00F0691B" w:rsidP="00646B4B">
      <w:pPr>
        <w:jc w:val="both"/>
        <w:rPr>
          <w:rFonts w:ascii="Times New Roman" w:hAnsi="Times New Roman" w:cs="Times New Roman"/>
        </w:rPr>
      </w:pPr>
      <w:r w:rsidRPr="00F0691B">
        <w:rPr>
          <w:rFonts w:ascii="Times New Roman" w:hAnsi="Times New Roman" w:cs="Times New Roman"/>
          <w:i/>
          <w:iCs/>
          <w:sz w:val="18"/>
          <w:szCs w:val="18"/>
        </w:rPr>
        <w:t>Šaltinis: Caliber.az</w:t>
      </w:r>
    </w:p>
    <w:p w14:paraId="37C2A1E8" w14:textId="11416F93" w:rsidR="002C0AE4" w:rsidRPr="002A5305" w:rsidRDefault="00F0691B" w:rsidP="002A5305">
      <w:pPr>
        <w:jc w:val="both"/>
        <w:rPr>
          <w:rFonts w:ascii="Times New Roman" w:hAnsi="Times New Roman" w:cs="Times New Roman"/>
          <w:b/>
          <w:bCs/>
        </w:rPr>
      </w:pPr>
      <w:r>
        <w:rPr>
          <w:rFonts w:ascii="Times New Roman" w:hAnsi="Times New Roman" w:cs="Times New Roman"/>
          <w:b/>
          <w:bCs/>
        </w:rPr>
        <w:t>Azerbaidžano e</w:t>
      </w:r>
      <w:r w:rsidR="002C0AE4" w:rsidRPr="002A5305">
        <w:rPr>
          <w:rFonts w:ascii="Times New Roman" w:hAnsi="Times New Roman" w:cs="Times New Roman"/>
          <w:b/>
          <w:bCs/>
        </w:rPr>
        <w:t>konomikos prioritetai</w:t>
      </w:r>
      <w:r w:rsidR="004E7246" w:rsidRPr="002A5305">
        <w:rPr>
          <w:rFonts w:ascii="Times New Roman" w:hAnsi="Times New Roman" w:cs="Times New Roman"/>
          <w:b/>
          <w:bCs/>
        </w:rPr>
        <w:t xml:space="preserve"> ir perspektyvūs-augantys sektoriai:</w:t>
      </w:r>
    </w:p>
    <w:p w14:paraId="55B48159" w14:textId="2BE9A818" w:rsidR="00A449BE" w:rsidRPr="002A5305" w:rsidRDefault="002C0AE4" w:rsidP="002A5305">
      <w:pPr>
        <w:pStyle w:val="ListParagraph"/>
        <w:numPr>
          <w:ilvl w:val="0"/>
          <w:numId w:val="18"/>
        </w:numPr>
        <w:jc w:val="both"/>
        <w:rPr>
          <w:rFonts w:ascii="Times New Roman" w:hAnsi="Times New Roman" w:cs="Times New Roman"/>
        </w:rPr>
      </w:pPr>
      <w:r w:rsidRPr="002A5305">
        <w:rPr>
          <w:rFonts w:ascii="Times New Roman" w:hAnsi="Times New Roman" w:cs="Times New Roman"/>
          <w:b/>
          <w:bCs/>
        </w:rPr>
        <w:t>Diversifikacij</w:t>
      </w:r>
      <w:r w:rsidR="00630E25" w:rsidRPr="002A5305">
        <w:rPr>
          <w:rFonts w:ascii="Times New Roman" w:hAnsi="Times New Roman" w:cs="Times New Roman"/>
          <w:b/>
          <w:bCs/>
        </w:rPr>
        <w:t>a</w:t>
      </w:r>
      <w:r w:rsidR="00630E25" w:rsidRPr="002A5305">
        <w:rPr>
          <w:rFonts w:ascii="Times New Roman" w:hAnsi="Times New Roman" w:cs="Times New Roman"/>
        </w:rPr>
        <w:t xml:space="preserve"> – </w:t>
      </w:r>
      <w:r w:rsidR="00A449BE" w:rsidRPr="002A5305">
        <w:rPr>
          <w:rFonts w:ascii="Times New Roman" w:hAnsi="Times New Roman" w:cs="Times New Roman"/>
        </w:rPr>
        <w:t>Vienas svarbiausių prioritetų –  diversifikuoti šalies ekonomiką ir pritraukti TUI į ne naftos</w:t>
      </w:r>
      <w:r w:rsidR="00B27F5C">
        <w:rPr>
          <w:rFonts w:ascii="Times New Roman" w:hAnsi="Times New Roman" w:cs="Times New Roman"/>
        </w:rPr>
        <w:t>/dujų</w:t>
      </w:r>
      <w:r w:rsidR="00A449BE" w:rsidRPr="002A5305">
        <w:rPr>
          <w:rFonts w:ascii="Times New Roman" w:hAnsi="Times New Roman" w:cs="Times New Roman"/>
        </w:rPr>
        <w:t xml:space="preserve"> sektorius, tokius kaip žemės ūkis, logistika, informacinės ir ryšių technologijos bei turizmas.</w:t>
      </w:r>
      <w:r w:rsidR="00A449BE" w:rsidRPr="002A5305">
        <w:rPr>
          <w:rFonts w:ascii="Times New Roman" w:hAnsi="Times New Roman" w:cs="Times New Roman"/>
          <w:b/>
          <w:bCs/>
        </w:rPr>
        <w:t xml:space="preserve"> </w:t>
      </w:r>
    </w:p>
    <w:p w14:paraId="0BC24AD3" w14:textId="4465BC44" w:rsidR="00630E25" w:rsidRPr="002A5305" w:rsidRDefault="002C0AE4" w:rsidP="002A5305">
      <w:pPr>
        <w:pStyle w:val="ListParagraph"/>
        <w:numPr>
          <w:ilvl w:val="0"/>
          <w:numId w:val="18"/>
        </w:numPr>
        <w:jc w:val="both"/>
        <w:rPr>
          <w:rFonts w:ascii="Times New Roman" w:hAnsi="Times New Roman" w:cs="Times New Roman"/>
        </w:rPr>
      </w:pPr>
      <w:r w:rsidRPr="002A5305">
        <w:rPr>
          <w:rFonts w:ascii="Times New Roman" w:hAnsi="Times New Roman" w:cs="Times New Roman"/>
          <w:b/>
          <w:bCs/>
        </w:rPr>
        <w:t>Transport</w:t>
      </w:r>
      <w:r w:rsidR="00C90C87" w:rsidRPr="002A5305">
        <w:rPr>
          <w:rFonts w:ascii="Times New Roman" w:hAnsi="Times New Roman" w:cs="Times New Roman"/>
          <w:b/>
          <w:bCs/>
        </w:rPr>
        <w:t>as,</w:t>
      </w:r>
      <w:r w:rsidRPr="002A5305">
        <w:rPr>
          <w:rFonts w:ascii="Times New Roman" w:hAnsi="Times New Roman" w:cs="Times New Roman"/>
          <w:b/>
          <w:bCs/>
        </w:rPr>
        <w:t xml:space="preserve"> logistik</w:t>
      </w:r>
      <w:r w:rsidR="00C90C87" w:rsidRPr="002A5305">
        <w:rPr>
          <w:rFonts w:ascii="Times New Roman" w:hAnsi="Times New Roman" w:cs="Times New Roman"/>
          <w:b/>
          <w:bCs/>
        </w:rPr>
        <w:t>a</w:t>
      </w:r>
      <w:r w:rsidRPr="002A5305">
        <w:rPr>
          <w:rFonts w:ascii="Times New Roman" w:hAnsi="Times New Roman" w:cs="Times New Roman"/>
          <w:b/>
          <w:bCs/>
        </w:rPr>
        <w:t>:</w:t>
      </w:r>
      <w:r w:rsidR="00630E25" w:rsidRPr="002A5305">
        <w:rPr>
          <w:rFonts w:ascii="Times New Roman" w:hAnsi="Times New Roman" w:cs="Times New Roman"/>
        </w:rPr>
        <w:t xml:space="preserve"> </w:t>
      </w:r>
      <w:r w:rsidR="00C90C87" w:rsidRPr="002A5305">
        <w:rPr>
          <w:rFonts w:ascii="Times New Roman" w:hAnsi="Times New Roman" w:cs="Times New Roman"/>
        </w:rPr>
        <w:t xml:space="preserve">išnaudojant geografinę ir geopolitinę padėtį </w:t>
      </w:r>
      <w:r w:rsidRPr="002A5305">
        <w:rPr>
          <w:rFonts w:ascii="Times New Roman" w:hAnsi="Times New Roman" w:cs="Times New Roman"/>
        </w:rPr>
        <w:t>didint</w:t>
      </w:r>
      <w:r w:rsidR="00630E25" w:rsidRPr="002A5305">
        <w:rPr>
          <w:rFonts w:ascii="Times New Roman" w:hAnsi="Times New Roman" w:cs="Times New Roman"/>
        </w:rPr>
        <w:t>i</w:t>
      </w:r>
      <w:r w:rsidRPr="002A5305">
        <w:rPr>
          <w:rFonts w:ascii="Times New Roman" w:hAnsi="Times New Roman" w:cs="Times New Roman"/>
        </w:rPr>
        <w:t xml:space="preserve"> tranzito potencial</w:t>
      </w:r>
      <w:r w:rsidR="00630E25" w:rsidRPr="002A5305">
        <w:rPr>
          <w:rFonts w:ascii="Times New Roman" w:hAnsi="Times New Roman" w:cs="Times New Roman"/>
        </w:rPr>
        <w:t>ą</w:t>
      </w:r>
      <w:r w:rsidRPr="002A5305">
        <w:rPr>
          <w:rFonts w:ascii="Times New Roman" w:hAnsi="Times New Roman" w:cs="Times New Roman"/>
        </w:rPr>
        <w:t xml:space="preserve"> tarp Europos ir Azijos</w:t>
      </w:r>
      <w:r w:rsidR="00C90C87" w:rsidRPr="002A5305">
        <w:rPr>
          <w:rFonts w:ascii="Times New Roman" w:hAnsi="Times New Roman" w:cs="Times New Roman"/>
        </w:rPr>
        <w:t xml:space="preserve"> (Vidurio koridorius (+ TRIPP), Baku–Tbilisi–Kars geležinkelis, Baku jūrų uosto ir kitos infrastruktūros plėtra</w:t>
      </w:r>
      <w:r w:rsidR="004E7246" w:rsidRPr="002A5305">
        <w:rPr>
          <w:rFonts w:ascii="Times New Roman" w:hAnsi="Times New Roman" w:cs="Times New Roman"/>
        </w:rPr>
        <w:t xml:space="preserve"> (konteinerių gamybos įmonės, sandėliavimo infrastruktūra ir kt.).</w:t>
      </w:r>
      <w:r w:rsidR="00FE6CC6">
        <w:rPr>
          <w:rFonts w:ascii="Times New Roman" w:hAnsi="Times New Roman" w:cs="Times New Roman"/>
        </w:rPr>
        <w:t xml:space="preserve"> Azerbaidžanas numatęs, kad </w:t>
      </w:r>
      <w:proofErr w:type="spellStart"/>
      <w:r w:rsidR="00082D32">
        <w:rPr>
          <w:rFonts w:ascii="Times New Roman" w:hAnsi="Times New Roman" w:cs="Times New Roman"/>
        </w:rPr>
        <w:t>Nachičevanėje</w:t>
      </w:r>
      <w:proofErr w:type="spellEnd"/>
      <w:r w:rsidR="00082D32">
        <w:rPr>
          <w:rFonts w:ascii="Times New Roman" w:hAnsi="Times New Roman" w:cs="Times New Roman"/>
        </w:rPr>
        <w:t xml:space="preserve"> transporto ir kitas jungtis vystytų ES.</w:t>
      </w:r>
    </w:p>
    <w:p w14:paraId="7348C081" w14:textId="58712DAA" w:rsidR="00630E25" w:rsidRPr="002A5305" w:rsidRDefault="002C0AE4" w:rsidP="002A5305">
      <w:pPr>
        <w:pStyle w:val="ListParagraph"/>
        <w:numPr>
          <w:ilvl w:val="0"/>
          <w:numId w:val="18"/>
        </w:numPr>
        <w:jc w:val="both"/>
        <w:rPr>
          <w:rFonts w:ascii="Times New Roman" w:hAnsi="Times New Roman" w:cs="Times New Roman"/>
        </w:rPr>
      </w:pPr>
      <w:r w:rsidRPr="002A5305">
        <w:rPr>
          <w:rFonts w:ascii="Times New Roman" w:hAnsi="Times New Roman" w:cs="Times New Roman"/>
          <w:b/>
          <w:bCs/>
        </w:rPr>
        <w:lastRenderedPageBreak/>
        <w:t xml:space="preserve">Skaitmeninė transformacija </w:t>
      </w:r>
      <w:r w:rsidR="00B27F5C">
        <w:rPr>
          <w:rFonts w:ascii="Times New Roman" w:hAnsi="Times New Roman" w:cs="Times New Roman"/>
          <w:b/>
          <w:bCs/>
        </w:rPr>
        <w:t>–</w:t>
      </w:r>
      <w:r w:rsidRPr="002A5305">
        <w:rPr>
          <w:rFonts w:ascii="Times New Roman" w:hAnsi="Times New Roman" w:cs="Times New Roman"/>
          <w:b/>
          <w:bCs/>
        </w:rPr>
        <w:t xml:space="preserve"> I</w:t>
      </w:r>
      <w:r w:rsidR="00976F86">
        <w:rPr>
          <w:rFonts w:ascii="Times New Roman" w:hAnsi="Times New Roman" w:cs="Times New Roman"/>
          <w:b/>
          <w:bCs/>
        </w:rPr>
        <w:t>T/</w:t>
      </w:r>
      <w:r w:rsidR="00C90C87" w:rsidRPr="002A5305">
        <w:rPr>
          <w:rFonts w:ascii="Times New Roman" w:hAnsi="Times New Roman" w:cs="Times New Roman"/>
          <w:b/>
          <w:bCs/>
        </w:rPr>
        <w:t>DI</w:t>
      </w:r>
      <w:r w:rsidRPr="002A5305">
        <w:rPr>
          <w:rFonts w:ascii="Times New Roman" w:hAnsi="Times New Roman" w:cs="Times New Roman"/>
          <w:b/>
          <w:bCs/>
        </w:rPr>
        <w:t xml:space="preserve"> sektorius</w:t>
      </w:r>
      <w:r w:rsidR="0009662C">
        <w:rPr>
          <w:rFonts w:ascii="Times New Roman" w:hAnsi="Times New Roman" w:cs="Times New Roman"/>
          <w:b/>
          <w:bCs/>
        </w:rPr>
        <w:t xml:space="preserve">, </w:t>
      </w:r>
      <w:proofErr w:type="spellStart"/>
      <w:r w:rsidR="0009662C">
        <w:rPr>
          <w:rFonts w:ascii="Times New Roman" w:hAnsi="Times New Roman" w:cs="Times New Roman"/>
          <w:b/>
          <w:bCs/>
        </w:rPr>
        <w:t>startuolių</w:t>
      </w:r>
      <w:proofErr w:type="spellEnd"/>
      <w:r w:rsidR="0009662C">
        <w:rPr>
          <w:rFonts w:ascii="Times New Roman" w:hAnsi="Times New Roman" w:cs="Times New Roman"/>
          <w:b/>
          <w:bCs/>
        </w:rPr>
        <w:t xml:space="preserve"> ekosistema</w:t>
      </w:r>
      <w:r w:rsidR="00C90C87" w:rsidRPr="002A5305">
        <w:rPr>
          <w:rFonts w:ascii="Times New Roman" w:hAnsi="Times New Roman" w:cs="Times New Roman"/>
          <w:b/>
          <w:bCs/>
        </w:rPr>
        <w:t xml:space="preserve"> </w:t>
      </w:r>
      <w:r w:rsidR="00C90C87" w:rsidRPr="002A5305">
        <w:rPr>
          <w:rFonts w:ascii="Times New Roman" w:hAnsi="Times New Roman" w:cs="Times New Roman"/>
        </w:rPr>
        <w:t xml:space="preserve">– </w:t>
      </w:r>
      <w:r w:rsidRPr="002A5305">
        <w:rPr>
          <w:rFonts w:ascii="Times New Roman" w:hAnsi="Times New Roman" w:cs="Times New Roman"/>
        </w:rPr>
        <w:t>investuoja į skaitmenines technologijas</w:t>
      </w:r>
      <w:r w:rsidR="00C90C87" w:rsidRPr="002A5305">
        <w:rPr>
          <w:rFonts w:ascii="Times New Roman" w:hAnsi="Times New Roman" w:cs="Times New Roman"/>
        </w:rPr>
        <w:t xml:space="preserve">, </w:t>
      </w:r>
      <w:r w:rsidRPr="002A5305">
        <w:rPr>
          <w:rFonts w:ascii="Times New Roman" w:hAnsi="Times New Roman" w:cs="Times New Roman"/>
        </w:rPr>
        <w:t xml:space="preserve">inovacijas, </w:t>
      </w:r>
      <w:r w:rsidR="00630E25" w:rsidRPr="002A5305">
        <w:rPr>
          <w:rFonts w:ascii="Times New Roman" w:hAnsi="Times New Roman" w:cs="Times New Roman"/>
        </w:rPr>
        <w:t xml:space="preserve">planuose – </w:t>
      </w:r>
      <w:r w:rsidR="00B80E50" w:rsidRPr="002A5305">
        <w:rPr>
          <w:rFonts w:ascii="Times New Roman" w:hAnsi="Times New Roman" w:cs="Times New Roman"/>
        </w:rPr>
        <w:t xml:space="preserve">DI </w:t>
      </w:r>
      <w:r w:rsidR="00C90C87" w:rsidRPr="002A5305">
        <w:rPr>
          <w:rFonts w:ascii="Times New Roman" w:hAnsi="Times New Roman" w:cs="Times New Roman"/>
        </w:rPr>
        <w:t>duomenų  centrai, kuriems pigi</w:t>
      </w:r>
      <w:r w:rsidR="00B81871" w:rsidRPr="002A5305">
        <w:rPr>
          <w:rFonts w:ascii="Times New Roman" w:hAnsi="Times New Roman" w:cs="Times New Roman"/>
        </w:rPr>
        <w:t>ą</w:t>
      </w:r>
      <w:r w:rsidR="00C90C87" w:rsidRPr="002A5305">
        <w:rPr>
          <w:rFonts w:ascii="Times New Roman" w:hAnsi="Times New Roman" w:cs="Times New Roman"/>
        </w:rPr>
        <w:t xml:space="preserve"> elektr</w:t>
      </w:r>
      <w:r w:rsidR="00B81871" w:rsidRPr="002A5305">
        <w:rPr>
          <w:rFonts w:ascii="Times New Roman" w:hAnsi="Times New Roman" w:cs="Times New Roman"/>
        </w:rPr>
        <w:t>ą ketinama</w:t>
      </w:r>
      <w:r w:rsidR="00C90C87" w:rsidRPr="002A5305">
        <w:rPr>
          <w:rFonts w:ascii="Times New Roman" w:hAnsi="Times New Roman" w:cs="Times New Roman"/>
        </w:rPr>
        <w:t xml:space="preserve"> </w:t>
      </w:r>
      <w:r w:rsidR="00B81871" w:rsidRPr="002A5305">
        <w:rPr>
          <w:rFonts w:ascii="Times New Roman" w:hAnsi="Times New Roman" w:cs="Times New Roman"/>
        </w:rPr>
        <w:t xml:space="preserve"> tiekti </w:t>
      </w:r>
      <w:r w:rsidR="00C90C87" w:rsidRPr="002A5305">
        <w:rPr>
          <w:rFonts w:ascii="Times New Roman" w:hAnsi="Times New Roman" w:cs="Times New Roman"/>
        </w:rPr>
        <w:t xml:space="preserve">iš atsinaujinančių šaltinių. </w:t>
      </w:r>
    </w:p>
    <w:p w14:paraId="6EB2BFF1" w14:textId="08F1A927" w:rsidR="00976F86" w:rsidRDefault="002C0AE4" w:rsidP="00976F86">
      <w:pPr>
        <w:pStyle w:val="ListParagraph"/>
        <w:numPr>
          <w:ilvl w:val="0"/>
          <w:numId w:val="18"/>
        </w:numPr>
        <w:jc w:val="both"/>
        <w:rPr>
          <w:rFonts w:ascii="Times New Roman" w:hAnsi="Times New Roman" w:cs="Times New Roman"/>
        </w:rPr>
      </w:pPr>
      <w:r w:rsidRPr="002A5305">
        <w:rPr>
          <w:rFonts w:ascii="Times New Roman" w:hAnsi="Times New Roman" w:cs="Times New Roman"/>
          <w:b/>
          <w:bCs/>
        </w:rPr>
        <w:t>At</w:t>
      </w:r>
      <w:r w:rsidR="00C90C87" w:rsidRPr="002A5305">
        <w:rPr>
          <w:rFonts w:ascii="Times New Roman" w:hAnsi="Times New Roman" w:cs="Times New Roman"/>
          <w:b/>
          <w:bCs/>
        </w:rPr>
        <w:t>kovotų</w:t>
      </w:r>
      <w:r w:rsidR="00630E25" w:rsidRPr="002A5305">
        <w:rPr>
          <w:rFonts w:ascii="Times New Roman" w:hAnsi="Times New Roman" w:cs="Times New Roman"/>
          <w:b/>
          <w:bCs/>
        </w:rPr>
        <w:t xml:space="preserve"> teritorijų </w:t>
      </w:r>
      <w:r w:rsidR="00082D32">
        <w:rPr>
          <w:rFonts w:ascii="Times New Roman" w:hAnsi="Times New Roman" w:cs="Times New Roman"/>
          <w:b/>
          <w:bCs/>
        </w:rPr>
        <w:t>(</w:t>
      </w:r>
      <w:proofErr w:type="spellStart"/>
      <w:r w:rsidR="00082D32">
        <w:rPr>
          <w:rFonts w:ascii="Times New Roman" w:hAnsi="Times New Roman" w:cs="Times New Roman"/>
          <w:b/>
          <w:bCs/>
        </w:rPr>
        <w:t>Karab</w:t>
      </w:r>
      <w:r w:rsidR="00B27F5C">
        <w:rPr>
          <w:rFonts w:ascii="Times New Roman" w:hAnsi="Times New Roman" w:cs="Times New Roman"/>
          <w:b/>
          <w:bCs/>
        </w:rPr>
        <w:t>a</w:t>
      </w:r>
      <w:r w:rsidR="00082D32">
        <w:rPr>
          <w:rFonts w:ascii="Times New Roman" w:hAnsi="Times New Roman" w:cs="Times New Roman"/>
          <w:b/>
          <w:bCs/>
        </w:rPr>
        <w:t>chas</w:t>
      </w:r>
      <w:proofErr w:type="spellEnd"/>
      <w:r w:rsidR="00082D32">
        <w:rPr>
          <w:rFonts w:ascii="Times New Roman" w:hAnsi="Times New Roman" w:cs="Times New Roman"/>
          <w:b/>
          <w:bCs/>
        </w:rPr>
        <w:t xml:space="preserve">) </w:t>
      </w:r>
      <w:r w:rsidR="00630E25" w:rsidRPr="002A5305">
        <w:rPr>
          <w:rFonts w:ascii="Times New Roman" w:hAnsi="Times New Roman" w:cs="Times New Roman"/>
          <w:b/>
          <w:bCs/>
        </w:rPr>
        <w:t>atstatymas</w:t>
      </w:r>
      <w:r w:rsidR="00C90C87" w:rsidRPr="002A5305">
        <w:rPr>
          <w:rFonts w:ascii="Times New Roman" w:hAnsi="Times New Roman" w:cs="Times New Roman"/>
          <w:b/>
          <w:bCs/>
        </w:rPr>
        <w:t xml:space="preserve"> –</w:t>
      </w:r>
      <w:r w:rsidR="004F5809" w:rsidRPr="002A5305">
        <w:rPr>
          <w:rFonts w:ascii="Times New Roman" w:hAnsi="Times New Roman" w:cs="Times New Roman"/>
        </w:rPr>
        <w:t xml:space="preserve"> </w:t>
      </w:r>
      <w:r w:rsidR="00630E25" w:rsidRPr="002A5305">
        <w:rPr>
          <w:rFonts w:ascii="Times New Roman" w:hAnsi="Times New Roman" w:cs="Times New Roman"/>
        </w:rPr>
        <w:t xml:space="preserve">paskatos </w:t>
      </w:r>
      <w:r w:rsidR="004F5809" w:rsidRPr="002A5305">
        <w:rPr>
          <w:rFonts w:ascii="Times New Roman" w:hAnsi="Times New Roman" w:cs="Times New Roman"/>
        </w:rPr>
        <w:t xml:space="preserve">investicijoms, </w:t>
      </w:r>
      <w:r w:rsidR="00630E25" w:rsidRPr="002A5305">
        <w:rPr>
          <w:rFonts w:ascii="Times New Roman" w:hAnsi="Times New Roman" w:cs="Times New Roman"/>
        </w:rPr>
        <w:t>infrastruktūros p</w:t>
      </w:r>
      <w:r w:rsidR="004F5809" w:rsidRPr="002A5305">
        <w:rPr>
          <w:rFonts w:ascii="Times New Roman" w:hAnsi="Times New Roman" w:cs="Times New Roman"/>
        </w:rPr>
        <w:t>rojektai</w:t>
      </w:r>
      <w:r w:rsidR="00DA0ADC" w:rsidRPr="002A5305">
        <w:rPr>
          <w:rFonts w:ascii="Times New Roman" w:hAnsi="Times New Roman" w:cs="Times New Roman"/>
        </w:rPr>
        <w:t>.</w:t>
      </w:r>
      <w:r w:rsidR="00082D32">
        <w:rPr>
          <w:rFonts w:ascii="Times New Roman" w:hAnsi="Times New Roman" w:cs="Times New Roman"/>
        </w:rPr>
        <w:t xml:space="preserve"> Tai yra vienas pagrindinių </w:t>
      </w:r>
      <w:r w:rsidR="00C834D6">
        <w:rPr>
          <w:rFonts w:ascii="Times New Roman" w:hAnsi="Times New Roman" w:cs="Times New Roman"/>
        </w:rPr>
        <w:t>ir politinių prioritetų.</w:t>
      </w:r>
      <w:r w:rsidR="004033EC">
        <w:rPr>
          <w:rFonts w:ascii="Times New Roman" w:hAnsi="Times New Roman" w:cs="Times New Roman"/>
        </w:rPr>
        <w:t xml:space="preserve"> </w:t>
      </w:r>
      <w:r w:rsidR="00E4285A">
        <w:rPr>
          <w:rFonts w:ascii="Times New Roman" w:hAnsi="Times New Roman" w:cs="Times New Roman"/>
        </w:rPr>
        <w:t xml:space="preserve">Užsienio ir vidaus investuotojams </w:t>
      </w:r>
      <w:r w:rsidR="004033EC">
        <w:rPr>
          <w:rFonts w:ascii="Times New Roman" w:hAnsi="Times New Roman" w:cs="Times New Roman"/>
        </w:rPr>
        <w:t>Vyriausybė suteikia labai ženklias</w:t>
      </w:r>
      <w:r w:rsidR="00E4285A">
        <w:rPr>
          <w:rFonts w:ascii="Times New Roman" w:hAnsi="Times New Roman" w:cs="Times New Roman"/>
        </w:rPr>
        <w:t xml:space="preserve"> mokestines ir kitas</w:t>
      </w:r>
      <w:r w:rsidR="004033EC">
        <w:rPr>
          <w:rFonts w:ascii="Times New Roman" w:hAnsi="Times New Roman" w:cs="Times New Roman"/>
        </w:rPr>
        <w:t xml:space="preserve"> </w:t>
      </w:r>
      <w:r w:rsidR="00E4285A">
        <w:rPr>
          <w:rFonts w:ascii="Times New Roman" w:hAnsi="Times New Roman" w:cs="Times New Roman"/>
        </w:rPr>
        <w:t>lengvatas, galiojančias 10 metų.</w:t>
      </w:r>
      <w:r w:rsidR="008B4FFB">
        <w:rPr>
          <w:rFonts w:ascii="Times New Roman" w:hAnsi="Times New Roman" w:cs="Times New Roman"/>
        </w:rPr>
        <w:t xml:space="preserve"> Be to, </w:t>
      </w:r>
      <w:proofErr w:type="spellStart"/>
      <w:r w:rsidR="008B4FFB">
        <w:rPr>
          <w:rFonts w:ascii="Times New Roman" w:hAnsi="Times New Roman" w:cs="Times New Roman"/>
        </w:rPr>
        <w:t>Karabachą</w:t>
      </w:r>
      <w:proofErr w:type="spellEnd"/>
      <w:r w:rsidR="008B4FFB">
        <w:rPr>
          <w:rFonts w:ascii="Times New Roman" w:hAnsi="Times New Roman" w:cs="Times New Roman"/>
        </w:rPr>
        <w:t xml:space="preserve"> siekiama paversti „žaliąja energetikos zona.“</w:t>
      </w:r>
    </w:p>
    <w:p w14:paraId="7611C7AC" w14:textId="616BAC15" w:rsidR="004E7246" w:rsidRPr="00976F86" w:rsidRDefault="00630E25" w:rsidP="00976F86">
      <w:pPr>
        <w:pStyle w:val="ListParagraph"/>
        <w:numPr>
          <w:ilvl w:val="0"/>
          <w:numId w:val="18"/>
        </w:numPr>
        <w:jc w:val="both"/>
        <w:rPr>
          <w:rFonts w:ascii="Times New Roman" w:hAnsi="Times New Roman" w:cs="Times New Roman"/>
        </w:rPr>
      </w:pPr>
      <w:r w:rsidRPr="00976F86">
        <w:rPr>
          <w:rFonts w:ascii="Times New Roman" w:hAnsi="Times New Roman" w:cs="Times New Roman"/>
          <w:b/>
          <w:bCs/>
        </w:rPr>
        <w:t>Atsinaujina</w:t>
      </w:r>
      <w:r w:rsidR="00DA0ADC" w:rsidRPr="00976F86">
        <w:rPr>
          <w:rFonts w:ascii="Times New Roman" w:hAnsi="Times New Roman" w:cs="Times New Roman"/>
          <w:b/>
          <w:bCs/>
        </w:rPr>
        <w:t>nti</w:t>
      </w:r>
      <w:r w:rsidRPr="00976F86">
        <w:rPr>
          <w:rFonts w:ascii="Times New Roman" w:hAnsi="Times New Roman" w:cs="Times New Roman"/>
          <w:b/>
          <w:bCs/>
        </w:rPr>
        <w:t xml:space="preserve"> </w:t>
      </w:r>
      <w:r w:rsidR="00B80E50" w:rsidRPr="00976F86">
        <w:rPr>
          <w:rFonts w:ascii="Times New Roman" w:hAnsi="Times New Roman" w:cs="Times New Roman"/>
          <w:b/>
          <w:bCs/>
        </w:rPr>
        <w:t>energetik</w:t>
      </w:r>
      <w:r w:rsidR="00DA0ADC" w:rsidRPr="00976F86">
        <w:rPr>
          <w:rFonts w:ascii="Times New Roman" w:hAnsi="Times New Roman" w:cs="Times New Roman"/>
          <w:b/>
          <w:bCs/>
        </w:rPr>
        <w:t>a</w:t>
      </w:r>
      <w:r w:rsidR="00C90C87" w:rsidRPr="00976F86">
        <w:rPr>
          <w:rFonts w:ascii="Times New Roman" w:hAnsi="Times New Roman" w:cs="Times New Roman"/>
          <w:b/>
          <w:bCs/>
        </w:rPr>
        <w:t xml:space="preserve"> –</w:t>
      </w:r>
      <w:r w:rsidR="00976F86">
        <w:rPr>
          <w:rFonts w:ascii="Times New Roman" w:hAnsi="Times New Roman" w:cs="Times New Roman"/>
        </w:rPr>
        <w:t xml:space="preserve"> tikslas – </w:t>
      </w:r>
      <w:r w:rsidR="00CA36D4" w:rsidRPr="00976F86">
        <w:rPr>
          <w:rFonts w:ascii="Times New Roman" w:hAnsi="Times New Roman" w:cs="Times New Roman"/>
        </w:rPr>
        <w:t>pa</w:t>
      </w:r>
      <w:r w:rsidR="002C0AE4" w:rsidRPr="00976F86">
        <w:rPr>
          <w:rFonts w:ascii="Times New Roman" w:hAnsi="Times New Roman" w:cs="Times New Roman"/>
        </w:rPr>
        <w:t xml:space="preserve">didinti atsinaujinančios energijos dalį iki 30 </w:t>
      </w:r>
      <w:r w:rsidR="00B27F5C">
        <w:rPr>
          <w:rFonts w:ascii="Times New Roman" w:hAnsi="Times New Roman" w:cs="Times New Roman"/>
        </w:rPr>
        <w:t>proc.</w:t>
      </w:r>
      <w:r w:rsidR="002C0AE4" w:rsidRPr="00976F86">
        <w:rPr>
          <w:rFonts w:ascii="Times New Roman" w:hAnsi="Times New Roman" w:cs="Times New Roman"/>
        </w:rPr>
        <w:t xml:space="preserve"> </w:t>
      </w:r>
      <w:r w:rsidR="00761179" w:rsidRPr="00976F86">
        <w:rPr>
          <w:rFonts w:ascii="Times New Roman" w:hAnsi="Times New Roman" w:cs="Times New Roman"/>
        </w:rPr>
        <w:t xml:space="preserve">iki </w:t>
      </w:r>
      <w:r w:rsidR="002C0AE4" w:rsidRPr="00976F86">
        <w:rPr>
          <w:rFonts w:ascii="Times New Roman" w:hAnsi="Times New Roman" w:cs="Times New Roman"/>
        </w:rPr>
        <w:t xml:space="preserve">2030 m. </w:t>
      </w:r>
      <w:r w:rsidR="00B04A17" w:rsidRPr="00976F86">
        <w:rPr>
          <w:rFonts w:ascii="Times New Roman" w:hAnsi="Times New Roman" w:cs="Times New Roman"/>
        </w:rPr>
        <w:t>(šiuo metu siekia 10 proc.)</w:t>
      </w:r>
      <w:r w:rsidR="00761179" w:rsidRPr="00976F86">
        <w:rPr>
          <w:rFonts w:ascii="Times New Roman" w:hAnsi="Times New Roman" w:cs="Times New Roman"/>
        </w:rPr>
        <w:t>.</w:t>
      </w:r>
      <w:r w:rsidR="004E7246" w:rsidRPr="00976F86">
        <w:rPr>
          <w:rFonts w:ascii="Times New Roman" w:hAnsi="Times New Roman" w:cs="Times New Roman"/>
        </w:rPr>
        <w:t xml:space="preserve"> Žaliosios energijos projektai, taip pat energijos išgavimo iš buitinių atliekų projektai. Atsinaujinančios energetikos projektų derinimas su kitais sektoriais, pavyzdžiui, intensyviu žemės ūkiu.</w:t>
      </w:r>
      <w:r w:rsidR="00C834D6">
        <w:rPr>
          <w:rFonts w:ascii="Times New Roman" w:hAnsi="Times New Roman" w:cs="Times New Roman"/>
        </w:rPr>
        <w:t xml:space="preserve"> Atsinaujinančioje energetikoje strateginiais partneriais pasirinktos GCC (</w:t>
      </w:r>
      <w:r w:rsidR="00DD689D">
        <w:rPr>
          <w:rFonts w:ascii="Times New Roman" w:hAnsi="Times New Roman" w:cs="Times New Roman"/>
        </w:rPr>
        <w:t xml:space="preserve">visų pirma, </w:t>
      </w:r>
      <w:r w:rsidR="00C834D6">
        <w:rPr>
          <w:rFonts w:ascii="Times New Roman" w:hAnsi="Times New Roman" w:cs="Times New Roman"/>
        </w:rPr>
        <w:t>Saudo Arabija, JAE)</w:t>
      </w:r>
      <w:r w:rsidR="00DD689D">
        <w:rPr>
          <w:rFonts w:ascii="Times New Roman" w:hAnsi="Times New Roman" w:cs="Times New Roman"/>
        </w:rPr>
        <w:t xml:space="preserve"> bei Kinija.</w:t>
      </w:r>
      <w:r w:rsidR="001B09D8">
        <w:rPr>
          <w:rFonts w:ascii="Times New Roman" w:hAnsi="Times New Roman" w:cs="Times New Roman"/>
        </w:rPr>
        <w:t xml:space="preserve"> Ilgalaikė  strategija- </w:t>
      </w:r>
      <w:r w:rsidR="00814237">
        <w:rPr>
          <w:rFonts w:ascii="Times New Roman" w:hAnsi="Times New Roman" w:cs="Times New Roman"/>
        </w:rPr>
        <w:t>žaliosios energetikos eksportas į Europą per Juodąją jūrą.</w:t>
      </w:r>
    </w:p>
    <w:p w14:paraId="34DE8DC6" w14:textId="00A00B2B" w:rsidR="00B75B3B" w:rsidRPr="002A5305" w:rsidRDefault="004E7246" w:rsidP="002A5305">
      <w:pPr>
        <w:pStyle w:val="ListParagraph"/>
        <w:numPr>
          <w:ilvl w:val="0"/>
          <w:numId w:val="18"/>
        </w:numPr>
        <w:jc w:val="both"/>
        <w:rPr>
          <w:rFonts w:ascii="Times New Roman" w:hAnsi="Times New Roman" w:cs="Times New Roman"/>
        </w:rPr>
      </w:pPr>
      <w:r w:rsidRPr="002A5305">
        <w:rPr>
          <w:rFonts w:ascii="Times New Roman" w:hAnsi="Times New Roman" w:cs="Times New Roman"/>
          <w:b/>
          <w:bCs/>
        </w:rPr>
        <w:t>„</w:t>
      </w:r>
      <w:r w:rsidR="00976F86">
        <w:rPr>
          <w:rFonts w:ascii="Times New Roman" w:hAnsi="Times New Roman" w:cs="Times New Roman"/>
          <w:b/>
          <w:bCs/>
        </w:rPr>
        <w:t>I</w:t>
      </w:r>
      <w:r w:rsidRPr="002A5305">
        <w:rPr>
          <w:rFonts w:ascii="Times New Roman" w:hAnsi="Times New Roman" w:cs="Times New Roman"/>
          <w:b/>
          <w:bCs/>
        </w:rPr>
        <w:t>šmanus“ žemės ūkis</w:t>
      </w:r>
      <w:r w:rsidR="00B75B3B" w:rsidRPr="002A5305">
        <w:rPr>
          <w:rFonts w:ascii="Times New Roman" w:hAnsi="Times New Roman" w:cs="Times New Roman"/>
          <w:b/>
          <w:bCs/>
        </w:rPr>
        <w:t>, maisto gamyba/perdirbimas</w:t>
      </w:r>
      <w:r w:rsidR="00976F86">
        <w:rPr>
          <w:rFonts w:ascii="Times New Roman" w:hAnsi="Times New Roman" w:cs="Times New Roman"/>
          <w:b/>
          <w:bCs/>
        </w:rPr>
        <w:t xml:space="preserve"> (žiedinė ekonomika)</w:t>
      </w:r>
      <w:r w:rsidR="00B75B3B" w:rsidRPr="002A5305">
        <w:rPr>
          <w:rFonts w:ascii="Times New Roman" w:hAnsi="Times New Roman" w:cs="Times New Roman"/>
        </w:rPr>
        <w:t xml:space="preserve"> – siekiant mažinti maisto produktų importą; užaugintų ir pagamintų žaliavų perdirbimas;</w:t>
      </w:r>
      <w:r w:rsidRPr="002A5305">
        <w:rPr>
          <w:rFonts w:ascii="Times New Roman" w:hAnsi="Times New Roman" w:cs="Times New Roman"/>
        </w:rPr>
        <w:t xml:space="preserve"> vaisių ir daržovių šiltnamiai, intensyvūs atviri sodai, dirvožemio valymas/atstatymas.</w:t>
      </w:r>
    </w:p>
    <w:p w14:paraId="71FD9939" w14:textId="467CB1C3" w:rsidR="00B75B3B" w:rsidRPr="002A5305" w:rsidRDefault="00B75B3B" w:rsidP="002A5305">
      <w:pPr>
        <w:pStyle w:val="ListParagraph"/>
        <w:numPr>
          <w:ilvl w:val="0"/>
          <w:numId w:val="18"/>
        </w:numPr>
        <w:jc w:val="both"/>
        <w:rPr>
          <w:rFonts w:ascii="Times New Roman" w:hAnsi="Times New Roman" w:cs="Times New Roman"/>
        </w:rPr>
      </w:pPr>
      <w:r w:rsidRPr="002A5305">
        <w:rPr>
          <w:rFonts w:ascii="Times New Roman" w:hAnsi="Times New Roman" w:cs="Times New Roman"/>
          <w:b/>
          <w:bCs/>
        </w:rPr>
        <w:t xml:space="preserve">Turizmas </w:t>
      </w:r>
      <w:r w:rsidRPr="002A5305">
        <w:rPr>
          <w:rFonts w:ascii="Times New Roman" w:hAnsi="Times New Roman" w:cs="Times New Roman"/>
        </w:rPr>
        <w:t xml:space="preserve">– </w:t>
      </w:r>
      <w:r w:rsidR="00976F86">
        <w:rPr>
          <w:rFonts w:ascii="Times New Roman" w:hAnsi="Times New Roman" w:cs="Times New Roman"/>
        </w:rPr>
        <w:t xml:space="preserve">ypač </w:t>
      </w:r>
      <w:r w:rsidRPr="002A5305">
        <w:rPr>
          <w:rFonts w:ascii="Times New Roman" w:hAnsi="Times New Roman" w:cs="Times New Roman"/>
        </w:rPr>
        <w:t>investicijos į infrastruktūrą regionuose, taip pat atkovotuose regionuose.</w:t>
      </w:r>
    </w:p>
    <w:p w14:paraId="1194239E" w14:textId="37F6DB15" w:rsidR="00F10919" w:rsidRDefault="00B75B3B" w:rsidP="00F10919">
      <w:pPr>
        <w:pStyle w:val="ListParagraph"/>
        <w:numPr>
          <w:ilvl w:val="0"/>
          <w:numId w:val="18"/>
        </w:numPr>
        <w:jc w:val="both"/>
        <w:rPr>
          <w:rFonts w:ascii="Times New Roman" w:hAnsi="Times New Roman" w:cs="Times New Roman"/>
        </w:rPr>
      </w:pPr>
      <w:r w:rsidRPr="002A5305">
        <w:rPr>
          <w:rFonts w:ascii="Times New Roman" w:hAnsi="Times New Roman" w:cs="Times New Roman"/>
          <w:b/>
          <w:bCs/>
        </w:rPr>
        <w:t>Lengvoji pramonė, chemijos pramonė, farmacija</w:t>
      </w:r>
      <w:r w:rsidRPr="002A5305">
        <w:rPr>
          <w:rFonts w:ascii="Times New Roman" w:hAnsi="Times New Roman" w:cs="Times New Roman"/>
        </w:rPr>
        <w:t xml:space="preserve"> – </w:t>
      </w:r>
      <w:proofErr w:type="spellStart"/>
      <w:r w:rsidRPr="002A5305">
        <w:rPr>
          <w:rFonts w:ascii="Times New Roman" w:hAnsi="Times New Roman" w:cs="Times New Roman"/>
        </w:rPr>
        <w:t>Pirallahio</w:t>
      </w:r>
      <w:proofErr w:type="spellEnd"/>
      <w:r w:rsidRPr="002A5305">
        <w:rPr>
          <w:rFonts w:ascii="Times New Roman" w:hAnsi="Times New Roman" w:cs="Times New Roman"/>
        </w:rPr>
        <w:t xml:space="preserve"> </w:t>
      </w:r>
      <w:r w:rsidR="002A5305">
        <w:rPr>
          <w:rFonts w:ascii="Times New Roman" w:hAnsi="Times New Roman" w:cs="Times New Roman"/>
        </w:rPr>
        <w:t xml:space="preserve">gyvybės mokslų </w:t>
      </w:r>
      <w:r w:rsidRPr="002A5305">
        <w:rPr>
          <w:rFonts w:ascii="Times New Roman" w:hAnsi="Times New Roman" w:cs="Times New Roman"/>
        </w:rPr>
        <w:t>pramonės parko plėtra, ieškoma partnerių dalyvauti vaistų gamyboje</w:t>
      </w:r>
      <w:r w:rsidR="002A5305">
        <w:rPr>
          <w:rFonts w:ascii="Times New Roman" w:hAnsi="Times New Roman" w:cs="Times New Roman"/>
        </w:rPr>
        <w:t>; tekstilės pramonė</w:t>
      </w:r>
      <w:r w:rsidR="00976F86">
        <w:rPr>
          <w:rFonts w:ascii="Times New Roman" w:hAnsi="Times New Roman" w:cs="Times New Roman"/>
        </w:rPr>
        <w:t>.</w:t>
      </w:r>
    </w:p>
    <w:p w14:paraId="687F2F46" w14:textId="6B6E873E" w:rsidR="00E4285A" w:rsidRPr="00F10919" w:rsidRDefault="00E4285A" w:rsidP="00F10919">
      <w:pPr>
        <w:pStyle w:val="ListParagraph"/>
        <w:numPr>
          <w:ilvl w:val="0"/>
          <w:numId w:val="18"/>
        </w:numPr>
        <w:jc w:val="both"/>
        <w:rPr>
          <w:rFonts w:ascii="Times New Roman" w:hAnsi="Times New Roman" w:cs="Times New Roman"/>
        </w:rPr>
      </w:pPr>
      <w:r>
        <w:rPr>
          <w:rFonts w:ascii="Times New Roman" w:hAnsi="Times New Roman" w:cs="Times New Roman"/>
          <w:b/>
          <w:bCs/>
        </w:rPr>
        <w:t>Laisvųjų ekonominių zonų vystymas</w:t>
      </w:r>
      <w:r w:rsidRPr="00ED5AB4">
        <w:rPr>
          <w:rFonts w:ascii="Times New Roman" w:hAnsi="Times New Roman" w:cs="Times New Roman"/>
        </w:rPr>
        <w:t>.</w:t>
      </w:r>
    </w:p>
    <w:p w14:paraId="7A9D4A0E" w14:textId="17103E18" w:rsidR="00F10919" w:rsidRPr="002A5305" w:rsidRDefault="003467A5" w:rsidP="00F10919">
      <w:pPr>
        <w:jc w:val="both"/>
        <w:rPr>
          <w:rFonts w:ascii="Times New Roman" w:hAnsi="Times New Roman" w:cs="Times New Roman"/>
          <w:b/>
          <w:bCs/>
        </w:rPr>
      </w:pPr>
      <w:r>
        <w:rPr>
          <w:rFonts w:ascii="Times New Roman" w:hAnsi="Times New Roman" w:cs="Times New Roman"/>
          <w:b/>
          <w:bCs/>
        </w:rPr>
        <w:t>I</w:t>
      </w:r>
      <w:r w:rsidR="00F10919" w:rsidRPr="002A5305">
        <w:rPr>
          <w:rFonts w:ascii="Times New Roman" w:hAnsi="Times New Roman" w:cs="Times New Roman"/>
          <w:b/>
          <w:bCs/>
        </w:rPr>
        <w:t>ššūkiai</w:t>
      </w:r>
    </w:p>
    <w:p w14:paraId="7F2F0314" w14:textId="0247AD88" w:rsidR="00F10919" w:rsidRPr="002A5305" w:rsidRDefault="00F10919" w:rsidP="00F10919">
      <w:pPr>
        <w:pStyle w:val="ListParagraph"/>
        <w:numPr>
          <w:ilvl w:val="0"/>
          <w:numId w:val="19"/>
        </w:numPr>
        <w:jc w:val="both"/>
        <w:rPr>
          <w:rFonts w:ascii="Times New Roman" w:hAnsi="Times New Roman" w:cs="Times New Roman"/>
          <w:b/>
          <w:bCs/>
          <w:lang w:val="en-US"/>
        </w:rPr>
      </w:pPr>
      <w:r w:rsidRPr="002A5305">
        <w:rPr>
          <w:rFonts w:ascii="Times New Roman" w:hAnsi="Times New Roman" w:cs="Times New Roman"/>
          <w:b/>
          <w:bCs/>
        </w:rPr>
        <w:t xml:space="preserve">Priklausomybė nuo tradicinės energetikos. </w:t>
      </w:r>
      <w:r w:rsidRPr="002A5305">
        <w:rPr>
          <w:rFonts w:ascii="Times New Roman" w:hAnsi="Times New Roman" w:cs="Times New Roman"/>
        </w:rPr>
        <w:t xml:space="preserve">Didžioji eksporto pajamų dalis priklauso nuo energetikos sektoriaus, todėl kainų svyravimai tarptautinėse rinkose daro didelę įtaką ekonomikai. Pagal TVF prognozes, </w:t>
      </w:r>
      <w:r w:rsidRPr="00B27F5C">
        <w:rPr>
          <w:rFonts w:ascii="Times New Roman" w:hAnsi="Times New Roman" w:cs="Times New Roman"/>
          <w:b/>
          <w:bCs/>
        </w:rPr>
        <w:t>vidutinė AZ eksportuojamų gamtinių dujų kaina ir toliau mažės – 2026 m. sieks 380,4 JAV USD už tūkstantį kubinių metrų</w:t>
      </w:r>
      <w:r w:rsidRPr="002A5305">
        <w:rPr>
          <w:rFonts w:ascii="Times New Roman" w:hAnsi="Times New Roman" w:cs="Times New Roman"/>
        </w:rPr>
        <w:t xml:space="preserve"> (2025 m. buvo 425,4 USD). Be to, iki 2032 m. prognozuojama mažėjimo tendencija </w:t>
      </w:r>
      <w:r>
        <w:rPr>
          <w:rFonts w:ascii="Times New Roman" w:hAnsi="Times New Roman" w:cs="Times New Roman"/>
        </w:rPr>
        <w:t>(</w:t>
      </w:r>
      <w:r w:rsidRPr="002A5305">
        <w:rPr>
          <w:rFonts w:ascii="Times New Roman" w:hAnsi="Times New Roman" w:cs="Times New Roman"/>
        </w:rPr>
        <w:t>iki 287,1 USD</w:t>
      </w:r>
      <w:r>
        <w:rPr>
          <w:rFonts w:ascii="Times New Roman" w:hAnsi="Times New Roman" w:cs="Times New Roman"/>
        </w:rPr>
        <w:t>)</w:t>
      </w:r>
      <w:r w:rsidRPr="002A5305">
        <w:rPr>
          <w:rFonts w:ascii="Times New Roman" w:hAnsi="Times New Roman" w:cs="Times New Roman"/>
        </w:rPr>
        <w:t>. Naftos kainų perspektyva tik šiek tiek palankesnė. TVF vertinimu, vidutinė „</w:t>
      </w:r>
      <w:proofErr w:type="spellStart"/>
      <w:r w:rsidRPr="002A5305">
        <w:rPr>
          <w:rFonts w:ascii="Times New Roman" w:hAnsi="Times New Roman" w:cs="Times New Roman"/>
        </w:rPr>
        <w:t>Azeri</w:t>
      </w:r>
      <w:proofErr w:type="spellEnd"/>
      <w:r w:rsidRPr="002A5305">
        <w:rPr>
          <w:rFonts w:ascii="Times New Roman" w:hAnsi="Times New Roman" w:cs="Times New Roman"/>
        </w:rPr>
        <w:t xml:space="preserve"> </w:t>
      </w:r>
      <w:proofErr w:type="spellStart"/>
      <w:r w:rsidRPr="002A5305">
        <w:rPr>
          <w:rFonts w:ascii="Times New Roman" w:hAnsi="Times New Roman" w:cs="Times New Roman"/>
        </w:rPr>
        <w:t>Light</w:t>
      </w:r>
      <w:proofErr w:type="spellEnd"/>
      <w:r w:rsidRPr="002A5305">
        <w:rPr>
          <w:rFonts w:ascii="Times New Roman" w:hAnsi="Times New Roman" w:cs="Times New Roman"/>
        </w:rPr>
        <w:t xml:space="preserve">“ naftos eksporto kaina 2026 m. sieks 66,7 USD už barelį. Vėlesniais metais kainos turėtų augti tik nežymiai ir 2031 m. pasiekti 68,5 USD už barelį. </w:t>
      </w:r>
      <w:r w:rsidR="00257E33">
        <w:rPr>
          <w:rFonts w:ascii="Times New Roman" w:hAnsi="Times New Roman" w:cs="Times New Roman"/>
        </w:rPr>
        <w:t xml:space="preserve">Tačiau išgaunamos naftos savikaina sparčiai kyla ir norint išlaikyti </w:t>
      </w:r>
      <w:r w:rsidR="00536AF1">
        <w:rPr>
          <w:rFonts w:ascii="Times New Roman" w:hAnsi="Times New Roman" w:cs="Times New Roman"/>
        </w:rPr>
        <w:t xml:space="preserve">stabilias ir didelis pajamas iš naftos, Azerbaidžanui reikia ženklių investicijų į naftos sektorių. </w:t>
      </w:r>
      <w:r w:rsidRPr="002A5305">
        <w:rPr>
          <w:rFonts w:ascii="Times New Roman" w:hAnsi="Times New Roman" w:cs="Times New Roman"/>
        </w:rPr>
        <w:t xml:space="preserve">Atsižvelgiant į tai, ekspertai pabrėžia, kad pagrindinis AZ vidutinės ir ilgalaikės trukmės tikslas yra mažinti priklausomybę nuo angliavandenilių sektoriaus ir skatinti ekonomikos diversifikaciją, stiprinant privataus sektoriaus vaidmenį. </w:t>
      </w:r>
    </w:p>
    <w:p w14:paraId="3139346F" w14:textId="67664041" w:rsidR="00F10919" w:rsidRPr="00F0691B" w:rsidRDefault="00F10919" w:rsidP="00F10919">
      <w:pPr>
        <w:pStyle w:val="ListParagraph"/>
        <w:numPr>
          <w:ilvl w:val="0"/>
          <w:numId w:val="19"/>
        </w:numPr>
        <w:jc w:val="both"/>
        <w:rPr>
          <w:rFonts w:ascii="Times New Roman" w:eastAsia="Times New Roman" w:hAnsi="Times New Roman" w:cs="Times New Roman"/>
        </w:rPr>
      </w:pPr>
      <w:r w:rsidRPr="002A5305">
        <w:rPr>
          <w:rFonts w:ascii="Times New Roman" w:hAnsi="Times New Roman" w:cs="Times New Roman"/>
          <w:b/>
          <w:bCs/>
        </w:rPr>
        <w:t>Korupcija</w:t>
      </w:r>
      <w:r>
        <w:rPr>
          <w:rFonts w:ascii="Times New Roman" w:hAnsi="Times New Roman" w:cs="Times New Roman"/>
          <w:b/>
          <w:bCs/>
        </w:rPr>
        <w:t xml:space="preserve">, </w:t>
      </w:r>
      <w:r w:rsidRPr="002A5305">
        <w:rPr>
          <w:rFonts w:ascii="Times New Roman" w:hAnsi="Times New Roman" w:cs="Times New Roman"/>
          <w:b/>
          <w:bCs/>
        </w:rPr>
        <w:t xml:space="preserve">verslo aplinkos </w:t>
      </w:r>
      <w:r>
        <w:rPr>
          <w:rFonts w:ascii="Times New Roman" w:hAnsi="Times New Roman" w:cs="Times New Roman"/>
          <w:b/>
          <w:bCs/>
        </w:rPr>
        <w:t>nestabilumas</w:t>
      </w:r>
      <w:r w:rsidRPr="002A5305">
        <w:rPr>
          <w:rFonts w:ascii="Times New Roman" w:hAnsi="Times New Roman" w:cs="Times New Roman"/>
          <w:b/>
          <w:bCs/>
        </w:rPr>
        <w:t>:</w:t>
      </w:r>
      <w:r w:rsidRPr="002A5305">
        <w:rPr>
          <w:rFonts w:ascii="Times New Roman" w:hAnsi="Times New Roman" w:cs="Times New Roman"/>
        </w:rPr>
        <w:t xml:space="preserve"> aukšti korupcijos rodikliai ir iššūkiai valdymo skaidrumui. TVF vertinimu, siekiant didinti privataus sektoriaus vaidmenį ekonomikos diversifikacijoje bei pritraukti TUI – būtina gilinti kapitalo rinkas, kad būtų pagerinta privataus sektoriaus prieiga </w:t>
      </w:r>
      <w:r w:rsidRPr="00B0725B">
        <w:rPr>
          <w:rFonts w:ascii="Times New Roman" w:hAnsi="Times New Roman" w:cs="Times New Roman"/>
        </w:rPr>
        <w:t xml:space="preserve">prie finansavimo, didinti darbo našumą investuojant į žmogiškąjį kapitalą ir tęsti reformas, skirtas mažinti neoficialų užimtumą darbo rinkoje. Svarbu paminėti ir </w:t>
      </w:r>
      <w:r w:rsidRPr="00B0725B">
        <w:rPr>
          <w:rFonts w:ascii="Times New Roman" w:eastAsia="Times New Roman" w:hAnsi="Times New Roman" w:cs="Times New Roman"/>
        </w:rPr>
        <w:t xml:space="preserve">teisinės bazės aiškumo stoką, pvz., šių metų </w:t>
      </w:r>
      <w:r w:rsidRPr="00B0725B">
        <w:rPr>
          <w:rFonts w:ascii="Times New Roman" w:hAnsi="Times New Roman" w:cs="Times New Roman"/>
        </w:rPr>
        <w:t xml:space="preserve">vasario 13 d. AZ parlamentas priėmė įstatymo „Dėl investicinės veiklos“ pataisas, kurios įgalina valstybę perimti investicijas, ypač strategiškai svarbias, siekiant apsaugoti nacionalinius interesus. Tai kelia papildomų rizikų </w:t>
      </w:r>
      <w:r w:rsidRPr="00B0725B">
        <w:rPr>
          <w:rFonts w:ascii="Times New Roman" w:eastAsia="Times New Roman" w:hAnsi="Times New Roman" w:cs="Times New Roman"/>
        </w:rPr>
        <w:t>investuotojų pasitikėjimui.</w:t>
      </w:r>
    </w:p>
    <w:p w14:paraId="6A4E583E" w14:textId="28122B07" w:rsidR="00B0725B" w:rsidRPr="00F10919" w:rsidRDefault="00F10919" w:rsidP="00F10919">
      <w:pPr>
        <w:jc w:val="center"/>
        <w:rPr>
          <w:rFonts w:ascii="Times New Roman" w:hAnsi="Times New Roman" w:cs="Times New Roman"/>
          <w:b/>
          <w:bCs/>
        </w:rPr>
      </w:pPr>
      <w:r w:rsidRPr="00F10919">
        <w:rPr>
          <w:rFonts w:ascii="Times New Roman" w:hAnsi="Times New Roman" w:cs="Times New Roman"/>
          <w:b/>
          <w:bCs/>
        </w:rPr>
        <w:lastRenderedPageBreak/>
        <w:t>SSGG</w:t>
      </w:r>
    </w:p>
    <w:tbl>
      <w:tblPr>
        <w:tblStyle w:val="TableGrid"/>
        <w:tblW w:w="0" w:type="auto"/>
        <w:tblLook w:val="04A0" w:firstRow="1" w:lastRow="0" w:firstColumn="1" w:lastColumn="0" w:noHBand="0" w:noVBand="1"/>
      </w:tblPr>
      <w:tblGrid>
        <w:gridCol w:w="4814"/>
        <w:gridCol w:w="4814"/>
      </w:tblGrid>
      <w:tr w:rsidR="00B0725B" w14:paraId="29E8A313" w14:textId="77777777" w:rsidTr="00B0725B">
        <w:tc>
          <w:tcPr>
            <w:tcW w:w="4814" w:type="dxa"/>
          </w:tcPr>
          <w:p w14:paraId="0F40248D" w14:textId="34391162" w:rsidR="00B0725B" w:rsidRDefault="00B0725B" w:rsidP="00F10919">
            <w:pPr>
              <w:jc w:val="center"/>
              <w:rPr>
                <w:rFonts w:ascii="Times New Roman" w:hAnsi="Times New Roman" w:cs="Times New Roman"/>
              </w:rPr>
            </w:pPr>
            <w:r w:rsidRPr="008F02C5">
              <w:rPr>
                <w:rFonts w:ascii="Times New Roman" w:eastAsia="Times New Roman" w:hAnsi="Times New Roman" w:cs="Times New Roman"/>
                <w:b/>
                <w:bCs/>
                <w:kern w:val="0"/>
                <w:lang w:eastAsia="lt-LT"/>
                <w14:ligatures w14:val="none"/>
              </w:rPr>
              <w:t>STIPRYBĖS</w:t>
            </w:r>
          </w:p>
        </w:tc>
        <w:tc>
          <w:tcPr>
            <w:tcW w:w="4814" w:type="dxa"/>
          </w:tcPr>
          <w:p w14:paraId="2AC6DBBD" w14:textId="6F29589E" w:rsidR="00B0725B" w:rsidRDefault="00B0725B" w:rsidP="00F10919">
            <w:pPr>
              <w:jc w:val="center"/>
              <w:rPr>
                <w:rFonts w:ascii="Times New Roman" w:hAnsi="Times New Roman" w:cs="Times New Roman"/>
              </w:rPr>
            </w:pPr>
            <w:r w:rsidRPr="008F02C5">
              <w:rPr>
                <w:rFonts w:ascii="Times New Roman" w:eastAsia="Times New Roman" w:hAnsi="Times New Roman" w:cs="Times New Roman"/>
                <w:b/>
                <w:bCs/>
                <w:kern w:val="0"/>
                <w:lang w:eastAsia="lt-LT"/>
                <w14:ligatures w14:val="none"/>
              </w:rPr>
              <w:t>SILPNYBĖS</w:t>
            </w:r>
          </w:p>
        </w:tc>
      </w:tr>
      <w:tr w:rsidR="00B0725B" w14:paraId="3B564013" w14:textId="77777777" w:rsidTr="00B0725B">
        <w:tc>
          <w:tcPr>
            <w:tcW w:w="4814" w:type="dxa"/>
          </w:tcPr>
          <w:p w14:paraId="6DE88FE7" w14:textId="0C043DB6" w:rsidR="00B0725B" w:rsidRDefault="00B0725B" w:rsidP="00B0725B">
            <w:pPr>
              <w:jc w:val="both"/>
              <w:rPr>
                <w:rFonts w:ascii="Times New Roman" w:hAnsi="Times New Roman" w:cs="Times New Roman"/>
              </w:rPr>
            </w:pPr>
            <w:r w:rsidRPr="008F02C5">
              <w:rPr>
                <w:rFonts w:ascii="Times New Roman" w:eastAsia="Times New Roman" w:hAnsi="Times New Roman" w:cs="Times New Roman"/>
                <w:b/>
                <w:bCs/>
                <w:kern w:val="0"/>
                <w:lang w:eastAsia="lt-LT"/>
                <w14:ligatures w14:val="none"/>
              </w:rPr>
              <w:t>Angliavandenilių ištekliai</w:t>
            </w:r>
            <w:r w:rsidRPr="008F02C5">
              <w:rPr>
                <w:rFonts w:ascii="Times New Roman" w:eastAsia="Times New Roman" w:hAnsi="Times New Roman" w:cs="Times New Roman"/>
                <w:kern w:val="0"/>
                <w:lang w:eastAsia="lt-LT"/>
                <w14:ligatures w14:val="none"/>
              </w:rPr>
              <w:t xml:space="preserve"> – didelės naftos ir dujų atsargos, stiprinančios ekonomiką; veikia Valstybinis naftos fondas (SOFAZ), užtikrinantis makroekonominį stabilumą.</w:t>
            </w:r>
          </w:p>
        </w:tc>
        <w:tc>
          <w:tcPr>
            <w:tcW w:w="4814" w:type="dxa"/>
          </w:tcPr>
          <w:p w14:paraId="0DE59372" w14:textId="4961740E" w:rsidR="00B0725B" w:rsidRDefault="00B0725B" w:rsidP="00B0725B">
            <w:pPr>
              <w:jc w:val="both"/>
              <w:rPr>
                <w:rFonts w:ascii="Times New Roman" w:hAnsi="Times New Roman" w:cs="Times New Roman"/>
              </w:rPr>
            </w:pPr>
            <w:r w:rsidRPr="008F02C5">
              <w:rPr>
                <w:rFonts w:ascii="Times New Roman" w:eastAsia="Times New Roman" w:hAnsi="Times New Roman" w:cs="Times New Roman"/>
                <w:b/>
                <w:bCs/>
                <w:kern w:val="0"/>
                <w:lang w:eastAsia="lt-LT"/>
                <w14:ligatures w14:val="none"/>
              </w:rPr>
              <w:t xml:space="preserve">Priklausomybė nuo </w:t>
            </w:r>
            <w:r>
              <w:rPr>
                <w:rFonts w:ascii="Times New Roman" w:eastAsia="Times New Roman" w:hAnsi="Times New Roman" w:cs="Times New Roman"/>
                <w:b/>
                <w:bCs/>
                <w:kern w:val="0"/>
                <w:lang w:eastAsia="lt-LT"/>
                <w14:ligatures w14:val="none"/>
              </w:rPr>
              <w:t>tradicinės energetikos, m</w:t>
            </w:r>
            <w:r w:rsidRPr="008F02C5">
              <w:rPr>
                <w:rFonts w:ascii="Times New Roman" w:eastAsia="Times New Roman" w:hAnsi="Times New Roman" w:cs="Times New Roman"/>
                <w:b/>
                <w:bCs/>
                <w:kern w:val="0"/>
                <w:lang w:eastAsia="lt-LT"/>
                <w14:ligatures w14:val="none"/>
              </w:rPr>
              <w:t>aža ekonomikos diversifikacija</w:t>
            </w:r>
            <w:r w:rsidRPr="008F02C5">
              <w:rPr>
                <w:rFonts w:ascii="Times New Roman" w:eastAsia="Times New Roman" w:hAnsi="Times New Roman" w:cs="Times New Roman"/>
                <w:kern w:val="0"/>
                <w:lang w:eastAsia="lt-LT"/>
                <w14:ligatures w14:val="none"/>
              </w:rPr>
              <w:t xml:space="preserve"> – ekonomika jautri pasaulinėms energijos kainų svyravimams; silpnai išvystyti kiti sektoriai (žemės ūkis, gamyba, paslaugos).</w:t>
            </w:r>
          </w:p>
        </w:tc>
      </w:tr>
      <w:tr w:rsidR="00B0725B" w14:paraId="0CD898C5" w14:textId="77777777" w:rsidTr="00B0725B">
        <w:tc>
          <w:tcPr>
            <w:tcW w:w="4814" w:type="dxa"/>
          </w:tcPr>
          <w:p w14:paraId="4595F6ED" w14:textId="5270FEB8" w:rsidR="00B0725B" w:rsidRDefault="00B0725B" w:rsidP="00B0725B">
            <w:pPr>
              <w:jc w:val="both"/>
              <w:rPr>
                <w:rFonts w:ascii="Times New Roman" w:hAnsi="Times New Roman" w:cs="Times New Roman"/>
              </w:rPr>
            </w:pPr>
            <w:r w:rsidRPr="008F02C5">
              <w:rPr>
                <w:rFonts w:ascii="Times New Roman" w:eastAsia="Times New Roman" w:hAnsi="Times New Roman" w:cs="Times New Roman"/>
                <w:b/>
                <w:bCs/>
                <w:kern w:val="0"/>
                <w:lang w:eastAsia="lt-LT"/>
                <w14:ligatures w14:val="none"/>
              </w:rPr>
              <w:t>Strateginė geografinė padėtis</w:t>
            </w:r>
            <w:r w:rsidRPr="008F02C5">
              <w:rPr>
                <w:rFonts w:ascii="Times New Roman" w:eastAsia="Times New Roman" w:hAnsi="Times New Roman" w:cs="Times New Roman"/>
                <w:kern w:val="0"/>
                <w:lang w:eastAsia="lt-LT"/>
                <w14:ligatures w14:val="none"/>
              </w:rPr>
              <w:t xml:space="preserve"> – šalis yra tarp Europos ir Azijos, svarbus tranzito ir energetikos koridorius („Viduri</w:t>
            </w:r>
            <w:r w:rsidR="00573CFC">
              <w:rPr>
                <w:rFonts w:ascii="Times New Roman" w:eastAsia="Times New Roman" w:hAnsi="Times New Roman" w:cs="Times New Roman"/>
                <w:kern w:val="0"/>
                <w:lang w:eastAsia="lt-LT"/>
                <w14:ligatures w14:val="none"/>
              </w:rPr>
              <w:t>o</w:t>
            </w:r>
            <w:r w:rsidRPr="008F02C5">
              <w:rPr>
                <w:rFonts w:ascii="Times New Roman" w:eastAsia="Times New Roman" w:hAnsi="Times New Roman" w:cs="Times New Roman"/>
                <w:kern w:val="0"/>
                <w:lang w:eastAsia="lt-LT"/>
                <w14:ligatures w14:val="none"/>
              </w:rPr>
              <w:t xml:space="preserve"> koridorius“</w:t>
            </w:r>
            <w:r w:rsidR="00573CFC">
              <w:rPr>
                <w:rFonts w:ascii="Times New Roman" w:eastAsia="Times New Roman" w:hAnsi="Times New Roman" w:cs="Times New Roman"/>
                <w:kern w:val="0"/>
                <w:lang w:eastAsia="lt-LT"/>
                <w14:ligatures w14:val="none"/>
              </w:rPr>
              <w:t xml:space="preserve">, </w:t>
            </w:r>
            <w:proofErr w:type="spellStart"/>
            <w:r w:rsidR="00573CFC">
              <w:rPr>
                <w:rFonts w:ascii="Times New Roman" w:eastAsia="Times New Roman" w:hAnsi="Times New Roman" w:cs="Times New Roman"/>
                <w:kern w:val="0"/>
                <w:lang w:eastAsia="lt-LT"/>
                <w14:ligatures w14:val="none"/>
              </w:rPr>
              <w:t>Transkaspijos</w:t>
            </w:r>
            <w:proofErr w:type="spellEnd"/>
            <w:r w:rsidR="00573CFC">
              <w:rPr>
                <w:rFonts w:ascii="Times New Roman" w:eastAsia="Times New Roman" w:hAnsi="Times New Roman" w:cs="Times New Roman"/>
                <w:kern w:val="0"/>
                <w:lang w:eastAsia="lt-LT"/>
                <w14:ligatures w14:val="none"/>
              </w:rPr>
              <w:t xml:space="preserve"> koridorius ir t.t.</w:t>
            </w:r>
            <w:r w:rsidRPr="008F02C5">
              <w:rPr>
                <w:rFonts w:ascii="Times New Roman" w:eastAsia="Times New Roman" w:hAnsi="Times New Roman" w:cs="Times New Roman"/>
                <w:kern w:val="0"/>
                <w:lang w:eastAsia="lt-LT"/>
                <w14:ligatures w14:val="none"/>
              </w:rPr>
              <w:t>).</w:t>
            </w:r>
          </w:p>
        </w:tc>
        <w:tc>
          <w:tcPr>
            <w:tcW w:w="4814" w:type="dxa"/>
          </w:tcPr>
          <w:p w14:paraId="252EBB6A" w14:textId="02F61043" w:rsidR="00B0725B" w:rsidRDefault="009A3D13" w:rsidP="00B0725B">
            <w:pPr>
              <w:jc w:val="both"/>
              <w:rPr>
                <w:rFonts w:ascii="Times New Roman" w:hAnsi="Times New Roman" w:cs="Times New Roman"/>
              </w:rPr>
            </w:pPr>
            <w:r>
              <w:rPr>
                <w:rFonts w:ascii="Times New Roman" w:eastAsia="Times New Roman" w:hAnsi="Times New Roman" w:cs="Times New Roman"/>
                <w:b/>
                <w:bCs/>
                <w:kern w:val="0"/>
                <w:lang w:eastAsia="lt-LT"/>
                <w14:ligatures w14:val="none"/>
              </w:rPr>
              <w:t>Ribota konkurencija, p</w:t>
            </w:r>
            <w:r w:rsidR="00B0725B" w:rsidRPr="008F02C5">
              <w:rPr>
                <w:rFonts w:ascii="Times New Roman" w:eastAsia="Times New Roman" w:hAnsi="Times New Roman" w:cs="Times New Roman"/>
                <w:b/>
                <w:bCs/>
                <w:kern w:val="0"/>
                <w:lang w:eastAsia="lt-LT"/>
                <w14:ligatures w14:val="none"/>
              </w:rPr>
              <w:t>olitinės galios koncentracija</w:t>
            </w:r>
            <w:r w:rsidR="00B0725B" w:rsidRPr="008F02C5">
              <w:rPr>
                <w:rFonts w:ascii="Times New Roman" w:eastAsia="Times New Roman" w:hAnsi="Times New Roman" w:cs="Times New Roman"/>
                <w:kern w:val="0"/>
                <w:lang w:eastAsia="lt-LT"/>
                <w14:ligatures w14:val="none"/>
              </w:rPr>
              <w:t xml:space="preserve"> </w:t>
            </w:r>
            <w:r w:rsidR="00B0725B" w:rsidRPr="008F02C5">
              <w:rPr>
                <w:rFonts w:ascii="Times New Roman" w:eastAsia="Times New Roman" w:hAnsi="Times New Roman" w:cs="Times New Roman"/>
                <w:b/>
                <w:bCs/>
                <w:kern w:val="0"/>
                <w:lang w:eastAsia="lt-LT"/>
                <w14:ligatures w14:val="none"/>
              </w:rPr>
              <w:t>ir korupcija</w:t>
            </w:r>
            <w:r w:rsidR="00B0725B" w:rsidRPr="008F02C5">
              <w:rPr>
                <w:rFonts w:ascii="Times New Roman" w:eastAsia="Times New Roman" w:hAnsi="Times New Roman" w:cs="Times New Roman"/>
                <w:kern w:val="0"/>
                <w:lang w:eastAsia="lt-LT"/>
                <w14:ligatures w14:val="none"/>
              </w:rPr>
              <w:t xml:space="preserve"> – silpnos institucijos, ribota žiniasklaidos laisvė, </w:t>
            </w:r>
            <w:r w:rsidR="00B0725B">
              <w:rPr>
                <w:rFonts w:ascii="Times New Roman" w:eastAsia="Times New Roman" w:hAnsi="Times New Roman" w:cs="Times New Roman"/>
                <w:kern w:val="0"/>
                <w:lang w:eastAsia="lt-LT"/>
                <w14:ligatures w14:val="none"/>
              </w:rPr>
              <w:t xml:space="preserve">žmogaus teisių pažeidimai, </w:t>
            </w:r>
            <w:r w:rsidR="00B0725B" w:rsidRPr="008F02C5">
              <w:rPr>
                <w:rFonts w:ascii="Times New Roman" w:eastAsia="Times New Roman" w:hAnsi="Times New Roman" w:cs="Times New Roman"/>
                <w:kern w:val="0"/>
                <w:lang w:eastAsia="lt-LT"/>
                <w14:ligatures w14:val="none"/>
              </w:rPr>
              <w:t>ribo</w:t>
            </w:r>
            <w:r w:rsidR="00B0725B">
              <w:rPr>
                <w:rFonts w:ascii="Times New Roman" w:eastAsia="Times New Roman" w:hAnsi="Times New Roman" w:cs="Times New Roman"/>
                <w:kern w:val="0"/>
                <w:lang w:eastAsia="lt-LT"/>
                <w14:ligatures w14:val="none"/>
              </w:rPr>
              <w:t>jamas</w:t>
            </w:r>
            <w:r w:rsidR="00B0725B" w:rsidRPr="008F02C5">
              <w:rPr>
                <w:rFonts w:ascii="Times New Roman" w:eastAsia="Times New Roman" w:hAnsi="Times New Roman" w:cs="Times New Roman"/>
                <w:kern w:val="0"/>
                <w:lang w:eastAsia="lt-LT"/>
                <w14:ligatures w14:val="none"/>
              </w:rPr>
              <w:t xml:space="preserve"> politinis pl</w:t>
            </w:r>
            <w:r w:rsidR="00B0725B">
              <w:rPr>
                <w:rFonts w:ascii="Times New Roman" w:eastAsia="Times New Roman" w:hAnsi="Times New Roman" w:cs="Times New Roman"/>
                <w:kern w:val="0"/>
                <w:lang w:eastAsia="lt-LT"/>
                <w14:ligatures w14:val="none"/>
              </w:rPr>
              <w:t>i</w:t>
            </w:r>
            <w:r w:rsidR="00B0725B" w:rsidRPr="008F02C5">
              <w:rPr>
                <w:rFonts w:ascii="Times New Roman" w:eastAsia="Times New Roman" w:hAnsi="Times New Roman" w:cs="Times New Roman"/>
                <w:kern w:val="0"/>
                <w:lang w:eastAsia="lt-LT"/>
                <w14:ligatures w14:val="none"/>
              </w:rPr>
              <w:t>uralizmas</w:t>
            </w:r>
            <w:r w:rsidR="00B0725B">
              <w:rPr>
                <w:rFonts w:ascii="Times New Roman" w:eastAsia="Times New Roman" w:hAnsi="Times New Roman" w:cs="Times New Roman"/>
                <w:kern w:val="0"/>
                <w:lang w:eastAsia="lt-LT"/>
                <w14:ligatures w14:val="none"/>
              </w:rPr>
              <w:t xml:space="preserve"> –</w:t>
            </w:r>
            <w:r w:rsidR="00B0725B" w:rsidRPr="008F02C5">
              <w:rPr>
                <w:rFonts w:ascii="Times New Roman" w:eastAsia="Times New Roman" w:hAnsi="Times New Roman" w:cs="Times New Roman"/>
                <w:kern w:val="0"/>
                <w:lang w:eastAsia="lt-LT"/>
                <w14:ligatures w14:val="none"/>
              </w:rPr>
              <w:t xml:space="preserve"> mažesnis investuotojų pasitikėjimas</w:t>
            </w:r>
          </w:p>
        </w:tc>
      </w:tr>
      <w:tr w:rsidR="00B0725B" w14:paraId="3A7B8B7E" w14:textId="77777777" w:rsidTr="00B0725B">
        <w:tc>
          <w:tcPr>
            <w:tcW w:w="4814" w:type="dxa"/>
          </w:tcPr>
          <w:p w14:paraId="10B36A21" w14:textId="1E429CBD" w:rsidR="00B0725B" w:rsidRDefault="00B0725B" w:rsidP="00B0725B">
            <w:pPr>
              <w:jc w:val="both"/>
              <w:rPr>
                <w:rFonts w:ascii="Times New Roman" w:hAnsi="Times New Roman" w:cs="Times New Roman"/>
              </w:rPr>
            </w:pPr>
            <w:r w:rsidRPr="008F02C5">
              <w:rPr>
                <w:rFonts w:ascii="Times New Roman" w:eastAsia="Times New Roman" w:hAnsi="Times New Roman" w:cs="Times New Roman"/>
                <w:b/>
                <w:bCs/>
                <w:kern w:val="0"/>
                <w:lang w:eastAsia="lt-LT"/>
                <w14:ligatures w14:val="none"/>
              </w:rPr>
              <w:t>Infrastruktūros plėtra</w:t>
            </w:r>
            <w:r w:rsidRPr="008F02C5">
              <w:rPr>
                <w:rFonts w:ascii="Times New Roman" w:eastAsia="Times New Roman" w:hAnsi="Times New Roman" w:cs="Times New Roman"/>
                <w:kern w:val="0"/>
                <w:lang w:eastAsia="lt-LT"/>
                <w14:ligatures w14:val="none"/>
              </w:rPr>
              <w:t xml:space="preserve"> – investicijos į transportą, komunikacijas, miestų modernizavimą, </w:t>
            </w:r>
            <w:r w:rsidR="00573CFC">
              <w:rPr>
                <w:rFonts w:ascii="Times New Roman" w:eastAsia="Times New Roman" w:hAnsi="Times New Roman" w:cs="Times New Roman"/>
                <w:kern w:val="0"/>
                <w:lang w:eastAsia="lt-LT"/>
                <w14:ligatures w14:val="none"/>
              </w:rPr>
              <w:t>atkovotų teritorijų atstatymą.</w:t>
            </w:r>
          </w:p>
        </w:tc>
        <w:tc>
          <w:tcPr>
            <w:tcW w:w="4814" w:type="dxa"/>
          </w:tcPr>
          <w:p w14:paraId="5F19C09C" w14:textId="0A88C1CA" w:rsidR="00B0725B" w:rsidRDefault="00F54B6B" w:rsidP="00B0725B">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Darbo rinka ir d</w:t>
            </w:r>
            <w:r w:rsidR="00B0725B" w:rsidRPr="008F02C5">
              <w:rPr>
                <w:rFonts w:ascii="Times New Roman" w:eastAsia="Times New Roman" w:hAnsi="Times New Roman" w:cs="Times New Roman"/>
                <w:b/>
                <w:bCs/>
                <w:kern w:val="0"/>
                <w:lang w:eastAsia="lt-LT"/>
                <w14:ligatures w14:val="none"/>
              </w:rPr>
              <w:t>emografiniai iššūkiai</w:t>
            </w:r>
            <w:r w:rsidR="00B0725B" w:rsidRPr="008F02C5">
              <w:rPr>
                <w:rFonts w:ascii="Times New Roman" w:eastAsia="Times New Roman" w:hAnsi="Times New Roman" w:cs="Times New Roman"/>
                <w:kern w:val="0"/>
                <w:lang w:eastAsia="lt-LT"/>
                <w14:ligatures w14:val="none"/>
              </w:rPr>
              <w:t xml:space="preserve"> – lėtas gyventojų augimas ir visuomenės senėjimas</w:t>
            </w:r>
            <w:r w:rsidR="00A81CBF">
              <w:rPr>
                <w:rFonts w:ascii="Times New Roman" w:eastAsia="Times New Roman" w:hAnsi="Times New Roman" w:cs="Times New Roman"/>
                <w:kern w:val="0"/>
                <w:lang w:eastAsia="lt-LT"/>
                <w14:ligatures w14:val="none"/>
              </w:rPr>
              <w:t xml:space="preserve">, didžiulė regioninė nelygybė </w:t>
            </w:r>
            <w:r w:rsidR="00B27F5C">
              <w:rPr>
                <w:rFonts w:ascii="Times New Roman" w:eastAsia="Times New Roman" w:hAnsi="Times New Roman" w:cs="Times New Roman"/>
                <w:kern w:val="0"/>
                <w:lang w:eastAsia="lt-LT"/>
                <w14:ligatures w14:val="none"/>
              </w:rPr>
              <w:t xml:space="preserve">– </w:t>
            </w:r>
            <w:r w:rsidR="00A81CBF" w:rsidRPr="00B27F5C">
              <w:rPr>
                <w:rFonts w:ascii="Times New Roman" w:eastAsia="Times New Roman" w:hAnsi="Times New Roman" w:cs="Times New Roman"/>
                <w:i/>
                <w:iCs/>
                <w:kern w:val="0"/>
                <w:lang w:eastAsia="lt-LT"/>
                <w14:ligatures w14:val="none"/>
              </w:rPr>
              <w:t>de facto</w:t>
            </w:r>
            <w:r w:rsidR="00A81CBF">
              <w:rPr>
                <w:rFonts w:ascii="Times New Roman" w:eastAsia="Times New Roman" w:hAnsi="Times New Roman" w:cs="Times New Roman"/>
                <w:kern w:val="0"/>
                <w:lang w:eastAsia="lt-LT"/>
                <w14:ligatures w14:val="none"/>
              </w:rPr>
              <w:t xml:space="preserve"> egzistuoja tik vienas ekonominis centras</w:t>
            </w:r>
            <w:r w:rsidR="00B27F5C">
              <w:rPr>
                <w:rFonts w:ascii="Times New Roman" w:eastAsia="Times New Roman" w:hAnsi="Times New Roman" w:cs="Times New Roman"/>
                <w:kern w:val="0"/>
                <w:lang w:eastAsia="lt-LT"/>
                <w14:ligatures w14:val="none"/>
              </w:rPr>
              <w:t xml:space="preserve"> – </w:t>
            </w:r>
            <w:r w:rsidR="00A81CBF">
              <w:rPr>
                <w:rFonts w:ascii="Times New Roman" w:eastAsia="Times New Roman" w:hAnsi="Times New Roman" w:cs="Times New Roman"/>
                <w:kern w:val="0"/>
                <w:lang w:eastAsia="lt-LT"/>
                <w14:ligatures w14:val="none"/>
              </w:rPr>
              <w:t>Baku, bei kvalifikuotos darbo jėgos trūkumas</w:t>
            </w:r>
            <w:r w:rsidR="00B27F5C">
              <w:rPr>
                <w:rFonts w:ascii="Times New Roman" w:eastAsia="Times New Roman" w:hAnsi="Times New Roman" w:cs="Times New Roman"/>
                <w:kern w:val="0"/>
                <w:lang w:eastAsia="lt-LT"/>
                <w14:ligatures w14:val="none"/>
              </w:rPr>
              <w:t>.</w:t>
            </w:r>
          </w:p>
          <w:p w14:paraId="4DFB3DB8" w14:textId="0A6D83D9" w:rsidR="003335C3" w:rsidRPr="00BF1A2C" w:rsidRDefault="00B000C7" w:rsidP="00B0725B">
            <w:pPr>
              <w:jc w:val="both"/>
              <w:rPr>
                <w:rFonts w:ascii="Times New Roman" w:hAnsi="Times New Roman" w:cs="Times New Roman"/>
                <w:lang w:val="en-US"/>
              </w:rPr>
            </w:pPr>
            <w:r w:rsidRPr="00B000C7">
              <w:rPr>
                <w:rFonts w:ascii="Times New Roman" w:hAnsi="Times New Roman" w:cs="Times New Roman"/>
              </w:rPr>
              <w:t>Baku–</w:t>
            </w:r>
            <w:proofErr w:type="spellStart"/>
            <w:r w:rsidRPr="00B000C7">
              <w:rPr>
                <w:rFonts w:ascii="Times New Roman" w:hAnsi="Times New Roman" w:cs="Times New Roman"/>
              </w:rPr>
              <w:t>Abšerono</w:t>
            </w:r>
            <w:proofErr w:type="spellEnd"/>
            <w:r w:rsidRPr="00B000C7">
              <w:rPr>
                <w:rFonts w:ascii="Times New Roman" w:hAnsi="Times New Roman" w:cs="Times New Roman"/>
              </w:rPr>
              <w:t xml:space="preserve"> regionas (sostinė ir jos apylinkės) užima tik apie 2,3 % šalies teritorijos, tačiau jame gyvena apie 23 % visų Azerbaidžano gyventojų. Šiame regione sukuriama apie 80 % </w:t>
            </w:r>
            <w:r>
              <w:rPr>
                <w:rFonts w:ascii="Times New Roman" w:hAnsi="Times New Roman" w:cs="Times New Roman"/>
              </w:rPr>
              <w:t xml:space="preserve">šalies </w:t>
            </w:r>
            <w:r w:rsidRPr="00B000C7">
              <w:rPr>
                <w:rFonts w:ascii="Times New Roman" w:hAnsi="Times New Roman" w:cs="Times New Roman"/>
              </w:rPr>
              <w:t>BVP, o bankinių paslaugų koncentracija dar didesnė – apie 85 % viso kreditavimo tenka Baku aglomeracijai.</w:t>
            </w:r>
          </w:p>
        </w:tc>
      </w:tr>
      <w:tr w:rsidR="00B0725B" w14:paraId="79508C34" w14:textId="77777777" w:rsidTr="00B0725B">
        <w:tc>
          <w:tcPr>
            <w:tcW w:w="4814" w:type="dxa"/>
          </w:tcPr>
          <w:p w14:paraId="5A3A4471" w14:textId="5FB55805" w:rsidR="00B0725B" w:rsidRDefault="00B0725B" w:rsidP="00B0725B">
            <w:pPr>
              <w:jc w:val="both"/>
              <w:rPr>
                <w:rFonts w:ascii="Times New Roman" w:hAnsi="Times New Roman" w:cs="Times New Roman"/>
              </w:rPr>
            </w:pPr>
            <w:r w:rsidRPr="008F02C5">
              <w:rPr>
                <w:rFonts w:ascii="Times New Roman" w:eastAsia="Times New Roman" w:hAnsi="Times New Roman" w:cs="Times New Roman"/>
                <w:b/>
                <w:bCs/>
                <w:kern w:val="0"/>
                <w:lang w:eastAsia="lt-LT"/>
                <w14:ligatures w14:val="none"/>
              </w:rPr>
              <w:t>Tarptautinės partnerystės</w:t>
            </w:r>
            <w:r w:rsidRPr="008F02C5">
              <w:rPr>
                <w:rFonts w:ascii="Times New Roman" w:eastAsia="Times New Roman" w:hAnsi="Times New Roman" w:cs="Times New Roman"/>
                <w:kern w:val="0"/>
                <w:lang w:eastAsia="lt-LT"/>
                <w14:ligatures w14:val="none"/>
              </w:rPr>
              <w:t xml:space="preserve"> – akty</w:t>
            </w:r>
            <w:r>
              <w:rPr>
                <w:rFonts w:ascii="Times New Roman" w:eastAsia="Times New Roman" w:hAnsi="Times New Roman" w:cs="Times New Roman"/>
                <w:kern w:val="0"/>
                <w:lang w:eastAsia="lt-LT"/>
                <w14:ligatures w14:val="none"/>
              </w:rPr>
              <w:t xml:space="preserve">vi </w:t>
            </w:r>
            <w:proofErr w:type="spellStart"/>
            <w:r>
              <w:rPr>
                <w:rFonts w:ascii="Times New Roman" w:eastAsia="Times New Roman" w:hAnsi="Times New Roman" w:cs="Times New Roman"/>
                <w:kern w:val="0"/>
                <w:lang w:eastAsia="lt-LT"/>
                <w14:ligatures w14:val="none"/>
              </w:rPr>
              <w:t>daugiavektorinė</w:t>
            </w:r>
            <w:proofErr w:type="spellEnd"/>
            <w:r>
              <w:rPr>
                <w:rFonts w:ascii="Times New Roman" w:eastAsia="Times New Roman" w:hAnsi="Times New Roman" w:cs="Times New Roman"/>
                <w:kern w:val="0"/>
                <w:lang w:eastAsia="lt-LT"/>
                <w14:ligatures w14:val="none"/>
              </w:rPr>
              <w:t xml:space="preserve"> užsienio politika, </w:t>
            </w:r>
            <w:r w:rsidR="00F10919">
              <w:rPr>
                <w:rFonts w:ascii="Times New Roman" w:eastAsia="Times New Roman" w:hAnsi="Times New Roman" w:cs="Times New Roman"/>
                <w:kern w:val="0"/>
                <w:lang w:eastAsia="lt-LT"/>
                <w14:ligatures w14:val="none"/>
              </w:rPr>
              <w:t xml:space="preserve">stiprėjantis </w:t>
            </w:r>
            <w:proofErr w:type="spellStart"/>
            <w:r w:rsidR="00F10919">
              <w:rPr>
                <w:rFonts w:ascii="Times New Roman" w:eastAsia="Times New Roman" w:hAnsi="Times New Roman" w:cs="Times New Roman"/>
                <w:kern w:val="0"/>
                <w:lang w:eastAsia="lt-LT"/>
                <w14:ligatures w14:val="none"/>
              </w:rPr>
              <w:t>įsitinklinimas</w:t>
            </w:r>
            <w:proofErr w:type="spellEnd"/>
            <w:r w:rsidR="00F10919">
              <w:rPr>
                <w:rFonts w:ascii="Times New Roman" w:eastAsia="Times New Roman" w:hAnsi="Times New Roman" w:cs="Times New Roman"/>
                <w:kern w:val="0"/>
                <w:lang w:eastAsia="lt-LT"/>
                <w14:ligatures w14:val="none"/>
              </w:rPr>
              <w:t xml:space="preserve"> regioninėse </w:t>
            </w:r>
            <w:r w:rsidRPr="008F02C5">
              <w:rPr>
                <w:rFonts w:ascii="Times New Roman" w:eastAsia="Times New Roman" w:hAnsi="Times New Roman" w:cs="Times New Roman"/>
                <w:kern w:val="0"/>
                <w:lang w:eastAsia="lt-LT"/>
                <w14:ligatures w14:val="none"/>
              </w:rPr>
              <w:t xml:space="preserve">tarptautinėse </w:t>
            </w:r>
            <w:r w:rsidR="006A48B1">
              <w:rPr>
                <w:rFonts w:ascii="Times New Roman" w:eastAsia="Times New Roman" w:hAnsi="Times New Roman" w:cs="Times New Roman"/>
                <w:kern w:val="0"/>
                <w:lang w:eastAsia="lt-LT"/>
                <w14:ligatures w14:val="none"/>
              </w:rPr>
              <w:t>struktūrose (</w:t>
            </w:r>
            <w:r w:rsidR="006A48B1">
              <w:rPr>
                <w:rFonts w:ascii="Times New Roman" w:hAnsi="Times New Roman" w:cs="Times New Roman"/>
              </w:rPr>
              <w:t>OTS, C5 ir kt.)</w:t>
            </w:r>
            <w:r w:rsidRPr="008F02C5">
              <w:rPr>
                <w:rFonts w:ascii="Times New Roman" w:eastAsia="Times New Roman" w:hAnsi="Times New Roman" w:cs="Times New Roman"/>
                <w:kern w:val="0"/>
                <w:lang w:eastAsia="lt-LT"/>
                <w14:ligatures w14:val="none"/>
              </w:rPr>
              <w:t>.</w:t>
            </w:r>
          </w:p>
        </w:tc>
        <w:tc>
          <w:tcPr>
            <w:tcW w:w="4814" w:type="dxa"/>
          </w:tcPr>
          <w:p w14:paraId="398758FB" w14:textId="3B7F2AB0" w:rsidR="00204DA2" w:rsidRPr="00204DA2" w:rsidRDefault="00FF1023" w:rsidP="00ED5AB4">
            <w:pPr>
              <w:jc w:val="both"/>
              <w:rPr>
                <w:rFonts w:ascii="Times New Roman" w:hAnsi="Times New Roman" w:cs="Times New Roman"/>
              </w:rPr>
            </w:pPr>
            <w:r>
              <w:rPr>
                <w:rFonts w:ascii="Times New Roman" w:hAnsi="Times New Roman" w:cs="Times New Roman"/>
              </w:rPr>
              <w:t>Priklausomybė nuo valstybės investicijų</w:t>
            </w:r>
            <w:r w:rsidR="00204DA2">
              <w:rPr>
                <w:rFonts w:ascii="Times New Roman" w:hAnsi="Times New Roman" w:cs="Times New Roman"/>
              </w:rPr>
              <w:t xml:space="preserve">. </w:t>
            </w:r>
            <w:r w:rsidR="00204DA2" w:rsidRPr="00204DA2">
              <w:rPr>
                <w:rFonts w:ascii="Times New Roman" w:hAnsi="Times New Roman" w:cs="Times New Roman"/>
              </w:rPr>
              <w:t>Valstybės programos ir strateginiai veiksmų planai dažnai atspindi ne tiek ekonominę logiką, kiek politines ambicijas; ir nėra suderinti su aiškiai apibrėžtais strateginiais ekonominiais rodikliais.</w:t>
            </w:r>
            <w:r w:rsidR="00AF67F5">
              <w:rPr>
                <w:rFonts w:ascii="Times New Roman" w:hAnsi="Times New Roman" w:cs="Times New Roman"/>
              </w:rPr>
              <w:t xml:space="preserve"> </w:t>
            </w:r>
            <w:r w:rsidR="00AF67F5" w:rsidRPr="00AF67F5">
              <w:rPr>
                <w:rFonts w:ascii="Times New Roman" w:hAnsi="Times New Roman" w:cs="Times New Roman"/>
              </w:rPr>
              <w:t>Didelę biudžeto išlaidų dalį sudaro vyriausybės išlaidos, pirkimai. O vykdant pirkimus kainos labai išpučiamos</w:t>
            </w:r>
            <w:r w:rsidR="00B27F5C">
              <w:rPr>
                <w:rFonts w:ascii="Times New Roman" w:hAnsi="Times New Roman" w:cs="Times New Roman"/>
              </w:rPr>
              <w:t>.</w:t>
            </w:r>
          </w:p>
          <w:p w14:paraId="08608164" w14:textId="186D6BF4" w:rsidR="00B0725B" w:rsidRDefault="00B0725B" w:rsidP="00B0725B">
            <w:pPr>
              <w:jc w:val="both"/>
              <w:rPr>
                <w:rFonts w:ascii="Times New Roman" w:hAnsi="Times New Roman" w:cs="Times New Roman"/>
              </w:rPr>
            </w:pPr>
          </w:p>
        </w:tc>
      </w:tr>
      <w:tr w:rsidR="00B0725B" w14:paraId="33A99255" w14:textId="77777777" w:rsidTr="00B0725B">
        <w:tc>
          <w:tcPr>
            <w:tcW w:w="4814" w:type="dxa"/>
          </w:tcPr>
          <w:p w14:paraId="6198E76F" w14:textId="5D824164" w:rsidR="00B0725B" w:rsidRDefault="00F10919" w:rsidP="00F10919">
            <w:pPr>
              <w:jc w:val="center"/>
              <w:rPr>
                <w:rFonts w:ascii="Times New Roman" w:hAnsi="Times New Roman" w:cs="Times New Roman"/>
              </w:rPr>
            </w:pPr>
            <w:r w:rsidRPr="008F02C5">
              <w:rPr>
                <w:rFonts w:ascii="Times New Roman" w:eastAsia="Times New Roman" w:hAnsi="Times New Roman" w:cs="Times New Roman"/>
                <w:b/>
                <w:bCs/>
                <w:kern w:val="0"/>
                <w:lang w:eastAsia="lt-LT"/>
                <w14:ligatures w14:val="none"/>
              </w:rPr>
              <w:t>GALIMYBĖS</w:t>
            </w:r>
          </w:p>
        </w:tc>
        <w:tc>
          <w:tcPr>
            <w:tcW w:w="4814" w:type="dxa"/>
          </w:tcPr>
          <w:p w14:paraId="41F373AD" w14:textId="22B13C08" w:rsidR="00B0725B" w:rsidRDefault="00F10919" w:rsidP="00F10919">
            <w:pPr>
              <w:jc w:val="center"/>
              <w:rPr>
                <w:rFonts w:ascii="Times New Roman" w:hAnsi="Times New Roman" w:cs="Times New Roman"/>
              </w:rPr>
            </w:pPr>
            <w:r w:rsidRPr="008F02C5">
              <w:rPr>
                <w:rFonts w:ascii="Times New Roman" w:eastAsia="Times New Roman" w:hAnsi="Times New Roman" w:cs="Times New Roman"/>
                <w:b/>
                <w:bCs/>
                <w:kern w:val="0"/>
                <w:lang w:eastAsia="lt-LT"/>
                <w14:ligatures w14:val="none"/>
              </w:rPr>
              <w:t>GRĖSMĖS</w:t>
            </w:r>
          </w:p>
        </w:tc>
      </w:tr>
      <w:tr w:rsidR="00B0725B" w14:paraId="63144784" w14:textId="77777777" w:rsidTr="00B0725B">
        <w:tc>
          <w:tcPr>
            <w:tcW w:w="4814" w:type="dxa"/>
          </w:tcPr>
          <w:p w14:paraId="6070FB06" w14:textId="553CB798" w:rsidR="00B0725B" w:rsidRDefault="00A23A83" w:rsidP="00B0725B">
            <w:pPr>
              <w:jc w:val="both"/>
              <w:rPr>
                <w:rFonts w:ascii="Times New Roman" w:hAnsi="Times New Roman" w:cs="Times New Roman"/>
              </w:rPr>
            </w:pPr>
            <w:r w:rsidRPr="008F02C5">
              <w:rPr>
                <w:rFonts w:ascii="Times New Roman" w:eastAsia="Times New Roman" w:hAnsi="Times New Roman" w:cs="Times New Roman"/>
                <w:b/>
                <w:bCs/>
                <w:kern w:val="0"/>
                <w:lang w:eastAsia="lt-LT"/>
                <w14:ligatures w14:val="none"/>
              </w:rPr>
              <w:t>Regioniniai transporto projektai</w:t>
            </w:r>
            <w:r w:rsidRPr="008F02C5">
              <w:rPr>
                <w:rFonts w:ascii="Times New Roman" w:eastAsia="Times New Roman" w:hAnsi="Times New Roman" w:cs="Times New Roman"/>
                <w:kern w:val="0"/>
                <w:lang w:eastAsia="lt-LT"/>
                <w14:ligatures w14:val="none"/>
              </w:rPr>
              <w:t xml:space="preserve"> – </w:t>
            </w:r>
            <w:r w:rsidRPr="006A48B1">
              <w:rPr>
                <w:rFonts w:ascii="Times New Roman" w:hAnsi="Times New Roman" w:cs="Times New Roman"/>
              </w:rPr>
              <w:t>integruotų transporto ir logistikos grandinių plėtr</w:t>
            </w:r>
            <w:r>
              <w:rPr>
                <w:rFonts w:ascii="Times New Roman" w:hAnsi="Times New Roman" w:cs="Times New Roman"/>
              </w:rPr>
              <w:t>a</w:t>
            </w:r>
            <w:r>
              <w:rPr>
                <w:rFonts w:ascii="Times New Roman" w:eastAsia="Times New Roman" w:hAnsi="Times New Roman" w:cs="Times New Roman"/>
                <w:kern w:val="0"/>
                <w:lang w:eastAsia="lt-LT"/>
                <w14:ligatures w14:val="none"/>
              </w:rPr>
              <w:t xml:space="preserve"> – TRIPP, TITR, </w:t>
            </w:r>
            <w:r w:rsidRPr="008F02C5">
              <w:rPr>
                <w:rFonts w:ascii="Times New Roman" w:eastAsia="Times New Roman" w:hAnsi="Times New Roman" w:cs="Times New Roman"/>
                <w:kern w:val="0"/>
                <w:lang w:eastAsia="lt-LT"/>
                <w14:ligatures w14:val="none"/>
              </w:rPr>
              <w:t>„Viduri</w:t>
            </w:r>
            <w:r>
              <w:rPr>
                <w:rFonts w:ascii="Times New Roman" w:eastAsia="Times New Roman" w:hAnsi="Times New Roman" w:cs="Times New Roman"/>
                <w:kern w:val="0"/>
                <w:lang w:eastAsia="lt-LT"/>
                <w14:ligatures w14:val="none"/>
              </w:rPr>
              <w:t>o</w:t>
            </w:r>
            <w:r w:rsidRPr="008F02C5">
              <w:rPr>
                <w:rFonts w:ascii="Times New Roman" w:eastAsia="Times New Roman" w:hAnsi="Times New Roman" w:cs="Times New Roman"/>
                <w:kern w:val="0"/>
                <w:lang w:eastAsia="lt-LT"/>
                <w14:ligatures w14:val="none"/>
              </w:rPr>
              <w:t xml:space="preserve"> koridorius“</w:t>
            </w:r>
            <w:r>
              <w:rPr>
                <w:rFonts w:ascii="Times New Roman" w:eastAsia="Times New Roman" w:hAnsi="Times New Roman" w:cs="Times New Roman"/>
                <w:kern w:val="0"/>
                <w:lang w:eastAsia="lt-LT"/>
                <w14:ligatures w14:val="none"/>
              </w:rPr>
              <w:t xml:space="preserve"> ir kt. – </w:t>
            </w:r>
            <w:proofErr w:type="spellStart"/>
            <w:r>
              <w:rPr>
                <w:rFonts w:ascii="Times New Roman" w:eastAsia="Times New Roman" w:hAnsi="Times New Roman" w:cs="Times New Roman"/>
                <w:kern w:val="0"/>
                <w:lang w:eastAsia="lt-LT"/>
                <w14:ligatures w14:val="none"/>
              </w:rPr>
              <w:t>įsitinklinimas</w:t>
            </w:r>
            <w:proofErr w:type="spellEnd"/>
            <w:r>
              <w:rPr>
                <w:rFonts w:ascii="Times New Roman" w:eastAsia="Times New Roman" w:hAnsi="Times New Roman" w:cs="Times New Roman"/>
                <w:kern w:val="0"/>
                <w:lang w:eastAsia="lt-LT"/>
                <w14:ligatures w14:val="none"/>
              </w:rPr>
              <w:t xml:space="preserve"> regioninėse ir globaliose grandinėse.</w:t>
            </w:r>
          </w:p>
        </w:tc>
        <w:tc>
          <w:tcPr>
            <w:tcW w:w="4814" w:type="dxa"/>
          </w:tcPr>
          <w:p w14:paraId="695AFFCD" w14:textId="189586A5" w:rsidR="00B0725B" w:rsidRDefault="00F10919" w:rsidP="00B0725B">
            <w:pPr>
              <w:jc w:val="both"/>
              <w:rPr>
                <w:rFonts w:ascii="Times New Roman" w:hAnsi="Times New Roman" w:cs="Times New Roman"/>
              </w:rPr>
            </w:pPr>
            <w:r w:rsidRPr="008F02C5">
              <w:rPr>
                <w:rFonts w:ascii="Times New Roman" w:eastAsia="Times New Roman" w:hAnsi="Times New Roman" w:cs="Times New Roman"/>
                <w:b/>
                <w:bCs/>
                <w:kern w:val="0"/>
                <w:lang w:eastAsia="lt-LT"/>
                <w14:ligatures w14:val="none"/>
              </w:rPr>
              <w:t>Region</w:t>
            </w:r>
            <w:r>
              <w:rPr>
                <w:rFonts w:ascii="Times New Roman" w:eastAsia="Times New Roman" w:hAnsi="Times New Roman" w:cs="Times New Roman"/>
                <w:b/>
                <w:bCs/>
                <w:kern w:val="0"/>
                <w:lang w:eastAsia="lt-LT"/>
                <w14:ligatures w14:val="none"/>
              </w:rPr>
              <w:t>o geopolitinis</w:t>
            </w:r>
            <w:r w:rsidRPr="008F02C5">
              <w:rPr>
                <w:rFonts w:ascii="Times New Roman" w:eastAsia="Times New Roman" w:hAnsi="Times New Roman" w:cs="Times New Roman"/>
                <w:b/>
                <w:bCs/>
                <w:kern w:val="0"/>
                <w:lang w:eastAsia="lt-LT"/>
                <w14:ligatures w14:val="none"/>
              </w:rPr>
              <w:t xml:space="preserve"> nestabilumas</w:t>
            </w:r>
            <w:r w:rsidRPr="008F02C5">
              <w:rPr>
                <w:rFonts w:ascii="Times New Roman" w:eastAsia="Times New Roman" w:hAnsi="Times New Roman" w:cs="Times New Roman"/>
                <w:kern w:val="0"/>
                <w:lang w:eastAsia="lt-LT"/>
                <w14:ligatures w14:val="none"/>
              </w:rPr>
              <w:t xml:space="preserve"> – įtampa su </w:t>
            </w:r>
            <w:r>
              <w:rPr>
                <w:rFonts w:ascii="Times New Roman" w:eastAsia="Times New Roman" w:hAnsi="Times New Roman" w:cs="Times New Roman"/>
                <w:kern w:val="0"/>
                <w:lang w:eastAsia="lt-LT"/>
                <w14:ligatures w14:val="none"/>
              </w:rPr>
              <w:t>Rusija, Iranu</w:t>
            </w:r>
            <w:r w:rsidR="00F224AE">
              <w:rPr>
                <w:rFonts w:ascii="Times New Roman" w:eastAsia="Times New Roman" w:hAnsi="Times New Roman" w:cs="Times New Roman"/>
                <w:kern w:val="0"/>
                <w:lang w:eastAsia="lt-LT"/>
                <w14:ligatures w14:val="none"/>
              </w:rPr>
              <w:t>, ilgesnėje perspektyvoje – Kinija</w:t>
            </w:r>
            <w:r w:rsidR="004125A7">
              <w:rPr>
                <w:rFonts w:ascii="Times New Roman" w:eastAsia="Times New Roman" w:hAnsi="Times New Roman" w:cs="Times New Roman"/>
                <w:kern w:val="0"/>
                <w:lang w:eastAsia="lt-LT"/>
                <w14:ligatures w14:val="none"/>
              </w:rPr>
              <w:t xml:space="preserve">, o taip pat </w:t>
            </w:r>
            <w:r w:rsidR="006E2847">
              <w:rPr>
                <w:rFonts w:ascii="Times New Roman" w:eastAsia="Times New Roman" w:hAnsi="Times New Roman" w:cs="Times New Roman"/>
                <w:kern w:val="0"/>
                <w:lang w:eastAsia="lt-LT"/>
                <w14:ligatures w14:val="none"/>
              </w:rPr>
              <w:t>galimai atsinaujinanti įtampa su Armėnija</w:t>
            </w:r>
            <w:r w:rsidR="00B27F5C">
              <w:rPr>
                <w:rFonts w:ascii="Times New Roman" w:eastAsia="Times New Roman" w:hAnsi="Times New Roman" w:cs="Times New Roman"/>
                <w:kern w:val="0"/>
                <w:lang w:eastAsia="lt-LT"/>
                <w14:ligatures w14:val="none"/>
              </w:rPr>
              <w:t>.</w:t>
            </w:r>
          </w:p>
        </w:tc>
      </w:tr>
      <w:tr w:rsidR="00B0725B" w14:paraId="2C77E5D9" w14:textId="77777777" w:rsidTr="00B0725B">
        <w:tc>
          <w:tcPr>
            <w:tcW w:w="4814" w:type="dxa"/>
          </w:tcPr>
          <w:p w14:paraId="787706C3" w14:textId="0C92686F" w:rsidR="00794063" w:rsidRPr="00794063" w:rsidRDefault="00F10919" w:rsidP="00B0725B">
            <w:pPr>
              <w:jc w:val="both"/>
              <w:rPr>
                <w:rFonts w:ascii="Times New Roman" w:eastAsia="Times New Roman" w:hAnsi="Times New Roman" w:cs="Times New Roman"/>
                <w:kern w:val="0"/>
                <w:lang w:eastAsia="lt-LT"/>
                <w14:ligatures w14:val="none"/>
              </w:rPr>
            </w:pPr>
            <w:r w:rsidRPr="008F02C5">
              <w:rPr>
                <w:rFonts w:ascii="Times New Roman" w:eastAsia="Times New Roman" w:hAnsi="Times New Roman" w:cs="Times New Roman"/>
                <w:b/>
                <w:bCs/>
                <w:kern w:val="0"/>
                <w:lang w:eastAsia="lt-LT"/>
                <w14:ligatures w14:val="none"/>
              </w:rPr>
              <w:t xml:space="preserve">Ekonomikos </w:t>
            </w:r>
            <w:r w:rsidRPr="00794063">
              <w:rPr>
                <w:rFonts w:ascii="Times New Roman" w:eastAsia="Times New Roman" w:hAnsi="Times New Roman" w:cs="Times New Roman"/>
                <w:b/>
                <w:bCs/>
                <w:kern w:val="0"/>
                <w:lang w:eastAsia="lt-LT"/>
                <w14:ligatures w14:val="none"/>
              </w:rPr>
              <w:t xml:space="preserve">diversifikacija </w:t>
            </w:r>
            <w:r w:rsidR="00794063" w:rsidRPr="00794063">
              <w:rPr>
                <w:rFonts w:ascii="Times New Roman" w:eastAsia="Times New Roman" w:hAnsi="Times New Roman" w:cs="Times New Roman"/>
                <w:b/>
                <w:bCs/>
                <w:kern w:val="0"/>
                <w:lang w:eastAsia="lt-LT"/>
                <w14:ligatures w14:val="none"/>
              </w:rPr>
              <w:t>ir technologinė pažanga</w:t>
            </w:r>
            <w:r w:rsidR="00794063">
              <w:rPr>
                <w:rFonts w:ascii="Times New Roman" w:eastAsia="Times New Roman" w:hAnsi="Times New Roman" w:cs="Times New Roman"/>
                <w:kern w:val="0"/>
                <w:lang w:eastAsia="lt-LT"/>
                <w14:ligatures w14:val="none"/>
              </w:rPr>
              <w:t xml:space="preserve"> </w:t>
            </w:r>
            <w:r w:rsidRPr="008F02C5">
              <w:rPr>
                <w:rFonts w:ascii="Times New Roman" w:eastAsia="Times New Roman" w:hAnsi="Times New Roman" w:cs="Times New Roman"/>
                <w:kern w:val="0"/>
                <w:lang w:eastAsia="lt-LT"/>
                <w14:ligatures w14:val="none"/>
              </w:rPr>
              <w:t xml:space="preserve">– investicijos į </w:t>
            </w:r>
            <w:r w:rsidR="00794063" w:rsidRPr="008F02C5">
              <w:rPr>
                <w:rFonts w:ascii="Times New Roman" w:eastAsia="Times New Roman" w:hAnsi="Times New Roman" w:cs="Times New Roman"/>
                <w:kern w:val="0"/>
                <w:lang w:eastAsia="lt-LT"/>
                <w14:ligatures w14:val="none"/>
              </w:rPr>
              <w:t>švietimą, skaitmeninimą ir inovacijas</w:t>
            </w:r>
            <w:r w:rsidRPr="008F02C5">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 xml:space="preserve">atsinaujinančią energetiką, </w:t>
            </w:r>
            <w:r w:rsidRPr="008F02C5">
              <w:rPr>
                <w:rFonts w:ascii="Times New Roman" w:eastAsia="Times New Roman" w:hAnsi="Times New Roman" w:cs="Times New Roman"/>
                <w:kern w:val="0"/>
                <w:lang w:eastAsia="lt-LT"/>
                <w14:ligatures w14:val="none"/>
              </w:rPr>
              <w:t>žemės ūkį, turizmą</w:t>
            </w:r>
            <w:r w:rsidR="00794063">
              <w:rPr>
                <w:rFonts w:ascii="Times New Roman" w:eastAsia="Times New Roman" w:hAnsi="Times New Roman" w:cs="Times New Roman"/>
                <w:kern w:val="0"/>
                <w:lang w:eastAsia="lt-LT"/>
                <w14:ligatures w14:val="none"/>
              </w:rPr>
              <w:t xml:space="preserve"> ir kt.</w:t>
            </w:r>
          </w:p>
        </w:tc>
        <w:tc>
          <w:tcPr>
            <w:tcW w:w="4814" w:type="dxa"/>
          </w:tcPr>
          <w:p w14:paraId="094B653F" w14:textId="0E6E0AF3" w:rsidR="00B0725B" w:rsidRDefault="00F10919" w:rsidP="00B0725B">
            <w:pPr>
              <w:jc w:val="both"/>
              <w:rPr>
                <w:rFonts w:ascii="Times New Roman" w:hAnsi="Times New Roman" w:cs="Times New Roman"/>
              </w:rPr>
            </w:pPr>
            <w:r w:rsidRPr="008F02C5">
              <w:rPr>
                <w:rFonts w:ascii="Times New Roman" w:eastAsia="Times New Roman" w:hAnsi="Times New Roman" w:cs="Times New Roman"/>
                <w:b/>
                <w:bCs/>
                <w:kern w:val="0"/>
                <w:lang w:eastAsia="lt-LT"/>
                <w14:ligatures w14:val="none"/>
              </w:rPr>
              <w:t>Pasaulinės energ</w:t>
            </w:r>
            <w:r>
              <w:rPr>
                <w:rFonts w:ascii="Times New Roman" w:eastAsia="Times New Roman" w:hAnsi="Times New Roman" w:cs="Times New Roman"/>
                <w:b/>
                <w:bCs/>
                <w:kern w:val="0"/>
                <w:lang w:eastAsia="lt-LT"/>
                <w14:ligatures w14:val="none"/>
              </w:rPr>
              <w:t>etiko</w:t>
            </w:r>
            <w:r w:rsidRPr="008F02C5">
              <w:rPr>
                <w:rFonts w:ascii="Times New Roman" w:eastAsia="Times New Roman" w:hAnsi="Times New Roman" w:cs="Times New Roman"/>
                <w:b/>
                <w:bCs/>
                <w:kern w:val="0"/>
                <w:lang w:eastAsia="lt-LT"/>
                <w14:ligatures w14:val="none"/>
              </w:rPr>
              <w:t>s rinkos svyravimai</w:t>
            </w:r>
            <w:r w:rsidRPr="008F02C5">
              <w:rPr>
                <w:rFonts w:ascii="Times New Roman" w:eastAsia="Times New Roman" w:hAnsi="Times New Roman" w:cs="Times New Roman"/>
                <w:kern w:val="0"/>
                <w:lang w:eastAsia="lt-LT"/>
                <w14:ligatures w14:val="none"/>
              </w:rPr>
              <w:t xml:space="preserve"> – biudžeto ir pajamų nestabilumas.</w:t>
            </w:r>
          </w:p>
        </w:tc>
      </w:tr>
      <w:tr w:rsidR="00F10919" w14:paraId="5EC50510" w14:textId="77777777" w:rsidTr="00B0725B">
        <w:tc>
          <w:tcPr>
            <w:tcW w:w="4814" w:type="dxa"/>
          </w:tcPr>
          <w:p w14:paraId="19B7F7EA" w14:textId="06DACF5D" w:rsidR="00F10919" w:rsidRPr="008F02C5" w:rsidRDefault="00A23A83" w:rsidP="006A48B1">
            <w:pPr>
              <w:jc w:val="both"/>
              <w:rPr>
                <w:rFonts w:ascii="Times New Roman" w:eastAsia="Times New Roman" w:hAnsi="Times New Roman" w:cs="Times New Roman"/>
                <w:b/>
                <w:bCs/>
                <w:kern w:val="0"/>
                <w:lang w:eastAsia="lt-LT"/>
                <w14:ligatures w14:val="none"/>
              </w:rPr>
            </w:pPr>
            <w:r w:rsidRPr="008F02C5">
              <w:rPr>
                <w:rFonts w:ascii="Times New Roman" w:eastAsia="Times New Roman" w:hAnsi="Times New Roman" w:cs="Times New Roman"/>
                <w:b/>
                <w:bCs/>
                <w:kern w:val="0"/>
                <w:lang w:eastAsia="lt-LT"/>
                <w14:ligatures w14:val="none"/>
              </w:rPr>
              <w:t>Dujų</w:t>
            </w:r>
            <w:r>
              <w:rPr>
                <w:rFonts w:ascii="Times New Roman" w:eastAsia="Times New Roman" w:hAnsi="Times New Roman" w:cs="Times New Roman"/>
                <w:b/>
                <w:bCs/>
                <w:kern w:val="0"/>
                <w:lang w:eastAsia="lt-LT"/>
                <w14:ligatures w14:val="none"/>
              </w:rPr>
              <w:t xml:space="preserve">/naftos </w:t>
            </w:r>
            <w:r w:rsidRPr="008F02C5">
              <w:rPr>
                <w:rFonts w:ascii="Times New Roman" w:eastAsia="Times New Roman" w:hAnsi="Times New Roman" w:cs="Times New Roman"/>
                <w:b/>
                <w:bCs/>
                <w:kern w:val="0"/>
                <w:lang w:eastAsia="lt-LT"/>
                <w14:ligatures w14:val="none"/>
              </w:rPr>
              <w:t>eksporto plėtra</w:t>
            </w:r>
            <w:r w:rsidRPr="008F02C5">
              <w:rPr>
                <w:rFonts w:ascii="Times New Roman" w:eastAsia="Times New Roman" w:hAnsi="Times New Roman" w:cs="Times New Roman"/>
                <w:kern w:val="0"/>
                <w:lang w:eastAsia="lt-LT"/>
                <w14:ligatures w14:val="none"/>
              </w:rPr>
              <w:t xml:space="preserve"> – didėjanti</w:t>
            </w:r>
            <w:r w:rsidR="00794063">
              <w:rPr>
                <w:rFonts w:ascii="Times New Roman" w:eastAsia="Times New Roman" w:hAnsi="Times New Roman" w:cs="Times New Roman"/>
                <w:kern w:val="0"/>
                <w:lang w:eastAsia="lt-LT"/>
                <w14:ligatures w14:val="none"/>
              </w:rPr>
              <w:t xml:space="preserve"> </w:t>
            </w:r>
            <w:r w:rsidRPr="008F02C5">
              <w:rPr>
                <w:rFonts w:ascii="Times New Roman" w:eastAsia="Times New Roman" w:hAnsi="Times New Roman" w:cs="Times New Roman"/>
                <w:kern w:val="0"/>
                <w:lang w:eastAsia="lt-LT"/>
                <w14:ligatures w14:val="none"/>
              </w:rPr>
              <w:t>paklausa</w:t>
            </w:r>
            <w:r w:rsidR="00794063">
              <w:rPr>
                <w:rFonts w:ascii="Times New Roman" w:eastAsia="Times New Roman" w:hAnsi="Times New Roman" w:cs="Times New Roman"/>
                <w:kern w:val="0"/>
                <w:lang w:eastAsia="lt-LT"/>
                <w14:ligatures w14:val="none"/>
              </w:rPr>
              <w:t xml:space="preserve"> iš Europos</w:t>
            </w:r>
            <w:r>
              <w:rPr>
                <w:rFonts w:ascii="Times New Roman" w:eastAsia="Times New Roman" w:hAnsi="Times New Roman" w:cs="Times New Roman"/>
                <w:kern w:val="0"/>
                <w:lang w:eastAsia="lt-LT"/>
                <w14:ligatures w14:val="none"/>
              </w:rPr>
              <w:t>, tikimybė atrasti naujų telkinių</w:t>
            </w:r>
            <w:r w:rsidRPr="008F02C5">
              <w:rPr>
                <w:rFonts w:ascii="Times New Roman" w:eastAsia="Times New Roman" w:hAnsi="Times New Roman" w:cs="Times New Roman"/>
                <w:kern w:val="0"/>
                <w:lang w:eastAsia="lt-LT"/>
                <w14:ligatures w14:val="none"/>
              </w:rPr>
              <w:t>.</w:t>
            </w:r>
          </w:p>
        </w:tc>
        <w:tc>
          <w:tcPr>
            <w:tcW w:w="4814" w:type="dxa"/>
          </w:tcPr>
          <w:p w14:paraId="41AE822E" w14:textId="3CCD5F84" w:rsidR="00F10919" w:rsidRDefault="00794063" w:rsidP="00B0725B">
            <w:pPr>
              <w:jc w:val="both"/>
              <w:rPr>
                <w:rFonts w:ascii="Times New Roman" w:hAnsi="Times New Roman" w:cs="Times New Roman"/>
              </w:rPr>
            </w:pPr>
            <w:r w:rsidRPr="008F02C5">
              <w:rPr>
                <w:rFonts w:ascii="Times New Roman" w:eastAsia="Times New Roman" w:hAnsi="Times New Roman" w:cs="Times New Roman"/>
                <w:b/>
                <w:bCs/>
                <w:kern w:val="0"/>
                <w:lang w:eastAsia="lt-LT"/>
                <w14:ligatures w14:val="none"/>
              </w:rPr>
              <w:t>Socialinė nelygybė ir galimi neramumai</w:t>
            </w:r>
            <w:r w:rsidRPr="008F02C5">
              <w:rPr>
                <w:rFonts w:ascii="Times New Roman" w:eastAsia="Times New Roman" w:hAnsi="Times New Roman" w:cs="Times New Roman"/>
                <w:kern w:val="0"/>
                <w:lang w:eastAsia="lt-LT"/>
                <w14:ligatures w14:val="none"/>
              </w:rPr>
              <w:t xml:space="preserve"> – nedarbas, korupcija, socialinių paslaugų trūkumas.</w:t>
            </w:r>
          </w:p>
        </w:tc>
      </w:tr>
      <w:tr w:rsidR="00F10919" w14:paraId="3ECC37CF" w14:textId="77777777" w:rsidTr="00B0725B">
        <w:tc>
          <w:tcPr>
            <w:tcW w:w="4814" w:type="dxa"/>
          </w:tcPr>
          <w:p w14:paraId="2230736F" w14:textId="17DC46E2" w:rsidR="00F10919" w:rsidRDefault="00F10919" w:rsidP="00B0725B">
            <w:pPr>
              <w:jc w:val="both"/>
              <w:rPr>
                <w:rFonts w:ascii="Times New Roman" w:eastAsia="Times New Roman" w:hAnsi="Times New Roman" w:cs="Times New Roman"/>
                <w:b/>
                <w:bCs/>
                <w:kern w:val="0"/>
                <w:lang w:eastAsia="lt-LT"/>
                <w14:ligatures w14:val="none"/>
              </w:rPr>
            </w:pPr>
            <w:r w:rsidRPr="008F02C5">
              <w:rPr>
                <w:rFonts w:ascii="Times New Roman" w:eastAsia="Times New Roman" w:hAnsi="Times New Roman" w:cs="Times New Roman"/>
                <w:b/>
                <w:bCs/>
                <w:kern w:val="0"/>
                <w:lang w:eastAsia="lt-LT"/>
                <w14:ligatures w14:val="none"/>
              </w:rPr>
              <w:t>Atsinaujinanti energetika</w:t>
            </w:r>
            <w:r w:rsidRPr="008F02C5">
              <w:rPr>
                <w:rFonts w:ascii="Times New Roman" w:eastAsia="Times New Roman" w:hAnsi="Times New Roman" w:cs="Times New Roman"/>
                <w:kern w:val="0"/>
                <w:lang w:eastAsia="lt-LT"/>
                <w14:ligatures w14:val="none"/>
              </w:rPr>
              <w:t xml:space="preserve"> – saulės ir vėjo energijos plėtra, energetikos diversifikacija.</w:t>
            </w:r>
          </w:p>
        </w:tc>
        <w:tc>
          <w:tcPr>
            <w:tcW w:w="4814" w:type="dxa"/>
          </w:tcPr>
          <w:p w14:paraId="37C940EB" w14:textId="511C4084" w:rsidR="00F10919" w:rsidRDefault="00F10919" w:rsidP="00B0725B">
            <w:pPr>
              <w:jc w:val="both"/>
              <w:rPr>
                <w:rFonts w:ascii="Times New Roman" w:hAnsi="Times New Roman" w:cs="Times New Roman"/>
              </w:rPr>
            </w:pPr>
            <w:r w:rsidRPr="008F02C5">
              <w:rPr>
                <w:rFonts w:ascii="Times New Roman" w:eastAsia="Times New Roman" w:hAnsi="Times New Roman" w:cs="Times New Roman"/>
                <w:b/>
                <w:bCs/>
                <w:kern w:val="0"/>
                <w:lang w:eastAsia="lt-LT"/>
                <w14:ligatures w14:val="none"/>
              </w:rPr>
              <w:t>Aplinkos</w:t>
            </w:r>
            <w:r>
              <w:rPr>
                <w:rFonts w:ascii="Times New Roman" w:eastAsia="Times New Roman" w:hAnsi="Times New Roman" w:cs="Times New Roman"/>
                <w:b/>
                <w:bCs/>
                <w:kern w:val="0"/>
                <w:lang w:eastAsia="lt-LT"/>
                <w14:ligatures w14:val="none"/>
              </w:rPr>
              <w:t>augos</w:t>
            </w:r>
            <w:r w:rsidRPr="008F02C5">
              <w:rPr>
                <w:rFonts w:ascii="Times New Roman" w:eastAsia="Times New Roman" w:hAnsi="Times New Roman" w:cs="Times New Roman"/>
                <w:b/>
                <w:bCs/>
                <w:kern w:val="0"/>
                <w:lang w:eastAsia="lt-LT"/>
                <w14:ligatures w14:val="none"/>
              </w:rPr>
              <w:t xml:space="preserve"> problemos</w:t>
            </w:r>
            <w:r w:rsidRPr="008F02C5">
              <w:rPr>
                <w:rFonts w:ascii="Times New Roman" w:eastAsia="Times New Roman" w:hAnsi="Times New Roman" w:cs="Times New Roman"/>
                <w:kern w:val="0"/>
                <w:lang w:eastAsia="lt-LT"/>
                <w14:ligatures w14:val="none"/>
              </w:rPr>
              <w:t xml:space="preserve"> – klimato kaita, vandens trūkumas, tarša.</w:t>
            </w:r>
          </w:p>
        </w:tc>
      </w:tr>
    </w:tbl>
    <w:p w14:paraId="3A55313A" w14:textId="77777777" w:rsidR="003467A5" w:rsidRDefault="003467A5" w:rsidP="002A5305">
      <w:pPr>
        <w:jc w:val="both"/>
        <w:rPr>
          <w:rFonts w:ascii="Times New Roman" w:hAnsi="Times New Roman" w:cs="Times New Roman"/>
          <w:b/>
          <w:bCs/>
        </w:rPr>
      </w:pPr>
    </w:p>
    <w:p w14:paraId="7BA9449E" w14:textId="2530EFBE" w:rsidR="00815D4E" w:rsidRPr="00F10919" w:rsidRDefault="00815D4E" w:rsidP="00F10919">
      <w:pPr>
        <w:jc w:val="center"/>
        <w:rPr>
          <w:rFonts w:ascii="Times New Roman" w:hAnsi="Times New Roman" w:cs="Times New Roman"/>
          <w:b/>
          <w:bCs/>
        </w:rPr>
      </w:pPr>
      <w:r w:rsidRPr="002A5305">
        <w:rPr>
          <w:rFonts w:ascii="Times New Roman" w:hAnsi="Times New Roman" w:cs="Times New Roman"/>
          <w:b/>
          <w:bCs/>
        </w:rPr>
        <w:t>Svarbiausi 202</w:t>
      </w:r>
      <w:r w:rsidR="00ED6AF0">
        <w:rPr>
          <w:rFonts w:ascii="Times New Roman" w:hAnsi="Times New Roman" w:cs="Times New Roman"/>
          <w:b/>
          <w:bCs/>
        </w:rPr>
        <w:t>6</w:t>
      </w:r>
      <w:r w:rsidRPr="002A5305">
        <w:rPr>
          <w:rFonts w:ascii="Times New Roman" w:hAnsi="Times New Roman" w:cs="Times New Roman"/>
          <w:b/>
          <w:bCs/>
        </w:rPr>
        <w:t xml:space="preserve"> m. ekonominiai renginiai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6"/>
        <w:gridCol w:w="1462"/>
        <w:gridCol w:w="1574"/>
        <w:gridCol w:w="1290"/>
        <w:gridCol w:w="4216"/>
      </w:tblGrid>
      <w:tr w:rsidR="00ED6AF0" w:rsidRPr="00980E2E" w14:paraId="1B0727B2" w14:textId="77777777" w:rsidTr="00ED6AF0">
        <w:trPr>
          <w:tblHeader/>
          <w:tblCellSpacing w:w="15" w:type="dxa"/>
        </w:trPr>
        <w:tc>
          <w:tcPr>
            <w:tcW w:w="0" w:type="auto"/>
            <w:vAlign w:val="center"/>
            <w:hideMark/>
          </w:tcPr>
          <w:p w14:paraId="101192C3" w14:textId="77777777" w:rsidR="00ED6AF0" w:rsidRPr="00980E2E" w:rsidRDefault="00ED6AF0" w:rsidP="00841636">
            <w:pPr>
              <w:jc w:val="center"/>
              <w:rPr>
                <w:rFonts w:ascii="Times New Roman" w:hAnsi="Times New Roman" w:cs="Times New Roman"/>
                <w:b/>
                <w:bCs/>
              </w:rPr>
            </w:pPr>
            <w:r w:rsidRPr="00980E2E">
              <w:rPr>
                <w:rFonts w:ascii="Times New Roman" w:hAnsi="Times New Roman" w:cs="Times New Roman"/>
                <w:b/>
                <w:bCs/>
              </w:rPr>
              <w:t>Data</w:t>
            </w:r>
          </w:p>
        </w:tc>
        <w:tc>
          <w:tcPr>
            <w:tcW w:w="0" w:type="auto"/>
            <w:vAlign w:val="center"/>
            <w:hideMark/>
          </w:tcPr>
          <w:p w14:paraId="0D380DD9" w14:textId="77777777" w:rsidR="00ED6AF0" w:rsidRPr="00980E2E" w:rsidRDefault="00ED6AF0" w:rsidP="00841636">
            <w:pPr>
              <w:jc w:val="center"/>
              <w:rPr>
                <w:rFonts w:ascii="Times New Roman" w:hAnsi="Times New Roman" w:cs="Times New Roman"/>
                <w:b/>
                <w:bCs/>
              </w:rPr>
            </w:pPr>
            <w:r w:rsidRPr="00980E2E">
              <w:rPr>
                <w:rFonts w:ascii="Times New Roman" w:hAnsi="Times New Roman" w:cs="Times New Roman"/>
                <w:b/>
                <w:bCs/>
              </w:rPr>
              <w:t>Renginys</w:t>
            </w:r>
          </w:p>
        </w:tc>
        <w:tc>
          <w:tcPr>
            <w:tcW w:w="0" w:type="auto"/>
            <w:vAlign w:val="center"/>
            <w:hideMark/>
          </w:tcPr>
          <w:p w14:paraId="3A77EA7D" w14:textId="77777777" w:rsidR="00ED6AF0" w:rsidRPr="00980E2E" w:rsidRDefault="00ED6AF0" w:rsidP="00841636">
            <w:pPr>
              <w:jc w:val="center"/>
              <w:rPr>
                <w:rFonts w:ascii="Times New Roman" w:hAnsi="Times New Roman" w:cs="Times New Roman"/>
                <w:b/>
                <w:bCs/>
              </w:rPr>
            </w:pPr>
            <w:r w:rsidRPr="00980E2E">
              <w:rPr>
                <w:rFonts w:ascii="Times New Roman" w:hAnsi="Times New Roman" w:cs="Times New Roman"/>
                <w:b/>
                <w:bCs/>
              </w:rPr>
              <w:t>Sritis/sektorius</w:t>
            </w:r>
          </w:p>
        </w:tc>
        <w:tc>
          <w:tcPr>
            <w:tcW w:w="1290" w:type="dxa"/>
            <w:vAlign w:val="center"/>
            <w:hideMark/>
          </w:tcPr>
          <w:p w14:paraId="256BA124" w14:textId="77777777" w:rsidR="00ED6AF0" w:rsidRPr="00980E2E" w:rsidRDefault="00ED6AF0" w:rsidP="00841636">
            <w:pPr>
              <w:jc w:val="center"/>
              <w:rPr>
                <w:rFonts w:ascii="Times New Roman" w:hAnsi="Times New Roman" w:cs="Times New Roman"/>
                <w:b/>
                <w:bCs/>
              </w:rPr>
            </w:pPr>
            <w:r w:rsidRPr="00980E2E">
              <w:rPr>
                <w:rFonts w:ascii="Times New Roman" w:hAnsi="Times New Roman" w:cs="Times New Roman"/>
                <w:b/>
                <w:bCs/>
              </w:rPr>
              <w:t>Vieta</w:t>
            </w:r>
          </w:p>
        </w:tc>
        <w:tc>
          <w:tcPr>
            <w:tcW w:w="4389" w:type="dxa"/>
            <w:vAlign w:val="center"/>
            <w:hideMark/>
          </w:tcPr>
          <w:p w14:paraId="2D11B2DA" w14:textId="77777777" w:rsidR="00ED6AF0" w:rsidRPr="00980E2E" w:rsidRDefault="00ED6AF0" w:rsidP="00841636">
            <w:pPr>
              <w:jc w:val="center"/>
              <w:rPr>
                <w:rFonts w:ascii="Times New Roman" w:hAnsi="Times New Roman" w:cs="Times New Roman"/>
                <w:b/>
                <w:bCs/>
              </w:rPr>
            </w:pPr>
            <w:r w:rsidRPr="00980E2E">
              <w:rPr>
                <w:rFonts w:ascii="Times New Roman" w:hAnsi="Times New Roman" w:cs="Times New Roman"/>
                <w:b/>
                <w:bCs/>
              </w:rPr>
              <w:t>Tinklalapis</w:t>
            </w:r>
          </w:p>
        </w:tc>
      </w:tr>
      <w:tr w:rsidR="00ED6AF0" w:rsidRPr="00980E2E" w14:paraId="26C5B131" w14:textId="77777777" w:rsidTr="00ED6AF0">
        <w:trPr>
          <w:tblCellSpacing w:w="15" w:type="dxa"/>
        </w:trPr>
        <w:tc>
          <w:tcPr>
            <w:tcW w:w="0" w:type="auto"/>
            <w:vAlign w:val="center"/>
            <w:hideMark/>
          </w:tcPr>
          <w:p w14:paraId="7C8A8A9D"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27–28 </w:t>
            </w:r>
            <w:proofErr w:type="spellStart"/>
            <w:r w:rsidRPr="00980E2E">
              <w:rPr>
                <w:rFonts w:ascii="Times New Roman" w:hAnsi="Times New Roman" w:cs="Times New Roman"/>
              </w:rPr>
              <w:t>Mar</w:t>
            </w:r>
            <w:proofErr w:type="spellEnd"/>
            <w:r w:rsidRPr="00980E2E">
              <w:rPr>
                <w:rFonts w:ascii="Times New Roman" w:hAnsi="Times New Roman" w:cs="Times New Roman"/>
              </w:rPr>
              <w:t xml:space="preserve"> 2026</w:t>
            </w:r>
          </w:p>
        </w:tc>
        <w:tc>
          <w:tcPr>
            <w:tcW w:w="0" w:type="auto"/>
            <w:vAlign w:val="center"/>
            <w:hideMark/>
          </w:tcPr>
          <w:p w14:paraId="69F496A7"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UNITED PROPERTY EXPO</w:t>
            </w:r>
          </w:p>
        </w:tc>
        <w:tc>
          <w:tcPr>
            <w:tcW w:w="0" w:type="auto"/>
            <w:vAlign w:val="center"/>
            <w:hideMark/>
          </w:tcPr>
          <w:p w14:paraId="67447AFA"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Real</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Estate</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Investment</w:t>
            </w:r>
            <w:proofErr w:type="spellEnd"/>
          </w:p>
        </w:tc>
        <w:tc>
          <w:tcPr>
            <w:tcW w:w="1290" w:type="dxa"/>
            <w:vAlign w:val="center"/>
            <w:hideMark/>
          </w:tcPr>
          <w:p w14:paraId="492EC1C1"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Marriott</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Hotel</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Boulevard</w:t>
            </w:r>
            <w:proofErr w:type="spellEnd"/>
          </w:p>
        </w:tc>
        <w:tc>
          <w:tcPr>
            <w:tcW w:w="4389" w:type="dxa"/>
            <w:vAlign w:val="center"/>
            <w:hideMark/>
          </w:tcPr>
          <w:p w14:paraId="21CBE966" w14:textId="77777777" w:rsidR="00ED6AF0" w:rsidRPr="00980E2E" w:rsidRDefault="00ED6AF0" w:rsidP="00841636">
            <w:pPr>
              <w:jc w:val="center"/>
              <w:rPr>
                <w:rFonts w:ascii="Times New Roman" w:hAnsi="Times New Roman" w:cs="Times New Roman"/>
              </w:rPr>
            </w:pPr>
            <w:hyperlink r:id="rId12" w:tgtFrame="_new" w:history="1">
              <w:r w:rsidRPr="00980E2E">
                <w:rPr>
                  <w:rStyle w:val="Hyperlink"/>
                  <w:rFonts w:ascii="Times New Roman" w:hAnsi="Times New Roman" w:cs="Times New Roman"/>
                </w:rPr>
                <w:t>https://unitedpropertyexpo.com/en/calendar-of-events/baku-azerbaijan-2026.html</w:t>
              </w:r>
            </w:hyperlink>
          </w:p>
        </w:tc>
      </w:tr>
      <w:tr w:rsidR="00ED6AF0" w:rsidRPr="00980E2E" w14:paraId="4FF72ECF" w14:textId="77777777" w:rsidTr="00ED6AF0">
        <w:trPr>
          <w:tblCellSpacing w:w="15" w:type="dxa"/>
        </w:trPr>
        <w:tc>
          <w:tcPr>
            <w:tcW w:w="0" w:type="auto"/>
            <w:vAlign w:val="center"/>
            <w:hideMark/>
          </w:tcPr>
          <w:p w14:paraId="092B750D"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8–10 </w:t>
            </w:r>
            <w:proofErr w:type="spellStart"/>
            <w:r w:rsidRPr="00980E2E">
              <w:rPr>
                <w:rFonts w:ascii="Times New Roman" w:hAnsi="Times New Roman" w:cs="Times New Roman"/>
              </w:rPr>
              <w:t>Apr</w:t>
            </w:r>
            <w:proofErr w:type="spellEnd"/>
            <w:r w:rsidRPr="00980E2E">
              <w:rPr>
                <w:rFonts w:ascii="Times New Roman" w:hAnsi="Times New Roman" w:cs="Times New Roman"/>
              </w:rPr>
              <w:t xml:space="preserve"> 2026</w:t>
            </w:r>
          </w:p>
        </w:tc>
        <w:tc>
          <w:tcPr>
            <w:tcW w:w="0" w:type="auto"/>
            <w:vAlign w:val="center"/>
            <w:hideMark/>
          </w:tcPr>
          <w:p w14:paraId="63363BCD"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AITF – Azerbaijan International Travel &amp; </w:t>
            </w:r>
            <w:proofErr w:type="spellStart"/>
            <w:r w:rsidRPr="00980E2E">
              <w:rPr>
                <w:rFonts w:ascii="Times New Roman" w:hAnsi="Times New Roman" w:cs="Times New Roman"/>
              </w:rPr>
              <w:t>Tourism</w:t>
            </w:r>
            <w:proofErr w:type="spellEnd"/>
            <w:r w:rsidRPr="00980E2E">
              <w:rPr>
                <w:rFonts w:ascii="Times New Roman" w:hAnsi="Times New Roman" w:cs="Times New Roman"/>
              </w:rPr>
              <w:t xml:space="preserve"> Fair</w:t>
            </w:r>
          </w:p>
        </w:tc>
        <w:tc>
          <w:tcPr>
            <w:tcW w:w="0" w:type="auto"/>
            <w:vAlign w:val="center"/>
            <w:hideMark/>
          </w:tcPr>
          <w:p w14:paraId="32A11DA3"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Tourism</w:t>
            </w:r>
            <w:proofErr w:type="spellEnd"/>
          </w:p>
        </w:tc>
        <w:tc>
          <w:tcPr>
            <w:tcW w:w="1290" w:type="dxa"/>
            <w:vAlign w:val="center"/>
            <w:hideMark/>
          </w:tcPr>
          <w:p w14:paraId="69FABAD9"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52DEFF5B" w14:textId="77777777" w:rsidR="00ED6AF0" w:rsidRPr="00980E2E" w:rsidRDefault="00ED6AF0" w:rsidP="00841636">
            <w:pPr>
              <w:jc w:val="center"/>
              <w:rPr>
                <w:rFonts w:ascii="Times New Roman" w:hAnsi="Times New Roman" w:cs="Times New Roman"/>
              </w:rPr>
            </w:pPr>
            <w:hyperlink r:id="rId13" w:tgtFrame="_new" w:history="1">
              <w:r w:rsidRPr="00980E2E">
                <w:rPr>
                  <w:rStyle w:val="Hyperlink"/>
                  <w:rFonts w:ascii="Times New Roman" w:hAnsi="Times New Roman" w:cs="Times New Roman"/>
                </w:rPr>
                <w:t>https://exhibitions.ceo.az/en/exhibitions-calendar</w:t>
              </w:r>
            </w:hyperlink>
          </w:p>
        </w:tc>
      </w:tr>
      <w:tr w:rsidR="00ED6AF0" w:rsidRPr="00980E2E" w14:paraId="4C7F6485" w14:textId="77777777" w:rsidTr="00ED6AF0">
        <w:trPr>
          <w:tblCellSpacing w:w="15" w:type="dxa"/>
        </w:trPr>
        <w:tc>
          <w:tcPr>
            <w:tcW w:w="0" w:type="auto"/>
            <w:vAlign w:val="center"/>
            <w:hideMark/>
          </w:tcPr>
          <w:p w14:paraId="58CB927D"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5–8 </w:t>
            </w:r>
            <w:proofErr w:type="spellStart"/>
            <w:r w:rsidRPr="00980E2E">
              <w:rPr>
                <w:rFonts w:ascii="Times New Roman" w:hAnsi="Times New Roman" w:cs="Times New Roman"/>
              </w:rPr>
              <w:t>May</w:t>
            </w:r>
            <w:proofErr w:type="spellEnd"/>
            <w:r w:rsidRPr="00980E2E">
              <w:rPr>
                <w:rFonts w:ascii="Times New Roman" w:hAnsi="Times New Roman" w:cs="Times New Roman"/>
              </w:rPr>
              <w:t xml:space="preserve"> 2026</w:t>
            </w:r>
          </w:p>
        </w:tc>
        <w:tc>
          <w:tcPr>
            <w:tcW w:w="0" w:type="auto"/>
            <w:vAlign w:val="center"/>
            <w:hideMark/>
          </w:tcPr>
          <w:p w14:paraId="14BFB6B4"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InterFood</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Azerbaijan</w:t>
            </w:r>
            <w:proofErr w:type="spellEnd"/>
          </w:p>
        </w:tc>
        <w:tc>
          <w:tcPr>
            <w:tcW w:w="0" w:type="auto"/>
            <w:vAlign w:val="center"/>
            <w:hideMark/>
          </w:tcPr>
          <w:p w14:paraId="19D0E372"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Food</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Beverage</w:t>
            </w:r>
            <w:proofErr w:type="spellEnd"/>
          </w:p>
        </w:tc>
        <w:tc>
          <w:tcPr>
            <w:tcW w:w="1290" w:type="dxa"/>
            <w:vAlign w:val="center"/>
            <w:hideMark/>
          </w:tcPr>
          <w:p w14:paraId="7DB24DE6"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3C636751" w14:textId="77777777" w:rsidR="00ED6AF0" w:rsidRPr="00980E2E" w:rsidRDefault="00ED6AF0" w:rsidP="00841636">
            <w:pPr>
              <w:jc w:val="center"/>
              <w:rPr>
                <w:rFonts w:ascii="Times New Roman" w:hAnsi="Times New Roman" w:cs="Times New Roman"/>
              </w:rPr>
            </w:pPr>
            <w:hyperlink r:id="rId14" w:tgtFrame="_new" w:history="1">
              <w:r w:rsidRPr="00980E2E">
                <w:rPr>
                  <w:rStyle w:val="Hyperlink"/>
                  <w:rFonts w:ascii="Times New Roman" w:hAnsi="Times New Roman" w:cs="Times New Roman"/>
                </w:rPr>
                <w:t>https://interfood.az/en</w:t>
              </w:r>
            </w:hyperlink>
          </w:p>
        </w:tc>
      </w:tr>
      <w:tr w:rsidR="00ED6AF0" w:rsidRPr="00980E2E" w14:paraId="7A41EF29" w14:textId="77777777" w:rsidTr="00ED6AF0">
        <w:trPr>
          <w:tblCellSpacing w:w="15" w:type="dxa"/>
        </w:trPr>
        <w:tc>
          <w:tcPr>
            <w:tcW w:w="0" w:type="auto"/>
            <w:vAlign w:val="center"/>
            <w:hideMark/>
          </w:tcPr>
          <w:p w14:paraId="4E4010D7"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5–8 </w:t>
            </w:r>
            <w:proofErr w:type="spellStart"/>
            <w:r w:rsidRPr="00980E2E">
              <w:rPr>
                <w:rFonts w:ascii="Times New Roman" w:hAnsi="Times New Roman" w:cs="Times New Roman"/>
              </w:rPr>
              <w:t>May</w:t>
            </w:r>
            <w:proofErr w:type="spellEnd"/>
            <w:r w:rsidRPr="00980E2E">
              <w:rPr>
                <w:rFonts w:ascii="Times New Roman" w:hAnsi="Times New Roman" w:cs="Times New Roman"/>
              </w:rPr>
              <w:t xml:space="preserve"> 2026</w:t>
            </w:r>
          </w:p>
        </w:tc>
        <w:tc>
          <w:tcPr>
            <w:tcW w:w="0" w:type="auto"/>
            <w:vAlign w:val="center"/>
            <w:hideMark/>
          </w:tcPr>
          <w:p w14:paraId="0AD2EFBC"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Caspian</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Agro</w:t>
            </w:r>
            <w:proofErr w:type="spellEnd"/>
          </w:p>
        </w:tc>
        <w:tc>
          <w:tcPr>
            <w:tcW w:w="0" w:type="auto"/>
            <w:vAlign w:val="center"/>
            <w:hideMark/>
          </w:tcPr>
          <w:p w14:paraId="5943BACA"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Agriculture</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Agritech</w:t>
            </w:r>
            <w:proofErr w:type="spellEnd"/>
          </w:p>
        </w:tc>
        <w:tc>
          <w:tcPr>
            <w:tcW w:w="1290" w:type="dxa"/>
            <w:vAlign w:val="center"/>
            <w:hideMark/>
          </w:tcPr>
          <w:p w14:paraId="1661B9C4"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3E205AA3" w14:textId="77777777" w:rsidR="00ED6AF0" w:rsidRPr="00980E2E" w:rsidRDefault="00ED6AF0" w:rsidP="00841636">
            <w:pPr>
              <w:jc w:val="center"/>
              <w:rPr>
                <w:rFonts w:ascii="Times New Roman" w:hAnsi="Times New Roman" w:cs="Times New Roman"/>
              </w:rPr>
            </w:pPr>
            <w:hyperlink r:id="rId15" w:tgtFrame="_new" w:history="1">
              <w:r w:rsidRPr="00980E2E">
                <w:rPr>
                  <w:rStyle w:val="Hyperlink"/>
                  <w:rFonts w:ascii="Times New Roman" w:hAnsi="Times New Roman" w:cs="Times New Roman"/>
                </w:rPr>
                <w:t>https://caspianagro.az/en</w:t>
              </w:r>
            </w:hyperlink>
          </w:p>
        </w:tc>
      </w:tr>
      <w:tr w:rsidR="00ED6AF0" w:rsidRPr="00980E2E" w14:paraId="597734D5" w14:textId="77777777" w:rsidTr="00ED6AF0">
        <w:trPr>
          <w:tblCellSpacing w:w="15" w:type="dxa"/>
        </w:trPr>
        <w:tc>
          <w:tcPr>
            <w:tcW w:w="0" w:type="auto"/>
            <w:vAlign w:val="center"/>
            <w:hideMark/>
          </w:tcPr>
          <w:p w14:paraId="4E80F0D4"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3–5 </w:t>
            </w:r>
            <w:proofErr w:type="spellStart"/>
            <w:r w:rsidRPr="00980E2E">
              <w:rPr>
                <w:rFonts w:ascii="Times New Roman" w:hAnsi="Times New Roman" w:cs="Times New Roman"/>
              </w:rPr>
              <w:t>Jun</w:t>
            </w:r>
            <w:proofErr w:type="spellEnd"/>
            <w:r w:rsidRPr="00980E2E">
              <w:rPr>
                <w:rFonts w:ascii="Times New Roman" w:hAnsi="Times New Roman" w:cs="Times New Roman"/>
              </w:rPr>
              <w:t xml:space="preserve"> 2026</w:t>
            </w:r>
          </w:p>
        </w:tc>
        <w:tc>
          <w:tcPr>
            <w:tcW w:w="0" w:type="auto"/>
            <w:vAlign w:val="center"/>
            <w:hideMark/>
          </w:tcPr>
          <w:p w14:paraId="43A3D573"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Caspian</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Oil</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Gas</w:t>
            </w:r>
            <w:proofErr w:type="spellEnd"/>
          </w:p>
        </w:tc>
        <w:tc>
          <w:tcPr>
            <w:tcW w:w="0" w:type="auto"/>
            <w:vAlign w:val="center"/>
            <w:hideMark/>
          </w:tcPr>
          <w:p w14:paraId="7F406DD9"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Energy</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Oil</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Gas</w:t>
            </w:r>
            <w:proofErr w:type="spellEnd"/>
            <w:r w:rsidRPr="00980E2E">
              <w:rPr>
                <w:rFonts w:ascii="Times New Roman" w:hAnsi="Times New Roman" w:cs="Times New Roman"/>
              </w:rPr>
              <w:t>)</w:t>
            </w:r>
          </w:p>
        </w:tc>
        <w:tc>
          <w:tcPr>
            <w:tcW w:w="1290" w:type="dxa"/>
            <w:vAlign w:val="center"/>
            <w:hideMark/>
          </w:tcPr>
          <w:p w14:paraId="65C30C33"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06B7EFCD" w14:textId="77777777" w:rsidR="00ED6AF0" w:rsidRPr="00980E2E" w:rsidRDefault="00ED6AF0" w:rsidP="00841636">
            <w:pPr>
              <w:jc w:val="center"/>
              <w:rPr>
                <w:rFonts w:ascii="Times New Roman" w:hAnsi="Times New Roman" w:cs="Times New Roman"/>
              </w:rPr>
            </w:pPr>
            <w:hyperlink r:id="rId16" w:tgtFrame="_new" w:history="1">
              <w:r w:rsidRPr="00980E2E">
                <w:rPr>
                  <w:rStyle w:val="Hyperlink"/>
                  <w:rFonts w:ascii="Times New Roman" w:hAnsi="Times New Roman" w:cs="Times New Roman"/>
                </w:rPr>
                <w:t>https://caspianoilgas.az/en</w:t>
              </w:r>
            </w:hyperlink>
          </w:p>
        </w:tc>
      </w:tr>
      <w:tr w:rsidR="00ED6AF0" w:rsidRPr="00980E2E" w14:paraId="3BEB4920" w14:textId="77777777" w:rsidTr="00ED6AF0">
        <w:trPr>
          <w:tblCellSpacing w:w="15" w:type="dxa"/>
        </w:trPr>
        <w:tc>
          <w:tcPr>
            <w:tcW w:w="0" w:type="auto"/>
            <w:vAlign w:val="center"/>
            <w:hideMark/>
          </w:tcPr>
          <w:p w14:paraId="4D32B368"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3–5 </w:t>
            </w:r>
            <w:proofErr w:type="spellStart"/>
            <w:r w:rsidRPr="00980E2E">
              <w:rPr>
                <w:rFonts w:ascii="Times New Roman" w:hAnsi="Times New Roman" w:cs="Times New Roman"/>
              </w:rPr>
              <w:t>Jun</w:t>
            </w:r>
            <w:proofErr w:type="spellEnd"/>
            <w:r w:rsidRPr="00980E2E">
              <w:rPr>
                <w:rFonts w:ascii="Times New Roman" w:hAnsi="Times New Roman" w:cs="Times New Roman"/>
              </w:rPr>
              <w:t xml:space="preserve"> 2026</w:t>
            </w:r>
          </w:p>
        </w:tc>
        <w:tc>
          <w:tcPr>
            <w:tcW w:w="0" w:type="auto"/>
            <w:vAlign w:val="center"/>
            <w:hideMark/>
          </w:tcPr>
          <w:p w14:paraId="2D19896E"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TransLogistica</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Caspian</w:t>
            </w:r>
            <w:proofErr w:type="spellEnd"/>
          </w:p>
        </w:tc>
        <w:tc>
          <w:tcPr>
            <w:tcW w:w="0" w:type="auto"/>
            <w:vAlign w:val="center"/>
            <w:hideMark/>
          </w:tcPr>
          <w:p w14:paraId="47BA02F9"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Logistics</w:t>
            </w:r>
            <w:proofErr w:type="spellEnd"/>
            <w:r w:rsidRPr="00980E2E">
              <w:rPr>
                <w:rFonts w:ascii="Times New Roman" w:hAnsi="Times New Roman" w:cs="Times New Roman"/>
              </w:rPr>
              <w:t xml:space="preserve"> &amp; Transport</w:t>
            </w:r>
          </w:p>
        </w:tc>
        <w:tc>
          <w:tcPr>
            <w:tcW w:w="1290" w:type="dxa"/>
            <w:vAlign w:val="center"/>
            <w:hideMark/>
          </w:tcPr>
          <w:p w14:paraId="4610E545"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1138679A" w14:textId="77777777" w:rsidR="00ED6AF0" w:rsidRPr="00980E2E" w:rsidRDefault="00ED6AF0" w:rsidP="00841636">
            <w:pPr>
              <w:jc w:val="center"/>
              <w:rPr>
                <w:rFonts w:ascii="Times New Roman" w:hAnsi="Times New Roman" w:cs="Times New Roman"/>
              </w:rPr>
            </w:pPr>
            <w:hyperlink r:id="rId17" w:tgtFrame="_new" w:history="1">
              <w:r w:rsidRPr="00980E2E">
                <w:rPr>
                  <w:rStyle w:val="Hyperlink"/>
                  <w:rFonts w:ascii="Times New Roman" w:hAnsi="Times New Roman" w:cs="Times New Roman"/>
                </w:rPr>
                <w:t>https://transcaspian.az/en</w:t>
              </w:r>
            </w:hyperlink>
          </w:p>
        </w:tc>
      </w:tr>
      <w:tr w:rsidR="00ED6AF0" w:rsidRPr="00980E2E" w14:paraId="0E6E2399" w14:textId="77777777" w:rsidTr="00ED6AF0">
        <w:trPr>
          <w:tblCellSpacing w:w="15" w:type="dxa"/>
        </w:trPr>
        <w:tc>
          <w:tcPr>
            <w:tcW w:w="0" w:type="auto"/>
            <w:vAlign w:val="center"/>
            <w:hideMark/>
          </w:tcPr>
          <w:p w14:paraId="4C6123B8"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3–5 </w:t>
            </w:r>
            <w:proofErr w:type="spellStart"/>
            <w:r w:rsidRPr="00980E2E">
              <w:rPr>
                <w:rFonts w:ascii="Times New Roman" w:hAnsi="Times New Roman" w:cs="Times New Roman"/>
              </w:rPr>
              <w:t>Jun</w:t>
            </w:r>
            <w:proofErr w:type="spellEnd"/>
            <w:r w:rsidRPr="00980E2E">
              <w:rPr>
                <w:rFonts w:ascii="Times New Roman" w:hAnsi="Times New Roman" w:cs="Times New Roman"/>
              </w:rPr>
              <w:t xml:space="preserve"> 2026</w:t>
            </w:r>
          </w:p>
        </w:tc>
        <w:tc>
          <w:tcPr>
            <w:tcW w:w="0" w:type="auto"/>
            <w:vAlign w:val="center"/>
            <w:hideMark/>
          </w:tcPr>
          <w:p w14:paraId="45A4348B"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Caspian</w:t>
            </w:r>
            <w:proofErr w:type="spellEnd"/>
            <w:r w:rsidRPr="00980E2E">
              <w:rPr>
                <w:rFonts w:ascii="Times New Roman" w:hAnsi="Times New Roman" w:cs="Times New Roman"/>
              </w:rPr>
              <w:t xml:space="preserve"> Power</w:t>
            </w:r>
          </w:p>
        </w:tc>
        <w:tc>
          <w:tcPr>
            <w:tcW w:w="0" w:type="auto"/>
            <w:vAlign w:val="center"/>
            <w:hideMark/>
          </w:tcPr>
          <w:p w14:paraId="47808526"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Power &amp; </w:t>
            </w:r>
            <w:proofErr w:type="spellStart"/>
            <w:r w:rsidRPr="00980E2E">
              <w:rPr>
                <w:rFonts w:ascii="Times New Roman" w:hAnsi="Times New Roman" w:cs="Times New Roman"/>
              </w:rPr>
              <w:t>Renewable</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Energy</w:t>
            </w:r>
            <w:proofErr w:type="spellEnd"/>
          </w:p>
        </w:tc>
        <w:tc>
          <w:tcPr>
            <w:tcW w:w="1290" w:type="dxa"/>
            <w:vAlign w:val="center"/>
            <w:hideMark/>
          </w:tcPr>
          <w:p w14:paraId="2880D5AD"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719223A3" w14:textId="77777777" w:rsidR="00ED6AF0" w:rsidRPr="00980E2E" w:rsidRDefault="00ED6AF0" w:rsidP="00841636">
            <w:pPr>
              <w:jc w:val="center"/>
              <w:rPr>
                <w:rFonts w:ascii="Times New Roman" w:hAnsi="Times New Roman" w:cs="Times New Roman"/>
              </w:rPr>
            </w:pPr>
            <w:hyperlink r:id="rId18" w:tgtFrame="_new" w:history="1">
              <w:r w:rsidRPr="00980E2E">
                <w:rPr>
                  <w:rStyle w:val="Hyperlink"/>
                  <w:rFonts w:ascii="Times New Roman" w:hAnsi="Times New Roman" w:cs="Times New Roman"/>
                </w:rPr>
                <w:t>https://caspianpower.az/en</w:t>
              </w:r>
            </w:hyperlink>
          </w:p>
        </w:tc>
      </w:tr>
      <w:tr w:rsidR="00ED6AF0" w:rsidRPr="00980E2E" w14:paraId="7997812E" w14:textId="77777777" w:rsidTr="00ED6AF0">
        <w:trPr>
          <w:tblCellSpacing w:w="15" w:type="dxa"/>
        </w:trPr>
        <w:tc>
          <w:tcPr>
            <w:tcW w:w="0" w:type="auto"/>
            <w:vAlign w:val="center"/>
            <w:hideMark/>
          </w:tcPr>
          <w:p w14:paraId="32584FF7"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26 </w:t>
            </w:r>
            <w:proofErr w:type="spellStart"/>
            <w:r w:rsidRPr="00980E2E">
              <w:rPr>
                <w:rFonts w:ascii="Times New Roman" w:hAnsi="Times New Roman" w:cs="Times New Roman"/>
              </w:rPr>
              <w:t>Jun</w:t>
            </w:r>
            <w:proofErr w:type="spellEnd"/>
            <w:r w:rsidRPr="00980E2E">
              <w:rPr>
                <w:rFonts w:ascii="Times New Roman" w:hAnsi="Times New Roman" w:cs="Times New Roman"/>
              </w:rPr>
              <w:t xml:space="preserve"> – 4 </w:t>
            </w:r>
            <w:proofErr w:type="spellStart"/>
            <w:r w:rsidRPr="00980E2E">
              <w:rPr>
                <w:rFonts w:ascii="Times New Roman" w:hAnsi="Times New Roman" w:cs="Times New Roman"/>
              </w:rPr>
              <w:t>Jul</w:t>
            </w:r>
            <w:proofErr w:type="spellEnd"/>
            <w:r w:rsidRPr="00980E2E">
              <w:rPr>
                <w:rFonts w:ascii="Times New Roman" w:hAnsi="Times New Roman" w:cs="Times New Roman"/>
              </w:rPr>
              <w:t xml:space="preserve"> 2026</w:t>
            </w:r>
          </w:p>
        </w:tc>
        <w:tc>
          <w:tcPr>
            <w:tcW w:w="0" w:type="auto"/>
            <w:vAlign w:val="center"/>
            <w:hideMark/>
          </w:tcPr>
          <w:p w14:paraId="01009718"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WUF13 – </w:t>
            </w:r>
            <w:proofErr w:type="spellStart"/>
            <w:r w:rsidRPr="00980E2E">
              <w:rPr>
                <w:rFonts w:ascii="Times New Roman" w:hAnsi="Times New Roman" w:cs="Times New Roman"/>
              </w:rPr>
              <w:t>World</w:t>
            </w:r>
            <w:proofErr w:type="spellEnd"/>
            <w:r w:rsidRPr="00980E2E">
              <w:rPr>
                <w:rFonts w:ascii="Times New Roman" w:hAnsi="Times New Roman" w:cs="Times New Roman"/>
              </w:rPr>
              <w:t xml:space="preserve"> Urban Forum 13</w:t>
            </w:r>
          </w:p>
        </w:tc>
        <w:tc>
          <w:tcPr>
            <w:tcW w:w="0" w:type="auto"/>
            <w:vAlign w:val="center"/>
            <w:hideMark/>
          </w:tcPr>
          <w:p w14:paraId="0EB11776"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Urban </w:t>
            </w:r>
            <w:proofErr w:type="spellStart"/>
            <w:r w:rsidRPr="00980E2E">
              <w:rPr>
                <w:rFonts w:ascii="Times New Roman" w:hAnsi="Times New Roman" w:cs="Times New Roman"/>
              </w:rPr>
              <w:t>Development</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Housing</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Sustainable</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Cities</w:t>
            </w:r>
            <w:proofErr w:type="spellEnd"/>
          </w:p>
        </w:tc>
        <w:tc>
          <w:tcPr>
            <w:tcW w:w="1290" w:type="dxa"/>
            <w:vAlign w:val="center"/>
            <w:hideMark/>
          </w:tcPr>
          <w:p w14:paraId="3ADDD5FF"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w:t>
            </w:r>
            <w:proofErr w:type="spellStart"/>
            <w:r w:rsidRPr="00980E2E">
              <w:rPr>
                <w:rFonts w:ascii="Times New Roman" w:hAnsi="Times New Roman" w:cs="Times New Roman"/>
              </w:rPr>
              <w:t>multiple</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venues</w:t>
            </w:r>
            <w:proofErr w:type="spellEnd"/>
            <w:r w:rsidRPr="00980E2E">
              <w:rPr>
                <w:rFonts w:ascii="Times New Roman" w:hAnsi="Times New Roman" w:cs="Times New Roman"/>
              </w:rPr>
              <w:t>)</w:t>
            </w:r>
          </w:p>
        </w:tc>
        <w:tc>
          <w:tcPr>
            <w:tcW w:w="4389" w:type="dxa"/>
            <w:vAlign w:val="center"/>
            <w:hideMark/>
          </w:tcPr>
          <w:p w14:paraId="6B676B97" w14:textId="77777777" w:rsidR="00ED6AF0" w:rsidRPr="00980E2E" w:rsidRDefault="00ED6AF0" w:rsidP="00841636">
            <w:pPr>
              <w:jc w:val="center"/>
              <w:rPr>
                <w:rFonts w:ascii="Times New Roman" w:hAnsi="Times New Roman" w:cs="Times New Roman"/>
              </w:rPr>
            </w:pPr>
            <w:hyperlink r:id="rId19" w:tgtFrame="_new" w:history="1">
              <w:r w:rsidRPr="00980E2E">
                <w:rPr>
                  <w:rStyle w:val="Hyperlink"/>
                  <w:rFonts w:ascii="Times New Roman" w:hAnsi="Times New Roman" w:cs="Times New Roman"/>
                </w:rPr>
                <w:t>https://wuf.unhabitat.org</w:t>
              </w:r>
            </w:hyperlink>
          </w:p>
        </w:tc>
      </w:tr>
      <w:tr w:rsidR="00ED6AF0" w:rsidRPr="00980E2E" w14:paraId="1F8B7C46" w14:textId="77777777" w:rsidTr="00ED6AF0">
        <w:trPr>
          <w:tblCellSpacing w:w="15" w:type="dxa"/>
        </w:trPr>
        <w:tc>
          <w:tcPr>
            <w:tcW w:w="0" w:type="auto"/>
            <w:vAlign w:val="center"/>
          </w:tcPr>
          <w:p w14:paraId="53264FD6" w14:textId="4194DD75" w:rsidR="00ED6AF0" w:rsidRPr="00980E2E" w:rsidRDefault="00ED6AF0" w:rsidP="00841636">
            <w:pPr>
              <w:jc w:val="center"/>
              <w:rPr>
                <w:rFonts w:ascii="Times New Roman" w:hAnsi="Times New Roman" w:cs="Times New Roman"/>
              </w:rPr>
            </w:pPr>
            <w:proofErr w:type="spellStart"/>
            <w:r>
              <w:rPr>
                <w:rFonts w:ascii="Times New Roman" w:hAnsi="Times New Roman" w:cs="Times New Roman"/>
              </w:rPr>
              <w:t>September</w:t>
            </w:r>
            <w:proofErr w:type="spellEnd"/>
            <w:r>
              <w:rPr>
                <w:rFonts w:ascii="Times New Roman" w:hAnsi="Times New Roman" w:cs="Times New Roman"/>
              </w:rPr>
              <w:t xml:space="preserve"> 2026</w:t>
            </w:r>
          </w:p>
        </w:tc>
        <w:tc>
          <w:tcPr>
            <w:tcW w:w="0" w:type="auto"/>
            <w:vAlign w:val="center"/>
          </w:tcPr>
          <w:p w14:paraId="7FD19C54" w14:textId="43C73287" w:rsidR="00ED6AF0" w:rsidRPr="00980E2E" w:rsidRDefault="00ED6AF0" w:rsidP="00841636">
            <w:pPr>
              <w:jc w:val="center"/>
              <w:rPr>
                <w:rFonts w:ascii="Times New Roman" w:hAnsi="Times New Roman" w:cs="Times New Roman"/>
              </w:rPr>
            </w:pPr>
            <w:r>
              <w:rPr>
                <w:rFonts w:ascii="Times New Roman" w:hAnsi="Times New Roman" w:cs="Times New Roman"/>
              </w:rPr>
              <w:t>EU-</w:t>
            </w:r>
            <w:proofErr w:type="spellStart"/>
            <w:r>
              <w:rPr>
                <w:rFonts w:ascii="Times New Roman" w:hAnsi="Times New Roman" w:cs="Times New Roman"/>
              </w:rPr>
              <w:t>Nachichevan</w:t>
            </w:r>
            <w:proofErr w:type="spellEnd"/>
            <w:r>
              <w:rPr>
                <w:rFonts w:ascii="Times New Roman" w:hAnsi="Times New Roman" w:cs="Times New Roman"/>
              </w:rPr>
              <w:t xml:space="preserve"> Business Forum</w:t>
            </w:r>
          </w:p>
        </w:tc>
        <w:tc>
          <w:tcPr>
            <w:tcW w:w="0" w:type="auto"/>
            <w:vAlign w:val="center"/>
          </w:tcPr>
          <w:p w14:paraId="27674FAF" w14:textId="77777777" w:rsidR="00ED6AF0" w:rsidRPr="00980E2E" w:rsidRDefault="00ED6AF0" w:rsidP="00841636">
            <w:pPr>
              <w:jc w:val="center"/>
              <w:rPr>
                <w:rFonts w:ascii="Times New Roman" w:hAnsi="Times New Roman" w:cs="Times New Roman"/>
              </w:rPr>
            </w:pPr>
          </w:p>
        </w:tc>
        <w:tc>
          <w:tcPr>
            <w:tcW w:w="1290" w:type="dxa"/>
            <w:vAlign w:val="center"/>
          </w:tcPr>
          <w:p w14:paraId="4168A824" w14:textId="4643511B" w:rsidR="00ED6AF0" w:rsidRPr="00980E2E" w:rsidRDefault="00ED6AF0" w:rsidP="00841636">
            <w:pPr>
              <w:jc w:val="center"/>
              <w:rPr>
                <w:rFonts w:ascii="Times New Roman" w:hAnsi="Times New Roman" w:cs="Times New Roman"/>
              </w:rPr>
            </w:pPr>
            <w:proofErr w:type="spellStart"/>
            <w:r>
              <w:rPr>
                <w:rFonts w:ascii="Times New Roman" w:hAnsi="Times New Roman" w:cs="Times New Roman"/>
              </w:rPr>
              <w:t>Nachichevan</w:t>
            </w:r>
            <w:proofErr w:type="spellEnd"/>
            <w:r>
              <w:rPr>
                <w:rFonts w:ascii="Times New Roman" w:hAnsi="Times New Roman" w:cs="Times New Roman"/>
              </w:rPr>
              <w:t xml:space="preserve"> </w:t>
            </w:r>
            <w:proofErr w:type="spellStart"/>
            <w:r>
              <w:rPr>
                <w:rFonts w:ascii="Times New Roman" w:hAnsi="Times New Roman" w:cs="Times New Roman"/>
              </w:rPr>
              <w:t>Autonomous</w:t>
            </w:r>
            <w:proofErr w:type="spellEnd"/>
            <w:r>
              <w:rPr>
                <w:rFonts w:ascii="Times New Roman" w:hAnsi="Times New Roman" w:cs="Times New Roman"/>
              </w:rPr>
              <w:t xml:space="preserve"> Republic, </w:t>
            </w:r>
            <w:proofErr w:type="spellStart"/>
            <w:r>
              <w:rPr>
                <w:rFonts w:ascii="Times New Roman" w:hAnsi="Times New Roman" w:cs="Times New Roman"/>
              </w:rPr>
              <w:t>Azerbaijan</w:t>
            </w:r>
            <w:proofErr w:type="spellEnd"/>
          </w:p>
        </w:tc>
        <w:tc>
          <w:tcPr>
            <w:tcW w:w="4389" w:type="dxa"/>
            <w:vAlign w:val="center"/>
          </w:tcPr>
          <w:p w14:paraId="6707566D" w14:textId="03596A8F" w:rsidR="00ED6AF0" w:rsidRDefault="00C55675" w:rsidP="00841636">
            <w:pPr>
              <w:jc w:val="center"/>
            </w:pPr>
            <w:r>
              <w:t>-</w:t>
            </w:r>
          </w:p>
        </w:tc>
      </w:tr>
      <w:tr w:rsidR="00ED6AF0" w:rsidRPr="00980E2E" w14:paraId="49A72CFD" w14:textId="77777777" w:rsidTr="00ED6AF0">
        <w:trPr>
          <w:tblCellSpacing w:w="15" w:type="dxa"/>
        </w:trPr>
        <w:tc>
          <w:tcPr>
            <w:tcW w:w="0" w:type="auto"/>
            <w:vAlign w:val="center"/>
            <w:hideMark/>
          </w:tcPr>
          <w:p w14:paraId="4443AF55"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lastRenderedPageBreak/>
              <w:t xml:space="preserve">22–24 </w:t>
            </w:r>
            <w:proofErr w:type="spellStart"/>
            <w:r w:rsidRPr="00980E2E">
              <w:rPr>
                <w:rFonts w:ascii="Times New Roman" w:hAnsi="Times New Roman" w:cs="Times New Roman"/>
              </w:rPr>
              <w:t>Sep</w:t>
            </w:r>
            <w:proofErr w:type="spellEnd"/>
            <w:r w:rsidRPr="00980E2E">
              <w:rPr>
                <w:rFonts w:ascii="Times New Roman" w:hAnsi="Times New Roman" w:cs="Times New Roman"/>
              </w:rPr>
              <w:t xml:space="preserve"> 2026</w:t>
            </w:r>
          </w:p>
        </w:tc>
        <w:tc>
          <w:tcPr>
            <w:tcW w:w="0" w:type="auto"/>
            <w:vAlign w:val="center"/>
            <w:hideMark/>
          </w:tcPr>
          <w:p w14:paraId="73AA1FD3"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Urban Forum Baku</w:t>
            </w:r>
          </w:p>
        </w:tc>
        <w:tc>
          <w:tcPr>
            <w:tcW w:w="0" w:type="auto"/>
            <w:vAlign w:val="center"/>
            <w:hideMark/>
          </w:tcPr>
          <w:p w14:paraId="6093DA96"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Urban </w:t>
            </w:r>
            <w:proofErr w:type="spellStart"/>
            <w:r w:rsidRPr="00980E2E">
              <w:rPr>
                <w:rFonts w:ascii="Times New Roman" w:hAnsi="Times New Roman" w:cs="Times New Roman"/>
              </w:rPr>
              <w:t>Development</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Smart</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Cities</w:t>
            </w:r>
            <w:proofErr w:type="spellEnd"/>
          </w:p>
        </w:tc>
        <w:tc>
          <w:tcPr>
            <w:tcW w:w="1290" w:type="dxa"/>
            <w:vAlign w:val="center"/>
            <w:hideMark/>
          </w:tcPr>
          <w:p w14:paraId="23358CED"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w:t>
            </w:r>
          </w:p>
        </w:tc>
        <w:tc>
          <w:tcPr>
            <w:tcW w:w="4389" w:type="dxa"/>
            <w:vAlign w:val="center"/>
            <w:hideMark/>
          </w:tcPr>
          <w:p w14:paraId="586C312B" w14:textId="77777777" w:rsidR="00ED6AF0" w:rsidRPr="00980E2E" w:rsidRDefault="00ED6AF0" w:rsidP="00841636">
            <w:pPr>
              <w:jc w:val="center"/>
              <w:rPr>
                <w:rFonts w:ascii="Times New Roman" w:hAnsi="Times New Roman" w:cs="Times New Roman"/>
              </w:rPr>
            </w:pPr>
            <w:hyperlink r:id="rId20" w:history="1">
              <w:r w:rsidRPr="00980E2E">
                <w:rPr>
                  <w:rStyle w:val="Hyperlink"/>
                  <w:rFonts w:ascii="Times New Roman" w:hAnsi="Times New Roman" w:cs="Times New Roman"/>
                </w:rPr>
                <w:t>https://urbanforum.az</w:t>
              </w:r>
            </w:hyperlink>
            <w:r>
              <w:rPr>
                <w:rFonts w:ascii="Times New Roman" w:hAnsi="Times New Roman" w:cs="Times New Roman"/>
              </w:rPr>
              <w:t xml:space="preserve"> </w:t>
            </w:r>
          </w:p>
        </w:tc>
      </w:tr>
      <w:tr w:rsidR="00ED6AF0" w:rsidRPr="00980E2E" w14:paraId="1A87F618" w14:textId="77777777" w:rsidTr="00ED6AF0">
        <w:trPr>
          <w:tblCellSpacing w:w="15" w:type="dxa"/>
        </w:trPr>
        <w:tc>
          <w:tcPr>
            <w:tcW w:w="0" w:type="auto"/>
            <w:vAlign w:val="center"/>
            <w:hideMark/>
          </w:tcPr>
          <w:p w14:paraId="2D75D51B"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22–24 </w:t>
            </w:r>
            <w:proofErr w:type="spellStart"/>
            <w:r w:rsidRPr="00980E2E">
              <w:rPr>
                <w:rFonts w:ascii="Times New Roman" w:hAnsi="Times New Roman" w:cs="Times New Roman"/>
              </w:rPr>
              <w:t>Sep</w:t>
            </w:r>
            <w:proofErr w:type="spellEnd"/>
            <w:r w:rsidRPr="00980E2E">
              <w:rPr>
                <w:rFonts w:ascii="Times New Roman" w:hAnsi="Times New Roman" w:cs="Times New Roman"/>
              </w:rPr>
              <w:t xml:space="preserve"> 2026</w:t>
            </w:r>
          </w:p>
        </w:tc>
        <w:tc>
          <w:tcPr>
            <w:tcW w:w="0" w:type="auto"/>
            <w:vAlign w:val="center"/>
            <w:hideMark/>
          </w:tcPr>
          <w:p w14:paraId="1C7D3591"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ADEX – </w:t>
            </w:r>
            <w:proofErr w:type="spellStart"/>
            <w:r w:rsidRPr="00980E2E">
              <w:rPr>
                <w:rFonts w:ascii="Times New Roman" w:hAnsi="Times New Roman" w:cs="Times New Roman"/>
              </w:rPr>
              <w:t>Azerbaijan</w:t>
            </w:r>
            <w:proofErr w:type="spellEnd"/>
            <w:r w:rsidRPr="00980E2E">
              <w:rPr>
                <w:rFonts w:ascii="Times New Roman" w:hAnsi="Times New Roman" w:cs="Times New Roman"/>
              </w:rPr>
              <w:t xml:space="preserve"> International </w:t>
            </w:r>
            <w:proofErr w:type="spellStart"/>
            <w:r w:rsidRPr="00980E2E">
              <w:rPr>
                <w:rFonts w:ascii="Times New Roman" w:hAnsi="Times New Roman" w:cs="Times New Roman"/>
              </w:rPr>
              <w:t>Defence</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Exhibition</w:t>
            </w:r>
            <w:proofErr w:type="spellEnd"/>
          </w:p>
        </w:tc>
        <w:tc>
          <w:tcPr>
            <w:tcW w:w="0" w:type="auto"/>
            <w:vAlign w:val="center"/>
            <w:hideMark/>
          </w:tcPr>
          <w:p w14:paraId="0A7CBD77"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Defence</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Military</w:t>
            </w:r>
            <w:proofErr w:type="spellEnd"/>
          </w:p>
        </w:tc>
        <w:tc>
          <w:tcPr>
            <w:tcW w:w="1290" w:type="dxa"/>
            <w:vAlign w:val="center"/>
            <w:hideMark/>
          </w:tcPr>
          <w:p w14:paraId="6E7D4423"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56ABDE9C" w14:textId="77777777" w:rsidR="00ED6AF0" w:rsidRPr="00980E2E" w:rsidRDefault="00ED6AF0" w:rsidP="00841636">
            <w:pPr>
              <w:jc w:val="center"/>
              <w:rPr>
                <w:rFonts w:ascii="Times New Roman" w:hAnsi="Times New Roman" w:cs="Times New Roman"/>
              </w:rPr>
            </w:pPr>
            <w:hyperlink r:id="rId21" w:tgtFrame="_new" w:history="1">
              <w:r w:rsidRPr="00980E2E">
                <w:rPr>
                  <w:rStyle w:val="Hyperlink"/>
                  <w:rFonts w:ascii="Times New Roman" w:hAnsi="Times New Roman" w:cs="Times New Roman"/>
                </w:rPr>
                <w:t>https://adex.az/en</w:t>
              </w:r>
            </w:hyperlink>
          </w:p>
        </w:tc>
      </w:tr>
      <w:tr w:rsidR="00ED6AF0" w:rsidRPr="00980E2E" w14:paraId="2C35E1BA" w14:textId="77777777" w:rsidTr="00ED6AF0">
        <w:trPr>
          <w:tblCellSpacing w:w="15" w:type="dxa"/>
        </w:trPr>
        <w:tc>
          <w:tcPr>
            <w:tcW w:w="0" w:type="auto"/>
            <w:vAlign w:val="center"/>
            <w:hideMark/>
          </w:tcPr>
          <w:p w14:paraId="6CF8AE03"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22–24 </w:t>
            </w:r>
            <w:proofErr w:type="spellStart"/>
            <w:r w:rsidRPr="00980E2E">
              <w:rPr>
                <w:rFonts w:ascii="Times New Roman" w:hAnsi="Times New Roman" w:cs="Times New Roman"/>
              </w:rPr>
              <w:t>Sep</w:t>
            </w:r>
            <w:proofErr w:type="spellEnd"/>
            <w:r w:rsidRPr="00980E2E">
              <w:rPr>
                <w:rFonts w:ascii="Times New Roman" w:hAnsi="Times New Roman" w:cs="Times New Roman"/>
              </w:rPr>
              <w:t xml:space="preserve"> 2026</w:t>
            </w:r>
          </w:p>
        </w:tc>
        <w:tc>
          <w:tcPr>
            <w:tcW w:w="0" w:type="auto"/>
            <w:vAlign w:val="center"/>
            <w:hideMark/>
          </w:tcPr>
          <w:p w14:paraId="1B38AB3E"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Securex</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Caspian</w:t>
            </w:r>
            <w:proofErr w:type="spellEnd"/>
          </w:p>
        </w:tc>
        <w:tc>
          <w:tcPr>
            <w:tcW w:w="0" w:type="auto"/>
            <w:vAlign w:val="center"/>
            <w:hideMark/>
          </w:tcPr>
          <w:p w14:paraId="680E30A1"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Security</w:t>
            </w:r>
            <w:proofErr w:type="spellEnd"/>
            <w:r w:rsidRPr="00980E2E">
              <w:rPr>
                <w:rFonts w:ascii="Times New Roman" w:hAnsi="Times New Roman" w:cs="Times New Roman"/>
              </w:rPr>
              <w:t xml:space="preserve"> &amp; Rescue</w:t>
            </w:r>
          </w:p>
        </w:tc>
        <w:tc>
          <w:tcPr>
            <w:tcW w:w="1290" w:type="dxa"/>
            <w:vAlign w:val="center"/>
            <w:hideMark/>
          </w:tcPr>
          <w:p w14:paraId="036C78CB"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7362B13A" w14:textId="77777777" w:rsidR="00ED6AF0" w:rsidRPr="00980E2E" w:rsidRDefault="00ED6AF0" w:rsidP="00841636">
            <w:pPr>
              <w:jc w:val="center"/>
              <w:rPr>
                <w:rFonts w:ascii="Times New Roman" w:hAnsi="Times New Roman" w:cs="Times New Roman"/>
              </w:rPr>
            </w:pPr>
            <w:hyperlink r:id="rId22" w:tgtFrame="_new" w:history="1">
              <w:r w:rsidRPr="00980E2E">
                <w:rPr>
                  <w:rStyle w:val="Hyperlink"/>
                  <w:rFonts w:ascii="Times New Roman" w:hAnsi="Times New Roman" w:cs="Times New Roman"/>
                </w:rPr>
                <w:t>https://securexcaspian.az/en</w:t>
              </w:r>
            </w:hyperlink>
          </w:p>
        </w:tc>
      </w:tr>
      <w:tr w:rsidR="00ED6AF0" w:rsidRPr="00980E2E" w14:paraId="20FA480C" w14:textId="77777777" w:rsidTr="00ED6AF0">
        <w:trPr>
          <w:tblCellSpacing w:w="15" w:type="dxa"/>
        </w:trPr>
        <w:tc>
          <w:tcPr>
            <w:tcW w:w="0" w:type="auto"/>
            <w:vAlign w:val="center"/>
            <w:hideMark/>
          </w:tcPr>
          <w:p w14:paraId="2A216687"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14–16 </w:t>
            </w:r>
            <w:proofErr w:type="spellStart"/>
            <w:r w:rsidRPr="00980E2E">
              <w:rPr>
                <w:rFonts w:ascii="Times New Roman" w:hAnsi="Times New Roman" w:cs="Times New Roman"/>
              </w:rPr>
              <w:t>Oct</w:t>
            </w:r>
            <w:proofErr w:type="spellEnd"/>
            <w:r w:rsidRPr="00980E2E">
              <w:rPr>
                <w:rFonts w:ascii="Times New Roman" w:hAnsi="Times New Roman" w:cs="Times New Roman"/>
              </w:rPr>
              <w:t xml:space="preserve"> 2026</w:t>
            </w:r>
          </w:p>
        </w:tc>
        <w:tc>
          <w:tcPr>
            <w:tcW w:w="0" w:type="auto"/>
            <w:vAlign w:val="center"/>
            <w:hideMark/>
          </w:tcPr>
          <w:p w14:paraId="5E67073B"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BakuBuild</w:t>
            </w:r>
            <w:proofErr w:type="spellEnd"/>
          </w:p>
        </w:tc>
        <w:tc>
          <w:tcPr>
            <w:tcW w:w="0" w:type="auto"/>
            <w:vAlign w:val="center"/>
            <w:hideMark/>
          </w:tcPr>
          <w:p w14:paraId="318D597F"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Construction</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Architecture</w:t>
            </w:r>
            <w:proofErr w:type="spellEnd"/>
          </w:p>
        </w:tc>
        <w:tc>
          <w:tcPr>
            <w:tcW w:w="1290" w:type="dxa"/>
            <w:vAlign w:val="center"/>
            <w:hideMark/>
          </w:tcPr>
          <w:p w14:paraId="16AF28AB"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58B7DF31" w14:textId="77777777" w:rsidR="00ED6AF0" w:rsidRPr="00980E2E" w:rsidRDefault="00ED6AF0" w:rsidP="00841636">
            <w:pPr>
              <w:jc w:val="center"/>
              <w:rPr>
                <w:rFonts w:ascii="Times New Roman" w:hAnsi="Times New Roman" w:cs="Times New Roman"/>
              </w:rPr>
            </w:pPr>
            <w:hyperlink r:id="rId23" w:tgtFrame="_new" w:history="1">
              <w:r w:rsidRPr="00980E2E">
                <w:rPr>
                  <w:rStyle w:val="Hyperlink"/>
                  <w:rFonts w:ascii="Times New Roman" w:hAnsi="Times New Roman" w:cs="Times New Roman"/>
                </w:rPr>
                <w:t>https://bakubuild.az/en</w:t>
              </w:r>
            </w:hyperlink>
          </w:p>
        </w:tc>
      </w:tr>
      <w:tr w:rsidR="00ED6AF0" w:rsidRPr="00980E2E" w14:paraId="2C803E28" w14:textId="77777777" w:rsidTr="00ED6AF0">
        <w:trPr>
          <w:tblCellSpacing w:w="15" w:type="dxa"/>
        </w:trPr>
        <w:tc>
          <w:tcPr>
            <w:tcW w:w="0" w:type="auto"/>
            <w:vAlign w:val="center"/>
            <w:hideMark/>
          </w:tcPr>
          <w:p w14:paraId="3CAAC7C1"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14–16 </w:t>
            </w:r>
            <w:proofErr w:type="spellStart"/>
            <w:r w:rsidRPr="00980E2E">
              <w:rPr>
                <w:rFonts w:ascii="Times New Roman" w:hAnsi="Times New Roman" w:cs="Times New Roman"/>
              </w:rPr>
              <w:t>Oct</w:t>
            </w:r>
            <w:proofErr w:type="spellEnd"/>
            <w:r w:rsidRPr="00980E2E">
              <w:rPr>
                <w:rFonts w:ascii="Times New Roman" w:hAnsi="Times New Roman" w:cs="Times New Roman"/>
              </w:rPr>
              <w:t xml:space="preserve"> 2026</w:t>
            </w:r>
          </w:p>
        </w:tc>
        <w:tc>
          <w:tcPr>
            <w:tcW w:w="0" w:type="auto"/>
            <w:vAlign w:val="center"/>
            <w:hideMark/>
          </w:tcPr>
          <w:p w14:paraId="7EBE1751"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Road</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Traffic</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Azerbaijan</w:t>
            </w:r>
            <w:proofErr w:type="spellEnd"/>
          </w:p>
        </w:tc>
        <w:tc>
          <w:tcPr>
            <w:tcW w:w="0" w:type="auto"/>
            <w:vAlign w:val="center"/>
            <w:hideMark/>
          </w:tcPr>
          <w:p w14:paraId="5D918751"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Road</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Infrastructure</w:t>
            </w:r>
            <w:proofErr w:type="spellEnd"/>
          </w:p>
        </w:tc>
        <w:tc>
          <w:tcPr>
            <w:tcW w:w="1290" w:type="dxa"/>
            <w:vAlign w:val="center"/>
            <w:hideMark/>
          </w:tcPr>
          <w:p w14:paraId="3301293C"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4E97B179" w14:textId="77777777" w:rsidR="00ED6AF0" w:rsidRPr="00980E2E" w:rsidRDefault="00ED6AF0" w:rsidP="00841636">
            <w:pPr>
              <w:jc w:val="center"/>
              <w:rPr>
                <w:rFonts w:ascii="Times New Roman" w:hAnsi="Times New Roman" w:cs="Times New Roman"/>
              </w:rPr>
            </w:pPr>
            <w:hyperlink r:id="rId24" w:tgtFrame="_new" w:history="1">
              <w:r w:rsidRPr="00980E2E">
                <w:rPr>
                  <w:rStyle w:val="Hyperlink"/>
                  <w:rFonts w:ascii="Times New Roman" w:hAnsi="Times New Roman" w:cs="Times New Roman"/>
                </w:rPr>
                <w:t>https://roadtraffic.az/en</w:t>
              </w:r>
            </w:hyperlink>
          </w:p>
        </w:tc>
      </w:tr>
      <w:tr w:rsidR="00ED6AF0" w:rsidRPr="00980E2E" w14:paraId="5BF94E3C" w14:textId="77777777" w:rsidTr="00ED6AF0">
        <w:trPr>
          <w:tblCellSpacing w:w="15" w:type="dxa"/>
        </w:trPr>
        <w:tc>
          <w:tcPr>
            <w:tcW w:w="0" w:type="auto"/>
            <w:vAlign w:val="center"/>
            <w:hideMark/>
          </w:tcPr>
          <w:p w14:paraId="4EDD5E25"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14–16 </w:t>
            </w:r>
            <w:proofErr w:type="spellStart"/>
            <w:r w:rsidRPr="00980E2E">
              <w:rPr>
                <w:rFonts w:ascii="Times New Roman" w:hAnsi="Times New Roman" w:cs="Times New Roman"/>
              </w:rPr>
              <w:t>Oct</w:t>
            </w:r>
            <w:proofErr w:type="spellEnd"/>
            <w:r w:rsidRPr="00980E2E">
              <w:rPr>
                <w:rFonts w:ascii="Times New Roman" w:hAnsi="Times New Roman" w:cs="Times New Roman"/>
              </w:rPr>
              <w:t xml:space="preserve"> 2026</w:t>
            </w:r>
          </w:p>
        </w:tc>
        <w:tc>
          <w:tcPr>
            <w:tcW w:w="0" w:type="auto"/>
            <w:vAlign w:val="center"/>
            <w:hideMark/>
          </w:tcPr>
          <w:p w14:paraId="1D719493"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Plastex</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Caspian</w:t>
            </w:r>
            <w:proofErr w:type="spellEnd"/>
          </w:p>
        </w:tc>
        <w:tc>
          <w:tcPr>
            <w:tcW w:w="0" w:type="auto"/>
            <w:vAlign w:val="center"/>
            <w:hideMark/>
          </w:tcPr>
          <w:p w14:paraId="295D8ACB"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Plastics</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Polymers</w:t>
            </w:r>
            <w:proofErr w:type="spellEnd"/>
          </w:p>
        </w:tc>
        <w:tc>
          <w:tcPr>
            <w:tcW w:w="1290" w:type="dxa"/>
            <w:vAlign w:val="center"/>
            <w:hideMark/>
          </w:tcPr>
          <w:p w14:paraId="04A25ADA"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63840D26" w14:textId="77777777" w:rsidR="00ED6AF0" w:rsidRPr="00980E2E" w:rsidRDefault="00ED6AF0" w:rsidP="00841636">
            <w:pPr>
              <w:jc w:val="center"/>
              <w:rPr>
                <w:rFonts w:ascii="Times New Roman" w:hAnsi="Times New Roman" w:cs="Times New Roman"/>
              </w:rPr>
            </w:pPr>
            <w:hyperlink r:id="rId25" w:tgtFrame="_new" w:history="1">
              <w:r w:rsidRPr="00980E2E">
                <w:rPr>
                  <w:rStyle w:val="Hyperlink"/>
                  <w:rFonts w:ascii="Times New Roman" w:hAnsi="Times New Roman" w:cs="Times New Roman"/>
                </w:rPr>
                <w:t>https://plastex.az/en</w:t>
              </w:r>
            </w:hyperlink>
          </w:p>
        </w:tc>
      </w:tr>
      <w:tr w:rsidR="00ED6AF0" w:rsidRPr="00980E2E" w14:paraId="5F09E021" w14:textId="77777777" w:rsidTr="00ED6AF0">
        <w:trPr>
          <w:tblCellSpacing w:w="15" w:type="dxa"/>
        </w:trPr>
        <w:tc>
          <w:tcPr>
            <w:tcW w:w="0" w:type="auto"/>
            <w:vAlign w:val="center"/>
            <w:hideMark/>
          </w:tcPr>
          <w:p w14:paraId="063B2F10"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4–6 </w:t>
            </w:r>
            <w:proofErr w:type="spellStart"/>
            <w:r w:rsidRPr="00980E2E">
              <w:rPr>
                <w:rFonts w:ascii="Times New Roman" w:hAnsi="Times New Roman" w:cs="Times New Roman"/>
              </w:rPr>
              <w:t>Nov</w:t>
            </w:r>
            <w:proofErr w:type="spellEnd"/>
            <w:r w:rsidRPr="00980E2E">
              <w:rPr>
                <w:rFonts w:ascii="Times New Roman" w:hAnsi="Times New Roman" w:cs="Times New Roman"/>
              </w:rPr>
              <w:t xml:space="preserve"> 2026</w:t>
            </w:r>
          </w:p>
        </w:tc>
        <w:tc>
          <w:tcPr>
            <w:tcW w:w="0" w:type="auto"/>
            <w:vAlign w:val="center"/>
            <w:hideMark/>
          </w:tcPr>
          <w:p w14:paraId="2789356E"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Medinex</w:t>
            </w:r>
            <w:proofErr w:type="spellEnd"/>
          </w:p>
        </w:tc>
        <w:tc>
          <w:tcPr>
            <w:tcW w:w="0" w:type="auto"/>
            <w:vAlign w:val="center"/>
            <w:hideMark/>
          </w:tcPr>
          <w:p w14:paraId="55D394C7"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Healthcare</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Medical</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Tech</w:t>
            </w:r>
            <w:proofErr w:type="spellEnd"/>
          </w:p>
        </w:tc>
        <w:tc>
          <w:tcPr>
            <w:tcW w:w="1290" w:type="dxa"/>
            <w:vAlign w:val="center"/>
            <w:hideMark/>
          </w:tcPr>
          <w:p w14:paraId="30FF6BA3"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51D121C8" w14:textId="77777777" w:rsidR="00ED6AF0" w:rsidRPr="00980E2E" w:rsidRDefault="00ED6AF0" w:rsidP="00841636">
            <w:pPr>
              <w:jc w:val="center"/>
              <w:rPr>
                <w:rFonts w:ascii="Times New Roman" w:hAnsi="Times New Roman" w:cs="Times New Roman"/>
              </w:rPr>
            </w:pPr>
            <w:hyperlink r:id="rId26" w:tgtFrame="_new" w:history="1">
              <w:r w:rsidRPr="00980E2E">
                <w:rPr>
                  <w:rStyle w:val="Hyperlink"/>
                  <w:rFonts w:ascii="Times New Roman" w:hAnsi="Times New Roman" w:cs="Times New Roman"/>
                </w:rPr>
                <w:t>https://medinex.az/en</w:t>
              </w:r>
            </w:hyperlink>
          </w:p>
        </w:tc>
      </w:tr>
      <w:tr w:rsidR="00ED6AF0" w:rsidRPr="00980E2E" w14:paraId="29591DF1" w14:textId="77777777" w:rsidTr="00ED6AF0">
        <w:trPr>
          <w:tblCellSpacing w:w="15" w:type="dxa"/>
        </w:trPr>
        <w:tc>
          <w:tcPr>
            <w:tcW w:w="0" w:type="auto"/>
            <w:vAlign w:val="center"/>
            <w:hideMark/>
          </w:tcPr>
          <w:p w14:paraId="18E8301A"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2026 (TBD)</w:t>
            </w:r>
          </w:p>
        </w:tc>
        <w:tc>
          <w:tcPr>
            <w:tcW w:w="0" w:type="auto"/>
            <w:vAlign w:val="center"/>
            <w:hideMark/>
          </w:tcPr>
          <w:p w14:paraId="1E8A0E51"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Polymers</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Azerbaijan</w:t>
            </w:r>
            <w:proofErr w:type="spellEnd"/>
            <w:r w:rsidRPr="00980E2E">
              <w:rPr>
                <w:rFonts w:ascii="Times New Roman" w:hAnsi="Times New Roman" w:cs="Times New Roman"/>
              </w:rPr>
              <w:t xml:space="preserve"> &amp; CIS 2026</w:t>
            </w:r>
          </w:p>
        </w:tc>
        <w:tc>
          <w:tcPr>
            <w:tcW w:w="0" w:type="auto"/>
            <w:vAlign w:val="center"/>
            <w:hideMark/>
          </w:tcPr>
          <w:p w14:paraId="31540E19"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Polymers</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Manufacturing</w:t>
            </w:r>
            <w:proofErr w:type="spellEnd"/>
          </w:p>
        </w:tc>
        <w:tc>
          <w:tcPr>
            <w:tcW w:w="1290" w:type="dxa"/>
            <w:vAlign w:val="center"/>
            <w:hideMark/>
          </w:tcPr>
          <w:p w14:paraId="00AD924D"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w:t>
            </w:r>
          </w:p>
        </w:tc>
        <w:tc>
          <w:tcPr>
            <w:tcW w:w="4389" w:type="dxa"/>
            <w:vAlign w:val="center"/>
            <w:hideMark/>
          </w:tcPr>
          <w:p w14:paraId="1DD256D0" w14:textId="77777777" w:rsidR="00ED6AF0" w:rsidRPr="00980E2E" w:rsidRDefault="00ED6AF0" w:rsidP="00841636">
            <w:pPr>
              <w:jc w:val="center"/>
              <w:rPr>
                <w:rFonts w:ascii="Times New Roman" w:hAnsi="Times New Roman" w:cs="Times New Roman"/>
              </w:rPr>
            </w:pPr>
            <w:hyperlink r:id="rId27" w:tgtFrame="_new" w:history="1">
              <w:r w:rsidRPr="00980E2E">
                <w:rPr>
                  <w:rStyle w:val="Hyperlink"/>
                  <w:rFonts w:ascii="Times New Roman" w:hAnsi="Times New Roman" w:cs="Times New Roman"/>
                </w:rPr>
                <w:t>https://showsbee.com/shows/polymers-azerbaijan</w:t>
              </w:r>
            </w:hyperlink>
          </w:p>
        </w:tc>
      </w:tr>
      <w:tr w:rsidR="00ED6AF0" w:rsidRPr="00980E2E" w14:paraId="1B442630" w14:textId="77777777" w:rsidTr="00ED6AF0">
        <w:trPr>
          <w:tblCellSpacing w:w="15" w:type="dxa"/>
        </w:trPr>
        <w:tc>
          <w:tcPr>
            <w:tcW w:w="0" w:type="auto"/>
            <w:vAlign w:val="center"/>
            <w:hideMark/>
          </w:tcPr>
          <w:p w14:paraId="5ADE6441"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Apr</w:t>
            </w:r>
            <w:proofErr w:type="spellEnd"/>
            <w:r w:rsidRPr="00980E2E">
              <w:rPr>
                <w:rFonts w:ascii="Times New Roman" w:hAnsi="Times New Roman" w:cs="Times New Roman"/>
              </w:rPr>
              <w:t xml:space="preserve"> 2027 (FYI)</w:t>
            </w:r>
          </w:p>
        </w:tc>
        <w:tc>
          <w:tcPr>
            <w:tcW w:w="0" w:type="auto"/>
            <w:vAlign w:val="center"/>
            <w:hideMark/>
          </w:tcPr>
          <w:p w14:paraId="20B8EE90"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 xml:space="preserve">Baku </w:t>
            </w:r>
            <w:proofErr w:type="spellStart"/>
            <w:r w:rsidRPr="00980E2E">
              <w:rPr>
                <w:rFonts w:ascii="Times New Roman" w:hAnsi="Times New Roman" w:cs="Times New Roman"/>
              </w:rPr>
              <w:t>Water</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Week</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biennial</w:t>
            </w:r>
            <w:proofErr w:type="spellEnd"/>
            <w:r w:rsidRPr="00980E2E">
              <w:rPr>
                <w:rFonts w:ascii="Times New Roman" w:hAnsi="Times New Roman" w:cs="Times New Roman"/>
              </w:rPr>
              <w:t>)</w:t>
            </w:r>
          </w:p>
        </w:tc>
        <w:tc>
          <w:tcPr>
            <w:tcW w:w="0" w:type="auto"/>
            <w:vAlign w:val="center"/>
            <w:hideMark/>
          </w:tcPr>
          <w:p w14:paraId="71A4DD7B" w14:textId="77777777" w:rsidR="00ED6AF0" w:rsidRPr="00980E2E" w:rsidRDefault="00ED6AF0" w:rsidP="00841636">
            <w:pPr>
              <w:jc w:val="center"/>
              <w:rPr>
                <w:rFonts w:ascii="Times New Roman" w:hAnsi="Times New Roman" w:cs="Times New Roman"/>
              </w:rPr>
            </w:pPr>
            <w:proofErr w:type="spellStart"/>
            <w:r w:rsidRPr="00980E2E">
              <w:rPr>
                <w:rFonts w:ascii="Times New Roman" w:hAnsi="Times New Roman" w:cs="Times New Roman"/>
              </w:rPr>
              <w:t>Water</w:t>
            </w:r>
            <w:proofErr w:type="spellEnd"/>
            <w:r w:rsidRPr="00980E2E">
              <w:rPr>
                <w:rFonts w:ascii="Times New Roman" w:hAnsi="Times New Roman" w:cs="Times New Roman"/>
              </w:rPr>
              <w:t xml:space="preserve"> </w:t>
            </w:r>
            <w:proofErr w:type="spellStart"/>
            <w:r w:rsidRPr="00980E2E">
              <w:rPr>
                <w:rFonts w:ascii="Times New Roman" w:hAnsi="Times New Roman" w:cs="Times New Roman"/>
              </w:rPr>
              <w:t>Management</w:t>
            </w:r>
            <w:proofErr w:type="spellEnd"/>
            <w:r w:rsidRPr="00980E2E">
              <w:rPr>
                <w:rFonts w:ascii="Times New Roman" w:hAnsi="Times New Roman" w:cs="Times New Roman"/>
              </w:rPr>
              <w:t xml:space="preserve"> &amp; </w:t>
            </w:r>
            <w:proofErr w:type="spellStart"/>
            <w:r w:rsidRPr="00980E2E">
              <w:rPr>
                <w:rFonts w:ascii="Times New Roman" w:hAnsi="Times New Roman" w:cs="Times New Roman"/>
              </w:rPr>
              <w:t>Environment</w:t>
            </w:r>
            <w:proofErr w:type="spellEnd"/>
          </w:p>
        </w:tc>
        <w:tc>
          <w:tcPr>
            <w:tcW w:w="1290" w:type="dxa"/>
            <w:vAlign w:val="center"/>
            <w:hideMark/>
          </w:tcPr>
          <w:p w14:paraId="5CD1A959" w14:textId="77777777" w:rsidR="00ED6AF0" w:rsidRPr="00980E2E" w:rsidRDefault="00ED6AF0" w:rsidP="00841636">
            <w:pPr>
              <w:jc w:val="center"/>
              <w:rPr>
                <w:rFonts w:ascii="Times New Roman" w:hAnsi="Times New Roman" w:cs="Times New Roman"/>
              </w:rPr>
            </w:pPr>
            <w:r w:rsidRPr="00980E2E">
              <w:rPr>
                <w:rFonts w:ascii="Times New Roman" w:hAnsi="Times New Roman" w:cs="Times New Roman"/>
              </w:rPr>
              <w:t>Baku Expo Centre</w:t>
            </w:r>
          </w:p>
        </w:tc>
        <w:tc>
          <w:tcPr>
            <w:tcW w:w="4389" w:type="dxa"/>
            <w:vAlign w:val="center"/>
            <w:hideMark/>
          </w:tcPr>
          <w:p w14:paraId="725AAA4C" w14:textId="77777777" w:rsidR="00ED6AF0" w:rsidRPr="00980E2E" w:rsidRDefault="00ED6AF0" w:rsidP="00841636">
            <w:pPr>
              <w:jc w:val="center"/>
              <w:rPr>
                <w:rFonts w:ascii="Times New Roman" w:hAnsi="Times New Roman" w:cs="Times New Roman"/>
              </w:rPr>
            </w:pPr>
            <w:hyperlink r:id="rId28" w:tgtFrame="_new" w:history="1">
              <w:r w:rsidRPr="00980E2E">
                <w:rPr>
                  <w:rStyle w:val="Hyperlink"/>
                  <w:rFonts w:ascii="Times New Roman" w:hAnsi="Times New Roman" w:cs="Times New Roman"/>
                </w:rPr>
                <w:t>https://bakuwaterweek.az/en</w:t>
              </w:r>
            </w:hyperlink>
          </w:p>
        </w:tc>
      </w:tr>
    </w:tbl>
    <w:p w14:paraId="487578E7" w14:textId="77777777" w:rsidR="00794063" w:rsidRDefault="00794063" w:rsidP="002A5305">
      <w:pPr>
        <w:jc w:val="both"/>
        <w:rPr>
          <w:rFonts w:ascii="Times New Roman" w:hAnsi="Times New Roman" w:cs="Times New Roman"/>
          <w:i/>
          <w:iCs/>
          <w:sz w:val="18"/>
          <w:szCs w:val="18"/>
        </w:rPr>
      </w:pPr>
    </w:p>
    <w:p w14:paraId="29E64879" w14:textId="1351E972" w:rsidR="005826C9" w:rsidRPr="002A5305" w:rsidRDefault="008D78CD" w:rsidP="002A5305">
      <w:pPr>
        <w:jc w:val="both"/>
        <w:rPr>
          <w:rFonts w:ascii="Times New Roman" w:hAnsi="Times New Roman" w:cs="Times New Roman"/>
          <w:b/>
          <w:bCs/>
        </w:rPr>
      </w:pPr>
      <w:r w:rsidRPr="002A5305">
        <w:rPr>
          <w:rFonts w:ascii="Times New Roman" w:hAnsi="Times New Roman" w:cs="Times New Roman"/>
          <w:b/>
          <w:bCs/>
        </w:rPr>
        <w:t>Perspektyvi</w:t>
      </w:r>
      <w:r w:rsidR="00060FD2" w:rsidRPr="002A5305">
        <w:rPr>
          <w:rFonts w:ascii="Times New Roman" w:hAnsi="Times New Roman" w:cs="Times New Roman"/>
          <w:b/>
          <w:bCs/>
        </w:rPr>
        <w:t>os</w:t>
      </w:r>
      <w:r w:rsidRPr="002A5305">
        <w:rPr>
          <w:rFonts w:ascii="Times New Roman" w:hAnsi="Times New Roman" w:cs="Times New Roman"/>
          <w:b/>
          <w:bCs/>
        </w:rPr>
        <w:t xml:space="preserve"> Lietuvos-Azerbaidžano dvišalio ekonominio bendradarbiavimo kryptys</w:t>
      </w:r>
    </w:p>
    <w:p w14:paraId="1353A2E9" w14:textId="7E347CCB" w:rsidR="00BB4E09" w:rsidRDefault="008D78CD" w:rsidP="002A5305">
      <w:pPr>
        <w:pStyle w:val="ListParagraph"/>
        <w:numPr>
          <w:ilvl w:val="0"/>
          <w:numId w:val="19"/>
        </w:numPr>
        <w:jc w:val="both"/>
        <w:rPr>
          <w:rFonts w:ascii="Times New Roman" w:hAnsi="Times New Roman" w:cs="Times New Roman"/>
        </w:rPr>
      </w:pPr>
      <w:r w:rsidRPr="002A5305">
        <w:rPr>
          <w:rFonts w:ascii="Times New Roman" w:hAnsi="Times New Roman" w:cs="Times New Roman"/>
        </w:rPr>
        <w:t xml:space="preserve">ICT sektorius (ICT paslaugos, kibernetinio saugumo ir e. valdžios sprendimai; </w:t>
      </w:r>
      <w:proofErr w:type="spellStart"/>
      <w:r w:rsidRPr="002A5305">
        <w:rPr>
          <w:rFonts w:ascii="Times New Roman" w:hAnsi="Times New Roman" w:cs="Times New Roman"/>
        </w:rPr>
        <w:t>fintech</w:t>
      </w:r>
      <w:proofErr w:type="spellEnd"/>
      <w:r w:rsidR="00B0725B">
        <w:rPr>
          <w:rFonts w:ascii="Times New Roman" w:hAnsi="Times New Roman" w:cs="Times New Roman"/>
        </w:rPr>
        <w:t>, DI</w:t>
      </w:r>
      <w:r w:rsidR="00BB4E09" w:rsidRPr="002A5305">
        <w:rPr>
          <w:rFonts w:ascii="Times New Roman" w:hAnsi="Times New Roman" w:cs="Times New Roman"/>
        </w:rPr>
        <w:t>)</w:t>
      </w:r>
      <w:r w:rsidR="00794063">
        <w:rPr>
          <w:rFonts w:ascii="Times New Roman" w:hAnsi="Times New Roman" w:cs="Times New Roman"/>
        </w:rPr>
        <w:t>;</w:t>
      </w:r>
    </w:p>
    <w:p w14:paraId="12F357BC" w14:textId="3EA46212" w:rsidR="006A48B1" w:rsidRPr="002A5305" w:rsidRDefault="006A48B1" w:rsidP="006A48B1">
      <w:pPr>
        <w:pStyle w:val="ListParagraph"/>
        <w:numPr>
          <w:ilvl w:val="0"/>
          <w:numId w:val="19"/>
        </w:numPr>
        <w:jc w:val="both"/>
        <w:rPr>
          <w:rFonts w:ascii="Times New Roman" w:hAnsi="Times New Roman" w:cs="Times New Roman"/>
        </w:rPr>
      </w:pPr>
      <w:r w:rsidRPr="002A5305">
        <w:rPr>
          <w:rFonts w:ascii="Times New Roman" w:hAnsi="Times New Roman" w:cs="Times New Roman"/>
        </w:rPr>
        <w:t>Logistika, transportas</w:t>
      </w:r>
      <w:r>
        <w:rPr>
          <w:rFonts w:ascii="Times New Roman" w:hAnsi="Times New Roman" w:cs="Times New Roman"/>
        </w:rPr>
        <w:t xml:space="preserve"> (</w:t>
      </w:r>
      <w:r w:rsidRPr="006A48B1">
        <w:rPr>
          <w:rFonts w:ascii="Times New Roman" w:hAnsi="Times New Roman" w:cs="Times New Roman"/>
        </w:rPr>
        <w:t>Klaipėdos uosto</w:t>
      </w:r>
      <w:r w:rsidR="00794063">
        <w:rPr>
          <w:rFonts w:ascii="Times New Roman" w:hAnsi="Times New Roman" w:cs="Times New Roman"/>
        </w:rPr>
        <w:t xml:space="preserve"> – </w:t>
      </w:r>
      <w:r w:rsidRPr="006A48B1">
        <w:rPr>
          <w:rFonts w:ascii="Times New Roman" w:hAnsi="Times New Roman" w:cs="Times New Roman"/>
        </w:rPr>
        <w:t>Baku/</w:t>
      </w:r>
      <w:proofErr w:type="spellStart"/>
      <w:r w:rsidRPr="006A48B1">
        <w:rPr>
          <w:rFonts w:ascii="Times New Roman" w:hAnsi="Times New Roman" w:cs="Times New Roman"/>
        </w:rPr>
        <w:t>Alato</w:t>
      </w:r>
      <w:proofErr w:type="spellEnd"/>
      <w:r w:rsidRPr="006A48B1">
        <w:rPr>
          <w:rFonts w:ascii="Times New Roman" w:hAnsi="Times New Roman" w:cs="Times New Roman"/>
        </w:rPr>
        <w:t xml:space="preserve"> uosto partnerystė; </w:t>
      </w:r>
      <w:proofErr w:type="spellStart"/>
      <w:r>
        <w:rPr>
          <w:rFonts w:ascii="Times New Roman" w:hAnsi="Times New Roman" w:cs="Times New Roman"/>
        </w:rPr>
        <w:t>i</w:t>
      </w:r>
      <w:r w:rsidRPr="006A48B1">
        <w:rPr>
          <w:rFonts w:ascii="Times New Roman" w:hAnsi="Times New Roman" w:cs="Times New Roman"/>
        </w:rPr>
        <w:t>ntermodalini</w:t>
      </w:r>
      <w:r>
        <w:rPr>
          <w:rFonts w:ascii="Times New Roman" w:hAnsi="Times New Roman" w:cs="Times New Roman"/>
        </w:rPr>
        <w:t>s</w:t>
      </w:r>
      <w:proofErr w:type="spellEnd"/>
      <w:r>
        <w:rPr>
          <w:rFonts w:ascii="Times New Roman" w:hAnsi="Times New Roman" w:cs="Times New Roman"/>
        </w:rPr>
        <w:t xml:space="preserve"> transportas)</w:t>
      </w:r>
      <w:r w:rsidR="00794063">
        <w:rPr>
          <w:rFonts w:ascii="Times New Roman" w:hAnsi="Times New Roman" w:cs="Times New Roman"/>
        </w:rPr>
        <w:t>;</w:t>
      </w:r>
    </w:p>
    <w:p w14:paraId="5AD75C0D" w14:textId="43531CCA" w:rsidR="006A48B1" w:rsidRPr="00F224AE" w:rsidRDefault="006A48B1" w:rsidP="00F224AE">
      <w:pPr>
        <w:pStyle w:val="ListParagraph"/>
        <w:numPr>
          <w:ilvl w:val="0"/>
          <w:numId w:val="19"/>
        </w:numPr>
        <w:jc w:val="both"/>
        <w:rPr>
          <w:rFonts w:ascii="Times New Roman" w:hAnsi="Times New Roman" w:cs="Times New Roman"/>
        </w:rPr>
      </w:pPr>
      <w:r w:rsidRPr="002A5305">
        <w:rPr>
          <w:rFonts w:ascii="Times New Roman" w:hAnsi="Times New Roman" w:cs="Times New Roman"/>
        </w:rPr>
        <w:t>Atsinaujinanti energetika</w:t>
      </w:r>
      <w:r>
        <w:rPr>
          <w:rFonts w:ascii="Times New Roman" w:hAnsi="Times New Roman" w:cs="Times New Roman"/>
        </w:rPr>
        <w:t xml:space="preserve"> (saulės, vėjo, energetikos reguliavimas</w:t>
      </w:r>
      <w:r w:rsidR="005B042A">
        <w:rPr>
          <w:rFonts w:ascii="Times New Roman" w:hAnsi="Times New Roman" w:cs="Times New Roman"/>
        </w:rPr>
        <w:t xml:space="preserve">, </w:t>
      </w:r>
      <w:r w:rsidR="00225336">
        <w:rPr>
          <w:rFonts w:ascii="Times New Roman" w:hAnsi="Times New Roman" w:cs="Times New Roman"/>
        </w:rPr>
        <w:t>naujų AEŠ sujungimas į elektros tinklą</w:t>
      </w:r>
      <w:r>
        <w:rPr>
          <w:rFonts w:ascii="Times New Roman" w:hAnsi="Times New Roman" w:cs="Times New Roman"/>
        </w:rPr>
        <w:t>)</w:t>
      </w:r>
      <w:r w:rsidR="00794063">
        <w:rPr>
          <w:rFonts w:ascii="Times New Roman" w:hAnsi="Times New Roman" w:cs="Times New Roman"/>
        </w:rPr>
        <w:t>;</w:t>
      </w:r>
    </w:p>
    <w:p w14:paraId="3BE9BE30" w14:textId="69A0707D" w:rsidR="00BB4E09" w:rsidRPr="002A5305" w:rsidRDefault="00794063" w:rsidP="002A5305">
      <w:pPr>
        <w:pStyle w:val="ListParagraph"/>
        <w:numPr>
          <w:ilvl w:val="0"/>
          <w:numId w:val="19"/>
        </w:numPr>
        <w:jc w:val="both"/>
        <w:rPr>
          <w:rFonts w:ascii="Times New Roman" w:hAnsi="Times New Roman" w:cs="Times New Roman"/>
        </w:rPr>
      </w:pPr>
      <w:r>
        <w:rPr>
          <w:rFonts w:ascii="Times New Roman" w:hAnsi="Times New Roman" w:cs="Times New Roman"/>
        </w:rPr>
        <w:lastRenderedPageBreak/>
        <w:t>G</w:t>
      </w:r>
      <w:r w:rsidR="00374778">
        <w:rPr>
          <w:rFonts w:ascii="Times New Roman" w:hAnsi="Times New Roman" w:cs="Times New Roman"/>
        </w:rPr>
        <w:t>y</w:t>
      </w:r>
      <w:r>
        <w:rPr>
          <w:rFonts w:ascii="Times New Roman" w:hAnsi="Times New Roman" w:cs="Times New Roman"/>
        </w:rPr>
        <w:t>vybės mokslai – biochemija, f</w:t>
      </w:r>
      <w:r w:rsidR="00060FD2" w:rsidRPr="002A5305">
        <w:rPr>
          <w:rFonts w:ascii="Times New Roman" w:hAnsi="Times New Roman" w:cs="Times New Roman"/>
        </w:rPr>
        <w:t>armacija</w:t>
      </w:r>
      <w:r>
        <w:rPr>
          <w:rFonts w:ascii="Times New Roman" w:hAnsi="Times New Roman" w:cs="Times New Roman"/>
        </w:rPr>
        <w:t>, biotechnologijos;</w:t>
      </w:r>
    </w:p>
    <w:p w14:paraId="6F85ED8B" w14:textId="2C90E5BC" w:rsidR="00BB4E09" w:rsidRPr="002A5305" w:rsidRDefault="008D78CD" w:rsidP="002A5305">
      <w:pPr>
        <w:pStyle w:val="ListParagraph"/>
        <w:numPr>
          <w:ilvl w:val="0"/>
          <w:numId w:val="19"/>
        </w:numPr>
        <w:jc w:val="both"/>
        <w:rPr>
          <w:rFonts w:ascii="Times New Roman" w:hAnsi="Times New Roman" w:cs="Times New Roman"/>
        </w:rPr>
      </w:pPr>
      <w:r w:rsidRPr="008D78CD">
        <w:rPr>
          <w:rFonts w:ascii="Times New Roman" w:hAnsi="Times New Roman" w:cs="Times New Roman"/>
        </w:rPr>
        <w:t>Turizmas</w:t>
      </w:r>
      <w:r w:rsidR="00BB4E09" w:rsidRPr="002A5305">
        <w:rPr>
          <w:rFonts w:ascii="Times New Roman" w:hAnsi="Times New Roman" w:cs="Times New Roman"/>
        </w:rPr>
        <w:t xml:space="preserve"> </w:t>
      </w:r>
      <w:r w:rsidR="00794063">
        <w:rPr>
          <w:rFonts w:ascii="Times New Roman" w:hAnsi="Times New Roman" w:cs="Times New Roman"/>
        </w:rPr>
        <w:t xml:space="preserve">– </w:t>
      </w:r>
      <w:r w:rsidR="00BB4E09" w:rsidRPr="002A5305">
        <w:rPr>
          <w:rFonts w:ascii="Times New Roman" w:hAnsi="Times New Roman" w:cs="Times New Roman"/>
        </w:rPr>
        <w:t>visų pirma</w:t>
      </w:r>
      <w:r w:rsidR="00794063">
        <w:rPr>
          <w:rFonts w:ascii="Times New Roman" w:hAnsi="Times New Roman" w:cs="Times New Roman"/>
        </w:rPr>
        <w:t xml:space="preserve">, </w:t>
      </w:r>
      <w:r w:rsidR="00BB4E09" w:rsidRPr="002A5305">
        <w:rPr>
          <w:rFonts w:ascii="Times New Roman" w:hAnsi="Times New Roman" w:cs="Times New Roman"/>
        </w:rPr>
        <w:t>sveikatinimo segmente</w:t>
      </w:r>
      <w:r w:rsidR="00794063">
        <w:rPr>
          <w:rFonts w:ascii="Times New Roman" w:hAnsi="Times New Roman" w:cs="Times New Roman"/>
        </w:rPr>
        <w:t>;</w:t>
      </w:r>
    </w:p>
    <w:p w14:paraId="7E2407AB" w14:textId="34E34230" w:rsidR="00BB4E09" w:rsidRPr="002A5305" w:rsidRDefault="008D78CD" w:rsidP="002A5305">
      <w:pPr>
        <w:pStyle w:val="ListParagraph"/>
        <w:numPr>
          <w:ilvl w:val="0"/>
          <w:numId w:val="19"/>
        </w:numPr>
        <w:jc w:val="both"/>
        <w:rPr>
          <w:rFonts w:ascii="Times New Roman" w:hAnsi="Times New Roman" w:cs="Times New Roman"/>
        </w:rPr>
      </w:pPr>
      <w:r w:rsidRPr="002A5305">
        <w:rPr>
          <w:rFonts w:ascii="Times New Roman" w:hAnsi="Times New Roman" w:cs="Times New Roman"/>
        </w:rPr>
        <w:t>Žemės ūkis ir maisto pramonė</w:t>
      </w:r>
      <w:r w:rsidR="00794063">
        <w:rPr>
          <w:rFonts w:ascii="Times New Roman" w:hAnsi="Times New Roman" w:cs="Times New Roman"/>
        </w:rPr>
        <w:t xml:space="preserve"> </w:t>
      </w:r>
      <w:r w:rsidR="00225336">
        <w:rPr>
          <w:rFonts w:ascii="Times New Roman" w:hAnsi="Times New Roman" w:cs="Times New Roman"/>
        </w:rPr>
        <w:t>bei lietuviškų produktų ekspo</w:t>
      </w:r>
      <w:r w:rsidR="00B8553F">
        <w:rPr>
          <w:rFonts w:ascii="Times New Roman" w:hAnsi="Times New Roman" w:cs="Times New Roman"/>
        </w:rPr>
        <w:t>r</w:t>
      </w:r>
      <w:r w:rsidR="00225336">
        <w:rPr>
          <w:rFonts w:ascii="Times New Roman" w:hAnsi="Times New Roman" w:cs="Times New Roman"/>
        </w:rPr>
        <w:t>tas į A</w:t>
      </w:r>
      <w:r w:rsidR="00794063">
        <w:rPr>
          <w:rFonts w:ascii="Times New Roman" w:hAnsi="Times New Roman" w:cs="Times New Roman"/>
        </w:rPr>
        <w:t xml:space="preserve">zerbaidžaną. </w:t>
      </w:r>
    </w:p>
    <w:p w14:paraId="08DCA68E" w14:textId="77777777" w:rsidR="008F02C5" w:rsidRDefault="008F02C5" w:rsidP="008F02C5">
      <w:pPr>
        <w:jc w:val="both"/>
        <w:rPr>
          <w:rFonts w:ascii="Times New Roman" w:hAnsi="Times New Roman" w:cs="Times New Roman"/>
        </w:rPr>
      </w:pPr>
    </w:p>
    <w:p w14:paraId="62DD6AE5" w14:textId="4428A34C" w:rsidR="008D78CD" w:rsidRDefault="008D78CD" w:rsidP="002A5305">
      <w:pPr>
        <w:jc w:val="both"/>
        <w:rPr>
          <w:rFonts w:ascii="Times New Roman" w:hAnsi="Times New Roman" w:cs="Times New Roman"/>
        </w:rPr>
      </w:pPr>
    </w:p>
    <w:p w14:paraId="076C24BD" w14:textId="77777777" w:rsidR="00ED5AB4" w:rsidRDefault="00ED5AB4" w:rsidP="002A5305">
      <w:pPr>
        <w:jc w:val="both"/>
        <w:rPr>
          <w:rFonts w:ascii="Times New Roman" w:hAnsi="Times New Roman" w:cs="Times New Roman"/>
        </w:rPr>
      </w:pPr>
    </w:p>
    <w:sectPr w:rsidR="00ED5AB4">
      <w:headerReference w:type="default" r:id="rId29"/>
      <w:footerReference w:type="default" r:id="rId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AD6F" w14:textId="77777777" w:rsidR="009944A2" w:rsidRDefault="009944A2" w:rsidP="009A42B3">
      <w:pPr>
        <w:spacing w:after="0" w:line="240" w:lineRule="auto"/>
      </w:pPr>
      <w:r>
        <w:separator/>
      </w:r>
    </w:p>
  </w:endnote>
  <w:endnote w:type="continuationSeparator" w:id="0">
    <w:p w14:paraId="5BD3C7F6" w14:textId="77777777" w:rsidR="009944A2" w:rsidRDefault="009944A2" w:rsidP="009A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20238"/>
      <w:docPartObj>
        <w:docPartGallery w:val="Page Numbers (Bottom of Page)"/>
        <w:docPartUnique/>
      </w:docPartObj>
    </w:sdtPr>
    <w:sdtContent>
      <w:p w14:paraId="78EA9B34" w14:textId="07C74ACA" w:rsidR="009A42B3" w:rsidRDefault="009A42B3">
        <w:pPr>
          <w:pStyle w:val="Footer"/>
          <w:jc w:val="right"/>
        </w:pPr>
        <w:r>
          <w:fldChar w:fldCharType="begin"/>
        </w:r>
        <w:r>
          <w:instrText>PAGE   \* MERGEFORMAT</w:instrText>
        </w:r>
        <w:r>
          <w:fldChar w:fldCharType="separate"/>
        </w:r>
        <w:r>
          <w:t>2</w:t>
        </w:r>
        <w:r>
          <w:fldChar w:fldCharType="end"/>
        </w:r>
      </w:p>
    </w:sdtContent>
  </w:sdt>
  <w:p w14:paraId="26866E52" w14:textId="77777777" w:rsidR="009A42B3" w:rsidRDefault="009A4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B5C8" w14:textId="77777777" w:rsidR="009944A2" w:rsidRDefault="009944A2" w:rsidP="009A42B3">
      <w:pPr>
        <w:spacing w:after="0" w:line="240" w:lineRule="auto"/>
      </w:pPr>
      <w:r>
        <w:separator/>
      </w:r>
    </w:p>
  </w:footnote>
  <w:footnote w:type="continuationSeparator" w:id="0">
    <w:p w14:paraId="32D14713" w14:textId="77777777" w:rsidR="009944A2" w:rsidRDefault="009944A2" w:rsidP="009A4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C0DF" w14:textId="2830E098" w:rsidR="00976F86" w:rsidRDefault="00976F86" w:rsidP="00976F86">
    <w:pPr>
      <w:pStyle w:val="Header"/>
      <w:jc w:val="right"/>
      <w:rPr>
        <w:i/>
        <w:iCs/>
        <w:sz w:val="18"/>
        <w:szCs w:val="18"/>
      </w:rPr>
    </w:pPr>
    <w:r w:rsidRPr="00AF495A">
      <w:rPr>
        <w:i/>
        <w:iCs/>
        <w:sz w:val="18"/>
        <w:szCs w:val="18"/>
      </w:rPr>
      <w:t>Parengė Lietuvos Respublikos ambasada Azerbaidžano Respublikoje ir Turkmėnistanui</w:t>
    </w:r>
    <w:r w:rsidR="005671B8">
      <w:rPr>
        <w:i/>
        <w:iCs/>
        <w:sz w:val="18"/>
        <w:szCs w:val="18"/>
      </w:rPr>
      <w:t xml:space="preserve">, </w:t>
    </w:r>
    <w:r w:rsidR="00036E01">
      <w:rPr>
        <w:i/>
        <w:iCs/>
        <w:sz w:val="18"/>
        <w:szCs w:val="18"/>
      </w:rPr>
      <w:t>2026 m. kovas</w:t>
    </w:r>
  </w:p>
  <w:p w14:paraId="721A0FCA" w14:textId="77777777" w:rsidR="00976F86" w:rsidRDefault="00976F86" w:rsidP="00976F86">
    <w:pPr>
      <w:pStyle w:val="Header"/>
    </w:pPr>
  </w:p>
  <w:p w14:paraId="0029326E" w14:textId="542A7132" w:rsidR="00976F86" w:rsidRDefault="00976F86">
    <w:pPr>
      <w:pStyle w:val="Header"/>
    </w:pPr>
  </w:p>
  <w:p w14:paraId="68FCB462" w14:textId="77777777" w:rsidR="00976F86" w:rsidRDefault="00976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6F9"/>
    <w:multiLevelType w:val="multilevel"/>
    <w:tmpl w:val="9E02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E0DA8"/>
    <w:multiLevelType w:val="multilevel"/>
    <w:tmpl w:val="4E0A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4012"/>
    <w:multiLevelType w:val="multilevel"/>
    <w:tmpl w:val="4522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23BC5"/>
    <w:multiLevelType w:val="multilevel"/>
    <w:tmpl w:val="8BC48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36103"/>
    <w:multiLevelType w:val="multilevel"/>
    <w:tmpl w:val="012EB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A7E6E"/>
    <w:multiLevelType w:val="multilevel"/>
    <w:tmpl w:val="41BE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35589"/>
    <w:multiLevelType w:val="multilevel"/>
    <w:tmpl w:val="5072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10DE8"/>
    <w:multiLevelType w:val="multilevel"/>
    <w:tmpl w:val="531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12C79"/>
    <w:multiLevelType w:val="hybridMultilevel"/>
    <w:tmpl w:val="26CCE590"/>
    <w:lvl w:ilvl="0" w:tplc="29DA125E">
      <w:start w:val="2"/>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B726477"/>
    <w:multiLevelType w:val="multilevel"/>
    <w:tmpl w:val="F38A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47A86"/>
    <w:multiLevelType w:val="multilevel"/>
    <w:tmpl w:val="849A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34B30"/>
    <w:multiLevelType w:val="hybridMultilevel"/>
    <w:tmpl w:val="C71AB3BA"/>
    <w:lvl w:ilvl="0" w:tplc="3A425BB0">
      <w:start w:val="1"/>
      <w:numFmt w:val="bullet"/>
      <w:lvlText w:val="-"/>
      <w:lvlJc w:val="left"/>
      <w:pPr>
        <w:ind w:left="720" w:hanging="360"/>
      </w:pPr>
      <w:rPr>
        <w:rFonts w:ascii="Segoe UI Emoji" w:eastAsiaTheme="minorHAnsi" w:hAnsi="Segoe UI Emoji" w:cs="Segoe UI Emoj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565572"/>
    <w:multiLevelType w:val="multilevel"/>
    <w:tmpl w:val="60C0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E55BD"/>
    <w:multiLevelType w:val="multilevel"/>
    <w:tmpl w:val="FC5E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A073D"/>
    <w:multiLevelType w:val="multilevel"/>
    <w:tmpl w:val="C2F6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32D13"/>
    <w:multiLevelType w:val="hybridMultilevel"/>
    <w:tmpl w:val="C832D476"/>
    <w:lvl w:ilvl="0" w:tplc="309C31FC">
      <w:start w:val="1"/>
      <w:numFmt w:val="decimal"/>
      <w:lvlText w:val="%1."/>
      <w:lvlJc w:val="left"/>
      <w:pPr>
        <w:ind w:left="720" w:hanging="360"/>
      </w:pPr>
      <w:rPr>
        <w:rFonts w:ascii="Times New Roman" w:hAnsi="Times New Roman" w:cs="Times New Roman" w:hint="default"/>
        <w:b/>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3552BE"/>
    <w:multiLevelType w:val="multilevel"/>
    <w:tmpl w:val="FA9A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94CCF"/>
    <w:multiLevelType w:val="hybridMultilevel"/>
    <w:tmpl w:val="A502CF94"/>
    <w:lvl w:ilvl="0" w:tplc="FC585ADE">
      <w:start w:val="1"/>
      <w:numFmt w:val="bullet"/>
      <w:lvlText w:val=""/>
      <w:lvlJc w:val="left"/>
      <w:pPr>
        <w:ind w:left="786" w:hanging="360"/>
      </w:pPr>
      <w:rPr>
        <w:rFonts w:ascii="Symbol" w:hAnsi="Symbol" w:hint="default"/>
        <w:color w:val="000000" w:themeColor="text1"/>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4A27FD"/>
    <w:multiLevelType w:val="multilevel"/>
    <w:tmpl w:val="A32A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67C26"/>
    <w:multiLevelType w:val="hybridMultilevel"/>
    <w:tmpl w:val="004CBB62"/>
    <w:lvl w:ilvl="0" w:tplc="987A2B72">
      <w:start w:val="1"/>
      <w:numFmt w:val="bullet"/>
      <w:lvlText w:val="-"/>
      <w:lvlJc w:val="left"/>
      <w:pPr>
        <w:ind w:left="720" w:hanging="360"/>
      </w:pPr>
      <w:rPr>
        <w:rFonts w:ascii="Aptos" w:eastAsiaTheme="minorHAnsi" w:hAnsi="Aptos" w:cstheme="minorBidi"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B52342"/>
    <w:multiLevelType w:val="multilevel"/>
    <w:tmpl w:val="C60E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27C4C"/>
    <w:multiLevelType w:val="multilevel"/>
    <w:tmpl w:val="7C1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9D0885"/>
    <w:multiLevelType w:val="multilevel"/>
    <w:tmpl w:val="2AB6E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C52B91"/>
    <w:multiLevelType w:val="multilevel"/>
    <w:tmpl w:val="44829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757CF"/>
    <w:multiLevelType w:val="multilevel"/>
    <w:tmpl w:val="BFC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76410"/>
    <w:multiLevelType w:val="multilevel"/>
    <w:tmpl w:val="2704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BE7C50"/>
    <w:multiLevelType w:val="multilevel"/>
    <w:tmpl w:val="98F468F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53A7E20"/>
    <w:multiLevelType w:val="hybridMultilevel"/>
    <w:tmpl w:val="2D965C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7DC0970"/>
    <w:multiLevelType w:val="multilevel"/>
    <w:tmpl w:val="61F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156471">
    <w:abstractNumId w:val="16"/>
  </w:num>
  <w:num w:numId="2" w16cid:durableId="1297644004">
    <w:abstractNumId w:val="9"/>
  </w:num>
  <w:num w:numId="3" w16cid:durableId="208420648">
    <w:abstractNumId w:val="25"/>
  </w:num>
  <w:num w:numId="4" w16cid:durableId="1911382186">
    <w:abstractNumId w:val="13"/>
  </w:num>
  <w:num w:numId="5" w16cid:durableId="1590701122">
    <w:abstractNumId w:val="7"/>
  </w:num>
  <w:num w:numId="6" w16cid:durableId="1495876509">
    <w:abstractNumId w:val="6"/>
  </w:num>
  <w:num w:numId="7" w16cid:durableId="512576670">
    <w:abstractNumId w:val="5"/>
  </w:num>
  <w:num w:numId="8" w16cid:durableId="491994949">
    <w:abstractNumId w:val="1"/>
  </w:num>
  <w:num w:numId="9" w16cid:durableId="425033522">
    <w:abstractNumId w:val="24"/>
  </w:num>
  <w:num w:numId="10" w16cid:durableId="883294922">
    <w:abstractNumId w:val="28"/>
  </w:num>
  <w:num w:numId="11" w16cid:durableId="2017995384">
    <w:abstractNumId w:val="10"/>
  </w:num>
  <w:num w:numId="12" w16cid:durableId="341595236">
    <w:abstractNumId w:val="2"/>
  </w:num>
  <w:num w:numId="13" w16cid:durableId="727803324">
    <w:abstractNumId w:val="14"/>
  </w:num>
  <w:num w:numId="14" w16cid:durableId="1114056805">
    <w:abstractNumId w:val="12"/>
  </w:num>
  <w:num w:numId="15" w16cid:durableId="998970398">
    <w:abstractNumId w:val="20"/>
  </w:num>
  <w:num w:numId="16" w16cid:durableId="2050180090">
    <w:abstractNumId w:val="21"/>
  </w:num>
  <w:num w:numId="17" w16cid:durableId="93093413">
    <w:abstractNumId w:val="0"/>
  </w:num>
  <w:num w:numId="18" w16cid:durableId="999432453">
    <w:abstractNumId w:val="15"/>
  </w:num>
  <w:num w:numId="19" w16cid:durableId="1550342874">
    <w:abstractNumId w:val="11"/>
  </w:num>
  <w:num w:numId="20" w16cid:durableId="1057237883">
    <w:abstractNumId w:val="19"/>
  </w:num>
  <w:num w:numId="21" w16cid:durableId="1203979347">
    <w:abstractNumId w:val="17"/>
  </w:num>
  <w:num w:numId="22" w16cid:durableId="1972125121">
    <w:abstractNumId w:val="27"/>
  </w:num>
  <w:num w:numId="23" w16cid:durableId="129180029">
    <w:abstractNumId w:val="26"/>
  </w:num>
  <w:num w:numId="24" w16cid:durableId="2040399230">
    <w:abstractNumId w:val="23"/>
  </w:num>
  <w:num w:numId="25" w16cid:durableId="828638808">
    <w:abstractNumId w:val="22"/>
  </w:num>
  <w:num w:numId="26" w16cid:durableId="1835024925">
    <w:abstractNumId w:val="4"/>
  </w:num>
  <w:num w:numId="27" w16cid:durableId="320619374">
    <w:abstractNumId w:val="3"/>
  </w:num>
  <w:num w:numId="28" w16cid:durableId="1799637900">
    <w:abstractNumId w:val="8"/>
  </w:num>
  <w:num w:numId="29" w16cid:durableId="21336653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4"/>
    <w:rsid w:val="00000C3C"/>
    <w:rsid w:val="00036E01"/>
    <w:rsid w:val="00055DA9"/>
    <w:rsid w:val="00060FD2"/>
    <w:rsid w:val="00082D32"/>
    <w:rsid w:val="00092EB0"/>
    <w:rsid w:val="0009662C"/>
    <w:rsid w:val="000D1DC9"/>
    <w:rsid w:val="00177F58"/>
    <w:rsid w:val="00181CEB"/>
    <w:rsid w:val="00194AE8"/>
    <w:rsid w:val="001B09D8"/>
    <w:rsid w:val="00200E08"/>
    <w:rsid w:val="00204DA2"/>
    <w:rsid w:val="002161AA"/>
    <w:rsid w:val="00225336"/>
    <w:rsid w:val="00257E33"/>
    <w:rsid w:val="0029178E"/>
    <w:rsid w:val="002A5305"/>
    <w:rsid w:val="002C0AE4"/>
    <w:rsid w:val="002C1E62"/>
    <w:rsid w:val="002E45C0"/>
    <w:rsid w:val="003073F1"/>
    <w:rsid w:val="003335C3"/>
    <w:rsid w:val="003467A5"/>
    <w:rsid w:val="00353158"/>
    <w:rsid w:val="00374778"/>
    <w:rsid w:val="003A3317"/>
    <w:rsid w:val="003A5F9F"/>
    <w:rsid w:val="003D4CEC"/>
    <w:rsid w:val="004033EC"/>
    <w:rsid w:val="004125A7"/>
    <w:rsid w:val="0042047D"/>
    <w:rsid w:val="004356C8"/>
    <w:rsid w:val="00482168"/>
    <w:rsid w:val="004E7246"/>
    <w:rsid w:val="004F5809"/>
    <w:rsid w:val="0050595A"/>
    <w:rsid w:val="00510F1A"/>
    <w:rsid w:val="00536AF1"/>
    <w:rsid w:val="00560D7B"/>
    <w:rsid w:val="00562DF3"/>
    <w:rsid w:val="005671B8"/>
    <w:rsid w:val="00573CFC"/>
    <w:rsid w:val="00581ED1"/>
    <w:rsid w:val="005826C9"/>
    <w:rsid w:val="005A5200"/>
    <w:rsid w:val="005B042A"/>
    <w:rsid w:val="005D073D"/>
    <w:rsid w:val="005D3AB3"/>
    <w:rsid w:val="005F4714"/>
    <w:rsid w:val="00605788"/>
    <w:rsid w:val="00630E25"/>
    <w:rsid w:val="0063750E"/>
    <w:rsid w:val="00645F26"/>
    <w:rsid w:val="00646B4B"/>
    <w:rsid w:val="0067797A"/>
    <w:rsid w:val="006A48B1"/>
    <w:rsid w:val="006D1417"/>
    <w:rsid w:val="006E1C7C"/>
    <w:rsid w:val="006E2847"/>
    <w:rsid w:val="00753F0D"/>
    <w:rsid w:val="00761179"/>
    <w:rsid w:val="00794063"/>
    <w:rsid w:val="007A5B12"/>
    <w:rsid w:val="007D1597"/>
    <w:rsid w:val="007D3228"/>
    <w:rsid w:val="007E0850"/>
    <w:rsid w:val="008108B9"/>
    <w:rsid w:val="00814237"/>
    <w:rsid w:val="00815D4E"/>
    <w:rsid w:val="008348A7"/>
    <w:rsid w:val="00856D37"/>
    <w:rsid w:val="008A77D6"/>
    <w:rsid w:val="008B4FFB"/>
    <w:rsid w:val="008D78CD"/>
    <w:rsid w:val="008E5B78"/>
    <w:rsid w:val="008F02C5"/>
    <w:rsid w:val="00976F86"/>
    <w:rsid w:val="0098577D"/>
    <w:rsid w:val="0098779A"/>
    <w:rsid w:val="009944A2"/>
    <w:rsid w:val="009A3D13"/>
    <w:rsid w:val="009A42B3"/>
    <w:rsid w:val="009B6397"/>
    <w:rsid w:val="00A23A83"/>
    <w:rsid w:val="00A245A3"/>
    <w:rsid w:val="00A43BAE"/>
    <w:rsid w:val="00A449BE"/>
    <w:rsid w:val="00A51365"/>
    <w:rsid w:val="00A640DF"/>
    <w:rsid w:val="00A65B41"/>
    <w:rsid w:val="00A81CBF"/>
    <w:rsid w:val="00A845AD"/>
    <w:rsid w:val="00A86332"/>
    <w:rsid w:val="00AC3738"/>
    <w:rsid w:val="00AC76BD"/>
    <w:rsid w:val="00AD1323"/>
    <w:rsid w:val="00AF3934"/>
    <w:rsid w:val="00AF67F5"/>
    <w:rsid w:val="00B000C7"/>
    <w:rsid w:val="00B04A17"/>
    <w:rsid w:val="00B0725B"/>
    <w:rsid w:val="00B24197"/>
    <w:rsid w:val="00B27F5C"/>
    <w:rsid w:val="00B75B3B"/>
    <w:rsid w:val="00B807A0"/>
    <w:rsid w:val="00B80E50"/>
    <w:rsid w:val="00B81871"/>
    <w:rsid w:val="00B8553F"/>
    <w:rsid w:val="00B86918"/>
    <w:rsid w:val="00B91A4F"/>
    <w:rsid w:val="00BA4518"/>
    <w:rsid w:val="00BB4E09"/>
    <w:rsid w:val="00BE0567"/>
    <w:rsid w:val="00BF1A2C"/>
    <w:rsid w:val="00C220E1"/>
    <w:rsid w:val="00C44A51"/>
    <w:rsid w:val="00C4646E"/>
    <w:rsid w:val="00C46FFF"/>
    <w:rsid w:val="00C55675"/>
    <w:rsid w:val="00C66901"/>
    <w:rsid w:val="00C834D6"/>
    <w:rsid w:val="00C90C87"/>
    <w:rsid w:val="00C9521C"/>
    <w:rsid w:val="00CA36D4"/>
    <w:rsid w:val="00CE2A87"/>
    <w:rsid w:val="00D57875"/>
    <w:rsid w:val="00DA0ADC"/>
    <w:rsid w:val="00DD689D"/>
    <w:rsid w:val="00DF307D"/>
    <w:rsid w:val="00E2198D"/>
    <w:rsid w:val="00E4285A"/>
    <w:rsid w:val="00EA018A"/>
    <w:rsid w:val="00EA635F"/>
    <w:rsid w:val="00ED1C1E"/>
    <w:rsid w:val="00ED5AB4"/>
    <w:rsid w:val="00ED6AF0"/>
    <w:rsid w:val="00F0691B"/>
    <w:rsid w:val="00F10919"/>
    <w:rsid w:val="00F14255"/>
    <w:rsid w:val="00F15FBE"/>
    <w:rsid w:val="00F224AE"/>
    <w:rsid w:val="00F54B6B"/>
    <w:rsid w:val="00F86B53"/>
    <w:rsid w:val="00FE6CC6"/>
    <w:rsid w:val="00FF1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FD45"/>
  <w15:chartTrackingRefBased/>
  <w15:docId w15:val="{F01DFA78-791F-4568-B4B6-93DEA83F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0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0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AE4"/>
    <w:rPr>
      <w:rFonts w:eastAsiaTheme="majorEastAsia" w:cstheme="majorBidi"/>
      <w:color w:val="272727" w:themeColor="text1" w:themeTint="D8"/>
    </w:rPr>
  </w:style>
  <w:style w:type="paragraph" w:styleId="Title">
    <w:name w:val="Title"/>
    <w:basedOn w:val="Normal"/>
    <w:next w:val="Normal"/>
    <w:link w:val="TitleChar"/>
    <w:uiPriority w:val="10"/>
    <w:qFormat/>
    <w:rsid w:val="002C0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AE4"/>
    <w:pPr>
      <w:spacing w:before="160"/>
      <w:jc w:val="center"/>
    </w:pPr>
    <w:rPr>
      <w:i/>
      <w:iCs/>
      <w:color w:val="404040" w:themeColor="text1" w:themeTint="BF"/>
    </w:rPr>
  </w:style>
  <w:style w:type="character" w:customStyle="1" w:styleId="QuoteChar">
    <w:name w:val="Quote Char"/>
    <w:basedOn w:val="DefaultParagraphFont"/>
    <w:link w:val="Quote"/>
    <w:uiPriority w:val="29"/>
    <w:rsid w:val="002C0AE4"/>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MAIN CONTENT,List Paragraph11,L,3"/>
    <w:basedOn w:val="Normal"/>
    <w:link w:val="ListParagraphChar"/>
    <w:uiPriority w:val="34"/>
    <w:qFormat/>
    <w:rsid w:val="002C0AE4"/>
    <w:pPr>
      <w:ind w:left="720"/>
      <w:contextualSpacing/>
    </w:pPr>
  </w:style>
  <w:style w:type="character" w:styleId="IntenseEmphasis">
    <w:name w:val="Intense Emphasis"/>
    <w:basedOn w:val="DefaultParagraphFont"/>
    <w:uiPriority w:val="21"/>
    <w:qFormat/>
    <w:rsid w:val="002C0AE4"/>
    <w:rPr>
      <w:i/>
      <w:iCs/>
      <w:color w:val="0F4761" w:themeColor="accent1" w:themeShade="BF"/>
    </w:rPr>
  </w:style>
  <w:style w:type="paragraph" w:styleId="IntenseQuote">
    <w:name w:val="Intense Quote"/>
    <w:basedOn w:val="Normal"/>
    <w:next w:val="Normal"/>
    <w:link w:val="IntenseQuoteChar"/>
    <w:uiPriority w:val="30"/>
    <w:qFormat/>
    <w:rsid w:val="002C0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AE4"/>
    <w:rPr>
      <w:i/>
      <w:iCs/>
      <w:color w:val="0F4761" w:themeColor="accent1" w:themeShade="BF"/>
    </w:rPr>
  </w:style>
  <w:style w:type="character" w:styleId="IntenseReference">
    <w:name w:val="Intense Reference"/>
    <w:basedOn w:val="DefaultParagraphFont"/>
    <w:uiPriority w:val="32"/>
    <w:qFormat/>
    <w:rsid w:val="002C0AE4"/>
    <w:rPr>
      <w:b/>
      <w:bCs/>
      <w:smallCaps/>
      <w:color w:val="0F4761" w:themeColor="accent1" w:themeShade="BF"/>
      <w:spacing w:val="5"/>
    </w:rPr>
  </w:style>
  <w:style w:type="paragraph" w:styleId="Header">
    <w:name w:val="header"/>
    <w:basedOn w:val="Normal"/>
    <w:link w:val="HeaderChar"/>
    <w:uiPriority w:val="99"/>
    <w:unhideWhenUsed/>
    <w:rsid w:val="009A42B3"/>
    <w:pPr>
      <w:tabs>
        <w:tab w:val="center" w:pos="4819"/>
        <w:tab w:val="right" w:pos="9638"/>
      </w:tabs>
      <w:spacing w:after="0" w:line="240" w:lineRule="auto"/>
    </w:pPr>
  </w:style>
  <w:style w:type="character" w:customStyle="1" w:styleId="HeaderChar">
    <w:name w:val="Header Char"/>
    <w:basedOn w:val="DefaultParagraphFont"/>
    <w:link w:val="Header"/>
    <w:uiPriority w:val="99"/>
    <w:rsid w:val="009A42B3"/>
  </w:style>
  <w:style w:type="paragraph" w:styleId="Footer">
    <w:name w:val="footer"/>
    <w:basedOn w:val="Normal"/>
    <w:link w:val="FooterChar"/>
    <w:uiPriority w:val="99"/>
    <w:unhideWhenUsed/>
    <w:rsid w:val="009A42B3"/>
    <w:pPr>
      <w:tabs>
        <w:tab w:val="center" w:pos="4819"/>
        <w:tab w:val="right" w:pos="9638"/>
      </w:tabs>
      <w:spacing w:after="0" w:line="240" w:lineRule="auto"/>
    </w:pPr>
  </w:style>
  <w:style w:type="character" w:customStyle="1" w:styleId="FooterChar">
    <w:name w:val="Footer Char"/>
    <w:basedOn w:val="DefaultParagraphFont"/>
    <w:link w:val="Footer"/>
    <w:uiPriority w:val="99"/>
    <w:rsid w:val="009A42B3"/>
  </w:style>
  <w:style w:type="character" w:styleId="Hyperlink">
    <w:name w:val="Hyperlink"/>
    <w:basedOn w:val="DefaultParagraphFont"/>
    <w:uiPriority w:val="99"/>
    <w:unhideWhenUsed/>
    <w:rsid w:val="00A245A3"/>
    <w:rPr>
      <w:color w:val="467886" w:themeColor="hyperlink"/>
      <w:u w:val="single"/>
    </w:rPr>
  </w:style>
  <w:style w:type="character" w:styleId="UnresolvedMention">
    <w:name w:val="Unresolved Mention"/>
    <w:basedOn w:val="DefaultParagraphFont"/>
    <w:uiPriority w:val="99"/>
    <w:semiHidden/>
    <w:unhideWhenUsed/>
    <w:rsid w:val="00A245A3"/>
    <w:rPr>
      <w:color w:val="605E5C"/>
      <w:shd w:val="clear" w:color="auto" w:fill="E1DFDD"/>
    </w:r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basedOn w:val="DefaultParagraphFont"/>
    <w:link w:val="ListParagraph"/>
    <w:uiPriority w:val="34"/>
    <w:qFormat/>
    <w:locked/>
    <w:rsid w:val="008D78CD"/>
  </w:style>
  <w:style w:type="character" w:styleId="Strong">
    <w:name w:val="Strong"/>
    <w:basedOn w:val="DefaultParagraphFont"/>
    <w:uiPriority w:val="22"/>
    <w:qFormat/>
    <w:rsid w:val="008F02C5"/>
    <w:rPr>
      <w:b/>
      <w:bCs/>
    </w:rPr>
  </w:style>
  <w:style w:type="table" w:styleId="TableGrid">
    <w:name w:val="Table Grid"/>
    <w:basedOn w:val="TableNormal"/>
    <w:uiPriority w:val="39"/>
    <w:rsid w:val="00B0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56C8"/>
    <w:pPr>
      <w:spacing w:after="0" w:line="240" w:lineRule="auto"/>
    </w:pPr>
  </w:style>
  <w:style w:type="paragraph" w:customStyle="1" w:styleId="gmail-p1">
    <w:name w:val="gmail-p1"/>
    <w:basedOn w:val="Normal"/>
    <w:rsid w:val="0050595A"/>
    <w:pPr>
      <w:spacing w:before="100" w:beforeAutospacing="1" w:after="100" w:afterAutospacing="1" w:line="240" w:lineRule="auto"/>
    </w:pPr>
    <w:rPr>
      <w:rFonts w:ascii="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dt-cidc.org" TargetMode="External"/><Relationship Id="rId13" Type="http://schemas.openxmlformats.org/officeDocument/2006/relationships/hyperlink" Target="https://exhibitions.ceo.az/en/exhibitions-calendar?utm_source=chatgpt.com" TargetMode="External"/><Relationship Id="rId18" Type="http://schemas.openxmlformats.org/officeDocument/2006/relationships/hyperlink" Target="https://caspianpower.az/en" TargetMode="External"/><Relationship Id="rId26" Type="http://schemas.openxmlformats.org/officeDocument/2006/relationships/hyperlink" Target="https://medinex.az/en" TargetMode="External"/><Relationship Id="rId3" Type="http://schemas.openxmlformats.org/officeDocument/2006/relationships/settings" Target="settings.xml"/><Relationship Id="rId21" Type="http://schemas.openxmlformats.org/officeDocument/2006/relationships/hyperlink" Target="https://adex.az/en" TargetMode="External"/><Relationship Id="rId7" Type="http://schemas.openxmlformats.org/officeDocument/2006/relationships/image" Target="media/image1.png"/><Relationship Id="rId12" Type="http://schemas.openxmlformats.org/officeDocument/2006/relationships/hyperlink" Target="https://unitedpropertyexpo.com/en/calendar-of-events/baku-azerbaijan-2026.html?utm_source=chatgpt.com" TargetMode="External"/><Relationship Id="rId17" Type="http://schemas.openxmlformats.org/officeDocument/2006/relationships/hyperlink" Target="https://transcaspian.az/en" TargetMode="External"/><Relationship Id="rId25" Type="http://schemas.openxmlformats.org/officeDocument/2006/relationships/hyperlink" Target="https://plastex.az/en" TargetMode="External"/><Relationship Id="rId2" Type="http://schemas.openxmlformats.org/officeDocument/2006/relationships/styles" Target="styles.xml"/><Relationship Id="rId16" Type="http://schemas.openxmlformats.org/officeDocument/2006/relationships/hyperlink" Target="https://caspianoilgas.az/en" TargetMode="External"/><Relationship Id="rId20" Type="http://schemas.openxmlformats.org/officeDocument/2006/relationships/hyperlink" Target="https://urbanforum.az"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roadtraffic.az/e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spianagro.az/en" TargetMode="External"/><Relationship Id="rId23" Type="http://schemas.openxmlformats.org/officeDocument/2006/relationships/hyperlink" Target="https://bakubuild.az/en" TargetMode="External"/><Relationship Id="rId28" Type="http://schemas.openxmlformats.org/officeDocument/2006/relationships/hyperlink" Target="https://bakuwaterweek.az/en" TargetMode="External"/><Relationship Id="rId10" Type="http://schemas.openxmlformats.org/officeDocument/2006/relationships/image" Target="cid:image001.jpg@01DCB216.7F386820" TargetMode="External"/><Relationship Id="rId19" Type="http://schemas.openxmlformats.org/officeDocument/2006/relationships/hyperlink" Target="https://wuf.unhabitat.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erfood.az/en" TargetMode="External"/><Relationship Id="rId22" Type="http://schemas.openxmlformats.org/officeDocument/2006/relationships/hyperlink" Target="https://securexcaspian.az/en" TargetMode="External"/><Relationship Id="rId27" Type="http://schemas.openxmlformats.org/officeDocument/2006/relationships/hyperlink" Target="https://showsbee.com/shows/polymers-azerbaija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13610</Words>
  <Characters>7758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Baubinaitė</dc:creator>
  <cp:keywords/>
  <dc:description/>
  <cp:lastModifiedBy>Kristina Baubinaitė</cp:lastModifiedBy>
  <cp:revision>17</cp:revision>
  <dcterms:created xsi:type="dcterms:W3CDTF">2026-03-18T07:41:00Z</dcterms:created>
  <dcterms:modified xsi:type="dcterms:W3CDTF">2026-03-24T09:28:00Z</dcterms:modified>
</cp:coreProperties>
</file>