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A3B8A" w14:textId="77777777" w:rsidR="007A3147" w:rsidRPr="008A7A22" w:rsidRDefault="00000000">
      <w:pPr>
        <w:spacing w:before="240" w:after="240"/>
        <w:jc w:val="center"/>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LIETUVOS RESPUBLIKOS AMBASADA DANIJOS KARALYSTĖJE IR ISLANDIJAI</w:t>
      </w:r>
    </w:p>
    <w:p w14:paraId="1C6A3B8B" w14:textId="77777777" w:rsidR="007A3147" w:rsidRPr="008A7A22" w:rsidRDefault="00000000">
      <w:pPr>
        <w:spacing w:before="240" w:after="240"/>
        <w:jc w:val="center"/>
        <w:rPr>
          <w:rFonts w:ascii="Times New Roman" w:eastAsia="Times New Roman" w:hAnsi="Times New Roman" w:cs="Times New Roman"/>
          <w:b/>
          <w:bCs/>
          <w:sz w:val="24"/>
          <w:szCs w:val="24"/>
          <w:lang w:val="lt-LT"/>
        </w:rPr>
      </w:pPr>
      <w:r w:rsidRPr="008A7A22">
        <w:rPr>
          <w:rFonts w:ascii="Times New Roman" w:eastAsia="Times New Roman" w:hAnsi="Times New Roman" w:cs="Times New Roman"/>
          <w:b/>
          <w:bCs/>
          <w:sz w:val="24"/>
          <w:szCs w:val="24"/>
          <w:lang w:val="lt-LT"/>
        </w:rPr>
        <w:t>AKTUALIOS EKONOMINĖS INFORMACIJOS SUVESTINĖ</w:t>
      </w:r>
    </w:p>
    <w:p w14:paraId="1C6A3B8C" w14:textId="32A91C40" w:rsidR="007A3147" w:rsidRPr="008A7A22" w:rsidRDefault="00000000">
      <w:pPr>
        <w:spacing w:before="240" w:after="240"/>
        <w:jc w:val="center"/>
        <w:rPr>
          <w:lang w:val="lt-LT"/>
        </w:rPr>
      </w:pPr>
      <w:r w:rsidRPr="008A7A22">
        <w:rPr>
          <w:rFonts w:ascii="Times New Roman" w:eastAsia="Times New Roman" w:hAnsi="Times New Roman" w:cs="Times New Roman"/>
          <w:b/>
          <w:bCs/>
          <w:sz w:val="24"/>
          <w:szCs w:val="24"/>
          <w:lang w:val="lt-LT"/>
        </w:rPr>
        <w:t>202</w:t>
      </w:r>
      <w:r w:rsidR="00F33697">
        <w:rPr>
          <w:rFonts w:ascii="Times New Roman" w:eastAsia="Times New Roman" w:hAnsi="Times New Roman" w:cs="Times New Roman"/>
          <w:b/>
          <w:bCs/>
          <w:sz w:val="24"/>
          <w:szCs w:val="24"/>
          <w:lang w:val="lt-LT"/>
        </w:rPr>
        <w:t>6</w:t>
      </w:r>
      <w:r w:rsidRPr="008A7A22">
        <w:rPr>
          <w:rFonts w:ascii="Times New Roman" w:eastAsia="Times New Roman" w:hAnsi="Times New Roman" w:cs="Times New Roman"/>
          <w:b/>
          <w:bCs/>
          <w:sz w:val="24"/>
          <w:szCs w:val="24"/>
          <w:lang w:val="lt-LT"/>
        </w:rPr>
        <w:t>.</w:t>
      </w:r>
      <w:r w:rsidR="00F33697">
        <w:rPr>
          <w:rFonts w:ascii="Times New Roman" w:eastAsia="Times New Roman" w:hAnsi="Times New Roman" w:cs="Times New Roman"/>
          <w:b/>
          <w:bCs/>
          <w:sz w:val="24"/>
          <w:szCs w:val="24"/>
          <w:lang w:val="lt-LT"/>
        </w:rPr>
        <w:t>0</w:t>
      </w:r>
      <w:r w:rsidR="00A64C99">
        <w:rPr>
          <w:rFonts w:ascii="Times New Roman" w:eastAsia="Times New Roman" w:hAnsi="Times New Roman" w:cs="Times New Roman"/>
          <w:b/>
          <w:bCs/>
          <w:sz w:val="24"/>
          <w:szCs w:val="24"/>
          <w:lang w:val="lt-LT"/>
        </w:rPr>
        <w:t>3</w:t>
      </w:r>
      <w:r w:rsidRPr="008A7A22">
        <w:rPr>
          <w:rFonts w:ascii="Times New Roman" w:eastAsia="Times New Roman" w:hAnsi="Times New Roman" w:cs="Times New Roman"/>
          <w:b/>
          <w:bCs/>
          <w:sz w:val="24"/>
          <w:szCs w:val="24"/>
          <w:lang w:val="lt-LT"/>
        </w:rPr>
        <w:t>.01 - 202</w:t>
      </w:r>
      <w:r w:rsidR="00F33697">
        <w:rPr>
          <w:rFonts w:ascii="Times New Roman" w:eastAsia="Times New Roman" w:hAnsi="Times New Roman" w:cs="Times New Roman"/>
          <w:b/>
          <w:bCs/>
          <w:sz w:val="24"/>
          <w:szCs w:val="24"/>
          <w:lang w:val="lt-LT"/>
        </w:rPr>
        <w:t>6</w:t>
      </w:r>
      <w:r w:rsidRPr="008A7A22">
        <w:rPr>
          <w:rFonts w:ascii="Times New Roman" w:eastAsia="Times New Roman" w:hAnsi="Times New Roman" w:cs="Times New Roman"/>
          <w:b/>
          <w:bCs/>
          <w:sz w:val="24"/>
          <w:szCs w:val="24"/>
          <w:lang w:val="lt-LT"/>
        </w:rPr>
        <w:t>.</w:t>
      </w:r>
      <w:r w:rsidR="00F33697">
        <w:rPr>
          <w:rFonts w:ascii="Times New Roman" w:eastAsia="Times New Roman" w:hAnsi="Times New Roman" w:cs="Times New Roman"/>
          <w:b/>
          <w:bCs/>
          <w:sz w:val="24"/>
          <w:szCs w:val="24"/>
          <w:lang w:val="lt-LT"/>
        </w:rPr>
        <w:t>0</w:t>
      </w:r>
      <w:r w:rsidR="00A64C99">
        <w:rPr>
          <w:rFonts w:ascii="Times New Roman" w:eastAsia="Times New Roman" w:hAnsi="Times New Roman" w:cs="Times New Roman"/>
          <w:b/>
          <w:bCs/>
          <w:sz w:val="24"/>
          <w:szCs w:val="24"/>
          <w:lang w:val="lt-LT"/>
        </w:rPr>
        <w:t>3</w:t>
      </w:r>
      <w:r w:rsidRPr="008A7A22">
        <w:rPr>
          <w:rFonts w:ascii="Times New Roman" w:eastAsia="Times New Roman" w:hAnsi="Times New Roman" w:cs="Times New Roman"/>
          <w:b/>
          <w:bCs/>
          <w:sz w:val="24"/>
          <w:szCs w:val="24"/>
          <w:lang w:val="lt-LT"/>
        </w:rPr>
        <w:t>.</w:t>
      </w:r>
      <w:r w:rsidR="00A64C99">
        <w:rPr>
          <w:rFonts w:ascii="Times New Roman" w:eastAsia="Times New Roman" w:hAnsi="Times New Roman" w:cs="Times New Roman"/>
          <w:b/>
          <w:bCs/>
          <w:sz w:val="24"/>
          <w:szCs w:val="24"/>
          <w:lang w:val="lt-LT"/>
        </w:rPr>
        <w:t>31</w:t>
      </w:r>
    </w:p>
    <w:p w14:paraId="1C6A3B8D" w14:textId="77777777" w:rsidR="007A3147" w:rsidRPr="008A7A22" w:rsidRDefault="007A3147">
      <w:pPr>
        <w:spacing w:before="240" w:after="240"/>
        <w:rPr>
          <w:lang w:val="lt-LT"/>
        </w:rPr>
      </w:pPr>
    </w:p>
    <w:tbl>
      <w:tblPr>
        <w:tblStyle w:val="a"/>
        <w:tblW w:w="15346"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9130"/>
        <w:gridCol w:w="3118"/>
        <w:gridCol w:w="1418"/>
      </w:tblGrid>
      <w:tr w:rsidR="007A3147" w:rsidRPr="008A7A22" w14:paraId="1C6A3B92" w14:textId="77777777" w:rsidTr="00670062">
        <w:tc>
          <w:tcPr>
            <w:tcW w:w="1680" w:type="dxa"/>
            <w:shd w:val="clear" w:color="auto" w:fill="4A86E8"/>
            <w:tcMar>
              <w:top w:w="100" w:type="dxa"/>
              <w:left w:w="100" w:type="dxa"/>
              <w:bottom w:w="100" w:type="dxa"/>
              <w:right w:w="100" w:type="dxa"/>
            </w:tcMar>
          </w:tcPr>
          <w:p w14:paraId="1C6A3B8E"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DATA</w:t>
            </w:r>
          </w:p>
        </w:tc>
        <w:tc>
          <w:tcPr>
            <w:tcW w:w="9130" w:type="dxa"/>
            <w:shd w:val="clear" w:color="auto" w:fill="4A86E8"/>
            <w:tcMar>
              <w:top w:w="100" w:type="dxa"/>
              <w:left w:w="100" w:type="dxa"/>
              <w:bottom w:w="100" w:type="dxa"/>
              <w:right w:w="100" w:type="dxa"/>
            </w:tcMar>
          </w:tcPr>
          <w:p w14:paraId="1C6A3B8F"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PATEIKIAMOS INFORMACIJOS APIBENDRINIMAS</w:t>
            </w:r>
          </w:p>
        </w:tc>
        <w:tc>
          <w:tcPr>
            <w:tcW w:w="3118" w:type="dxa"/>
            <w:shd w:val="clear" w:color="auto" w:fill="4A86E8"/>
            <w:tcMar>
              <w:top w:w="100" w:type="dxa"/>
              <w:left w:w="100" w:type="dxa"/>
              <w:bottom w:w="100" w:type="dxa"/>
              <w:right w:w="100" w:type="dxa"/>
            </w:tcMar>
          </w:tcPr>
          <w:p w14:paraId="1C6A3B90"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INFORMACIJOS ŠALTINIS</w:t>
            </w:r>
          </w:p>
        </w:tc>
        <w:tc>
          <w:tcPr>
            <w:tcW w:w="1418" w:type="dxa"/>
            <w:shd w:val="clear" w:color="auto" w:fill="4A86E8"/>
            <w:tcMar>
              <w:top w:w="100" w:type="dxa"/>
              <w:left w:w="100" w:type="dxa"/>
              <w:bottom w:w="100" w:type="dxa"/>
              <w:right w:w="100" w:type="dxa"/>
            </w:tcMar>
          </w:tcPr>
          <w:p w14:paraId="1C6A3B91" w14:textId="77777777" w:rsidR="007A3147" w:rsidRPr="008A7A22" w:rsidRDefault="00000000">
            <w:pPr>
              <w:widowControl w:val="0"/>
              <w:spacing w:line="240" w:lineRule="auto"/>
              <w:ind w:right="-218"/>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PASTABOS</w:t>
            </w:r>
          </w:p>
        </w:tc>
      </w:tr>
      <w:tr w:rsidR="007A3147" w:rsidRPr="008A7A22" w14:paraId="1C6A3B94" w14:textId="77777777" w:rsidTr="00670062">
        <w:trPr>
          <w:trHeight w:val="420"/>
        </w:trPr>
        <w:tc>
          <w:tcPr>
            <w:tcW w:w="15346" w:type="dxa"/>
            <w:gridSpan w:val="4"/>
            <w:shd w:val="clear" w:color="auto" w:fill="A2C4C9"/>
            <w:tcMar>
              <w:top w:w="100" w:type="dxa"/>
              <w:left w:w="100" w:type="dxa"/>
              <w:bottom w:w="100" w:type="dxa"/>
              <w:right w:w="100" w:type="dxa"/>
            </w:tcMar>
          </w:tcPr>
          <w:p w14:paraId="1C6A3B93" w14:textId="77777777" w:rsidR="007A3147" w:rsidRPr="00A74276" w:rsidRDefault="00000000">
            <w:pPr>
              <w:widowControl w:val="0"/>
              <w:spacing w:line="240" w:lineRule="auto"/>
              <w:rPr>
                <w:rFonts w:ascii="Times New Roman" w:eastAsia="Times New Roman" w:hAnsi="Times New Roman" w:cs="Times New Roman"/>
                <w:sz w:val="24"/>
                <w:szCs w:val="24"/>
                <w:lang w:val="lt-LT"/>
              </w:rPr>
            </w:pPr>
            <w:r w:rsidRPr="00A74276">
              <w:rPr>
                <w:rFonts w:ascii="Times New Roman" w:eastAsia="Times New Roman" w:hAnsi="Times New Roman" w:cs="Times New Roman"/>
                <w:sz w:val="24"/>
                <w:szCs w:val="24"/>
                <w:lang w:val="lt-LT"/>
              </w:rPr>
              <w:t>Gynybos sektoriaus aktualijos</w:t>
            </w:r>
          </w:p>
        </w:tc>
      </w:tr>
      <w:tr w:rsidR="005810B5" w:rsidRPr="00184C64" w14:paraId="1C6A3B9A" w14:textId="77777777" w:rsidTr="00670062">
        <w:tc>
          <w:tcPr>
            <w:tcW w:w="1680" w:type="dxa"/>
            <w:tcMar>
              <w:top w:w="100" w:type="dxa"/>
              <w:left w:w="100" w:type="dxa"/>
              <w:bottom w:w="100" w:type="dxa"/>
              <w:right w:w="100" w:type="dxa"/>
            </w:tcMar>
          </w:tcPr>
          <w:p w14:paraId="1C6A3B95" w14:textId="4C7E912E" w:rsidR="005810B5" w:rsidRPr="008A7A22"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2026-03-06</w:t>
            </w:r>
          </w:p>
        </w:tc>
        <w:tc>
          <w:tcPr>
            <w:tcW w:w="9130" w:type="dxa"/>
            <w:tcMar>
              <w:top w:w="100" w:type="dxa"/>
              <w:left w:w="100" w:type="dxa"/>
              <w:bottom w:w="100" w:type="dxa"/>
              <w:right w:w="100" w:type="dxa"/>
            </w:tcMar>
          </w:tcPr>
          <w:p w14:paraId="1C6A3B96" w14:textId="2E945DB1" w:rsidR="005810B5" w:rsidRPr="00E222F9"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Paskelbtas Danijos kariuomenės įsigijimų planas 2026 m. </w:t>
            </w:r>
          </w:p>
        </w:tc>
        <w:tc>
          <w:tcPr>
            <w:tcW w:w="3118" w:type="dxa"/>
            <w:tcMar>
              <w:top w:w="100" w:type="dxa"/>
              <w:left w:w="100" w:type="dxa"/>
              <w:bottom w:w="100" w:type="dxa"/>
              <w:right w:w="100" w:type="dxa"/>
            </w:tcMar>
          </w:tcPr>
          <w:p w14:paraId="0CDB09D3" w14:textId="77777777" w:rsidR="005810B5" w:rsidRDefault="005810B5" w:rsidP="005810B5">
            <w:pPr>
              <w:widowControl w:val="0"/>
              <w:spacing w:line="240" w:lineRule="auto"/>
              <w:rPr>
                <w:rFonts w:ascii="Times New Roman" w:eastAsia="Times New Roman" w:hAnsi="Times New Roman" w:cs="Times New Roman"/>
                <w:sz w:val="24"/>
                <w:szCs w:val="24"/>
                <w:lang w:val="lt-LT"/>
              </w:rPr>
            </w:pPr>
            <w:hyperlink r:id="rId5" w:history="1">
              <w:r w:rsidRPr="00B61750">
                <w:rPr>
                  <w:rStyle w:val="Hyperlink"/>
                  <w:rFonts w:ascii="Times New Roman" w:eastAsia="Times New Roman" w:hAnsi="Times New Roman" w:cs="Times New Roman"/>
                  <w:sz w:val="24"/>
                  <w:szCs w:val="24"/>
                  <w:lang w:val="lt-LT"/>
                </w:rPr>
                <w:t>https://www.fmi.dk/da/nyheder/2026/anskaffelsesplan-2026/</w:t>
              </w:r>
            </w:hyperlink>
          </w:p>
          <w:p w14:paraId="4A1491CF" w14:textId="77777777" w:rsidR="005810B5" w:rsidRDefault="005810B5" w:rsidP="005810B5">
            <w:pPr>
              <w:widowControl w:val="0"/>
              <w:spacing w:line="240" w:lineRule="auto"/>
              <w:rPr>
                <w:rFonts w:ascii="Times New Roman" w:eastAsia="Times New Roman" w:hAnsi="Times New Roman" w:cs="Times New Roman"/>
                <w:sz w:val="24"/>
                <w:szCs w:val="24"/>
                <w:lang w:val="lt-LT"/>
              </w:rPr>
            </w:pPr>
          </w:p>
          <w:p w14:paraId="122A87D8" w14:textId="77777777" w:rsidR="005810B5" w:rsidRDefault="005810B5" w:rsidP="005810B5">
            <w:pPr>
              <w:widowControl w:val="0"/>
              <w:spacing w:line="240" w:lineRule="auto"/>
              <w:rPr>
                <w:rFonts w:ascii="Times New Roman" w:eastAsia="Times New Roman" w:hAnsi="Times New Roman" w:cs="Times New Roman"/>
                <w:sz w:val="24"/>
                <w:szCs w:val="24"/>
                <w:lang w:val="lt-LT"/>
              </w:rPr>
            </w:pPr>
            <w:hyperlink r:id="rId6" w:history="1">
              <w:r w:rsidRPr="00B61750">
                <w:rPr>
                  <w:rStyle w:val="Hyperlink"/>
                  <w:rFonts w:ascii="Times New Roman" w:eastAsia="Times New Roman" w:hAnsi="Times New Roman" w:cs="Times New Roman"/>
                  <w:sz w:val="24"/>
                  <w:szCs w:val="24"/>
                  <w:lang w:val="lt-LT"/>
                </w:rPr>
                <w:t>https://www.fmi.dk/globalassets/fmi/dokumenter/2026/-fmi_anskaffelsesplan-2026_v2-.pdf</w:t>
              </w:r>
            </w:hyperlink>
          </w:p>
          <w:p w14:paraId="1C6A3B98" w14:textId="50DB8285" w:rsidR="005810B5" w:rsidRPr="00AE7117" w:rsidRDefault="005810B5" w:rsidP="005810B5">
            <w:pPr>
              <w:rPr>
                <w:rFonts w:ascii="Times New Roman" w:eastAsia="Times New Roman" w:hAnsi="Times New Roman" w:cs="Times New Roman"/>
                <w:sz w:val="24"/>
                <w:szCs w:val="24"/>
                <w:lang w:val="lt-LT"/>
              </w:rPr>
            </w:pPr>
          </w:p>
        </w:tc>
        <w:tc>
          <w:tcPr>
            <w:tcW w:w="1418" w:type="dxa"/>
            <w:tcMar>
              <w:top w:w="100" w:type="dxa"/>
              <w:left w:w="100" w:type="dxa"/>
              <w:bottom w:w="100" w:type="dxa"/>
              <w:right w:w="100" w:type="dxa"/>
            </w:tcMar>
          </w:tcPr>
          <w:p w14:paraId="1C6A3B99"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184C64" w14:paraId="27F2EFA9" w14:textId="77777777" w:rsidTr="00670062">
        <w:tc>
          <w:tcPr>
            <w:tcW w:w="1680" w:type="dxa"/>
            <w:tcMar>
              <w:top w:w="100" w:type="dxa"/>
              <w:left w:w="100" w:type="dxa"/>
              <w:bottom w:w="100" w:type="dxa"/>
              <w:right w:w="100" w:type="dxa"/>
            </w:tcMar>
          </w:tcPr>
          <w:p w14:paraId="6B2A3585" w14:textId="04AA348D" w:rsidR="005810B5"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2026-03-18</w:t>
            </w:r>
          </w:p>
        </w:tc>
        <w:tc>
          <w:tcPr>
            <w:tcW w:w="9130" w:type="dxa"/>
            <w:tcMar>
              <w:top w:w="100" w:type="dxa"/>
              <w:left w:w="100" w:type="dxa"/>
              <w:bottom w:w="100" w:type="dxa"/>
              <w:right w:w="100" w:type="dxa"/>
            </w:tcMar>
          </w:tcPr>
          <w:p w14:paraId="4D5413A5" w14:textId="10AEB8DA" w:rsidR="005810B5" w:rsidRPr="00BF5136"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Danijos gynybos pramonės įmonė </w:t>
            </w:r>
            <w:r w:rsidRPr="00E222F9">
              <w:rPr>
                <w:rFonts w:ascii="Times New Roman" w:eastAsia="Times New Roman" w:hAnsi="Times New Roman" w:cs="Times New Roman"/>
                <w:sz w:val="24"/>
                <w:szCs w:val="24"/>
                <w:lang w:val="lt-LT"/>
              </w:rPr>
              <w:t>UXV Technologies </w:t>
            </w:r>
            <w:r>
              <w:rPr>
                <w:rFonts w:ascii="Times New Roman" w:eastAsia="Times New Roman" w:hAnsi="Times New Roman" w:cs="Times New Roman"/>
                <w:sz w:val="24"/>
                <w:szCs w:val="24"/>
                <w:lang w:val="lt-LT"/>
              </w:rPr>
              <w:t>p</w:t>
            </w:r>
            <w:r w:rsidRPr="00E222F9">
              <w:rPr>
                <w:rFonts w:ascii="Times New Roman" w:eastAsia="Times New Roman" w:hAnsi="Times New Roman" w:cs="Times New Roman"/>
                <w:sz w:val="24"/>
                <w:szCs w:val="24"/>
                <w:lang w:val="lt-LT"/>
              </w:rPr>
              <w:t>asirašė strateginę sutartį su Australijos EOS dėl nuotolinio valdymo ginklų sistemų tiekimo</w:t>
            </w:r>
            <w:r>
              <w:rPr>
                <w:rFonts w:ascii="Times New Roman" w:eastAsia="Times New Roman" w:hAnsi="Times New Roman" w:cs="Times New Roman"/>
                <w:sz w:val="24"/>
                <w:szCs w:val="24"/>
                <w:lang w:val="lt-LT"/>
              </w:rPr>
              <w:t>.</w:t>
            </w:r>
          </w:p>
        </w:tc>
        <w:tc>
          <w:tcPr>
            <w:tcW w:w="3118" w:type="dxa"/>
            <w:tcMar>
              <w:top w:w="100" w:type="dxa"/>
              <w:left w:w="100" w:type="dxa"/>
              <w:bottom w:w="100" w:type="dxa"/>
              <w:right w:w="100" w:type="dxa"/>
            </w:tcMar>
          </w:tcPr>
          <w:p w14:paraId="2D82832D" w14:textId="19F63C71" w:rsidR="005810B5" w:rsidRPr="00BF5136" w:rsidRDefault="005810B5" w:rsidP="005810B5">
            <w:pPr>
              <w:widowControl w:val="0"/>
              <w:spacing w:line="240" w:lineRule="auto"/>
              <w:rPr>
                <w:rFonts w:ascii="Times New Roman" w:eastAsia="Times New Roman" w:hAnsi="Times New Roman" w:cs="Times New Roman"/>
                <w:sz w:val="24"/>
                <w:szCs w:val="24"/>
                <w:lang w:val="lt-LT"/>
              </w:rPr>
            </w:pPr>
            <w:hyperlink r:id="rId7" w:history="1">
              <w:r w:rsidRPr="00DB2B02">
                <w:rPr>
                  <w:rStyle w:val="Hyperlink"/>
                  <w:rFonts w:ascii="Times New Roman" w:eastAsia="Times New Roman" w:hAnsi="Times New Roman" w:cs="Times New Roman"/>
                  <w:sz w:val="24"/>
                  <w:szCs w:val="24"/>
                  <w:lang w:val="da-DK"/>
                </w:rPr>
                <w:t>Dansk forsvarsfirma indgår aftale i Australien om våbensystemer | Business | Berlingske</w:t>
              </w:r>
            </w:hyperlink>
          </w:p>
        </w:tc>
        <w:tc>
          <w:tcPr>
            <w:tcW w:w="1418" w:type="dxa"/>
            <w:tcMar>
              <w:top w:w="100" w:type="dxa"/>
              <w:left w:w="100" w:type="dxa"/>
              <w:bottom w:w="100" w:type="dxa"/>
              <w:right w:w="100" w:type="dxa"/>
            </w:tcMar>
          </w:tcPr>
          <w:p w14:paraId="02EF0DD9"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184C64" w14:paraId="1173D499" w14:textId="77777777" w:rsidTr="00670062">
        <w:tc>
          <w:tcPr>
            <w:tcW w:w="1680" w:type="dxa"/>
            <w:tcMar>
              <w:top w:w="100" w:type="dxa"/>
              <w:left w:w="100" w:type="dxa"/>
              <w:bottom w:w="100" w:type="dxa"/>
              <w:right w:w="100" w:type="dxa"/>
            </w:tcMar>
          </w:tcPr>
          <w:p w14:paraId="242D40AF" w14:textId="102869A2" w:rsidR="005810B5" w:rsidRDefault="00E649DB"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2026-03-18</w:t>
            </w:r>
          </w:p>
        </w:tc>
        <w:tc>
          <w:tcPr>
            <w:tcW w:w="9130" w:type="dxa"/>
            <w:tcMar>
              <w:top w:w="100" w:type="dxa"/>
              <w:left w:w="100" w:type="dxa"/>
              <w:bottom w:w="100" w:type="dxa"/>
              <w:right w:w="100" w:type="dxa"/>
            </w:tcMar>
          </w:tcPr>
          <w:p w14:paraId="3AF7BF53" w14:textId="61AB5AEC" w:rsidR="00406B9C" w:rsidRPr="00406B9C" w:rsidRDefault="00406B9C" w:rsidP="00406B9C">
            <w:pPr>
              <w:spacing w:line="240" w:lineRule="auto"/>
              <w:rPr>
                <w:rFonts w:ascii="Times New Roman" w:eastAsia="Times New Roman" w:hAnsi="Times New Roman" w:cs="Times New Roman"/>
                <w:sz w:val="24"/>
                <w:szCs w:val="24"/>
                <w:lang w:val="lt-LT"/>
              </w:rPr>
            </w:pPr>
            <w:r w:rsidRPr="00406B9C">
              <w:rPr>
                <w:rFonts w:ascii="Times New Roman" w:eastAsia="Times New Roman" w:hAnsi="Times New Roman" w:cs="Times New Roman"/>
                <w:sz w:val="24"/>
                <w:szCs w:val="24"/>
                <w:lang w:val="lt-LT"/>
              </w:rPr>
              <w:t>Danijos vyriausybė patvirtino, kad vyksta derybos su Ukrainos gynybos pramonės įmone „Skyfall“ dėl gamybos padalinio steigimo Danijoje.</w:t>
            </w:r>
            <w:r>
              <w:rPr>
                <w:rFonts w:ascii="Times New Roman" w:eastAsia="Times New Roman" w:hAnsi="Times New Roman" w:cs="Times New Roman"/>
                <w:sz w:val="24"/>
                <w:szCs w:val="24"/>
                <w:lang w:val="lt-LT"/>
              </w:rPr>
              <w:t xml:space="preserve"> </w:t>
            </w:r>
            <w:r w:rsidRPr="00406B9C">
              <w:rPr>
                <w:rFonts w:ascii="Times New Roman" w:eastAsia="Times New Roman" w:hAnsi="Times New Roman" w:cs="Times New Roman"/>
                <w:sz w:val="24"/>
                <w:szCs w:val="24"/>
                <w:lang w:val="lt-LT"/>
              </w:rPr>
              <w:t>Tai būtų jau antroji Ukrainos karinės pramonės įmonė, pradedanti veiklą Danijoje. Tokiu būdu siekiama abipusio technologijų perdavimo ir gamybos pajėgumų didinimo Europoje.</w:t>
            </w:r>
          </w:p>
          <w:p w14:paraId="771744A6" w14:textId="09F0ABE2" w:rsidR="005810B5" w:rsidRPr="00BF5136"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5EE8E4FD" w14:textId="006AE583" w:rsidR="005810B5" w:rsidRDefault="00406B9C" w:rsidP="005810B5">
            <w:pPr>
              <w:widowControl w:val="0"/>
              <w:spacing w:line="240" w:lineRule="auto"/>
              <w:rPr>
                <w:rFonts w:ascii="Times New Roman" w:eastAsia="Times New Roman" w:hAnsi="Times New Roman" w:cs="Times New Roman"/>
                <w:sz w:val="24"/>
                <w:szCs w:val="24"/>
                <w:lang w:val="lt-LT"/>
              </w:rPr>
            </w:pPr>
            <w:hyperlink r:id="rId8" w:history="1">
              <w:r w:rsidRPr="00B61750">
                <w:rPr>
                  <w:rStyle w:val="Hyperlink"/>
                  <w:rFonts w:ascii="Times New Roman" w:eastAsia="Times New Roman" w:hAnsi="Times New Roman" w:cs="Times New Roman"/>
                  <w:sz w:val="24"/>
                  <w:szCs w:val="24"/>
                  <w:lang w:val="lt-LT"/>
                </w:rPr>
                <w:t>https://www.fmn.dk/da/nyheder/2026/dialog-med-endnu-en-ukrainsk-forsvarsindustrivirksomhed-</w:t>
              </w:r>
              <w:r w:rsidRPr="00B61750">
                <w:rPr>
                  <w:rStyle w:val="Hyperlink"/>
                  <w:rFonts w:ascii="Times New Roman" w:eastAsia="Times New Roman" w:hAnsi="Times New Roman" w:cs="Times New Roman"/>
                  <w:sz w:val="24"/>
                  <w:szCs w:val="24"/>
                  <w:lang w:val="lt-LT"/>
                </w:rPr>
                <w:lastRenderedPageBreak/>
                <w:t>med-henblik-pa-etablering-i-danmark/</w:t>
              </w:r>
            </w:hyperlink>
          </w:p>
          <w:p w14:paraId="52B194A8" w14:textId="4F57BBAB" w:rsidR="00406B9C" w:rsidRPr="00037035" w:rsidRDefault="00406B9C" w:rsidP="005810B5">
            <w:pPr>
              <w:widowControl w:val="0"/>
              <w:spacing w:line="240" w:lineRule="auto"/>
              <w:rPr>
                <w:rFonts w:ascii="Times New Roman" w:eastAsia="Times New Roman" w:hAnsi="Times New Roman" w:cs="Times New Roman"/>
                <w:sz w:val="24"/>
                <w:szCs w:val="24"/>
                <w:lang w:val="lt-LT"/>
              </w:rPr>
            </w:pPr>
          </w:p>
        </w:tc>
        <w:tc>
          <w:tcPr>
            <w:tcW w:w="1418" w:type="dxa"/>
            <w:tcMar>
              <w:top w:w="100" w:type="dxa"/>
              <w:left w:w="100" w:type="dxa"/>
              <w:bottom w:w="100" w:type="dxa"/>
              <w:right w:w="100" w:type="dxa"/>
            </w:tcMar>
          </w:tcPr>
          <w:p w14:paraId="01A0D0B8"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8A7A22" w14:paraId="1C6A3BB1" w14:textId="77777777" w:rsidTr="00670062">
        <w:trPr>
          <w:trHeight w:val="440"/>
        </w:trPr>
        <w:tc>
          <w:tcPr>
            <w:tcW w:w="15346" w:type="dxa"/>
            <w:gridSpan w:val="4"/>
            <w:shd w:val="clear" w:color="auto" w:fill="A2C4C9"/>
            <w:tcMar>
              <w:top w:w="100" w:type="dxa"/>
              <w:left w:w="100" w:type="dxa"/>
              <w:bottom w:w="100" w:type="dxa"/>
              <w:right w:w="100" w:type="dxa"/>
            </w:tcMar>
          </w:tcPr>
          <w:p w14:paraId="1C6A3BB0"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Energetikos sektoriaus aktualijos</w:t>
            </w:r>
          </w:p>
        </w:tc>
      </w:tr>
      <w:tr w:rsidR="005810B5" w:rsidRPr="00881BE5" w14:paraId="499382FB" w14:textId="77777777" w:rsidTr="00670062">
        <w:tc>
          <w:tcPr>
            <w:tcW w:w="1680" w:type="dxa"/>
            <w:tcMar>
              <w:top w:w="100" w:type="dxa"/>
              <w:left w:w="100" w:type="dxa"/>
              <w:bottom w:w="100" w:type="dxa"/>
              <w:right w:w="100" w:type="dxa"/>
            </w:tcMar>
          </w:tcPr>
          <w:p w14:paraId="064D54D1" w14:textId="21E4D32F" w:rsidR="005810B5"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2026-03-10</w:t>
            </w:r>
          </w:p>
        </w:tc>
        <w:tc>
          <w:tcPr>
            <w:tcW w:w="9130" w:type="dxa"/>
            <w:tcMar>
              <w:top w:w="100" w:type="dxa"/>
              <w:left w:w="100" w:type="dxa"/>
              <w:bottom w:w="100" w:type="dxa"/>
              <w:right w:w="100" w:type="dxa"/>
            </w:tcMar>
          </w:tcPr>
          <w:p w14:paraId="3DBE0147" w14:textId="77777777" w:rsidR="005810B5" w:rsidRPr="0057178F" w:rsidRDefault="005810B5" w:rsidP="005810B5">
            <w:pPr>
              <w:spacing w:line="240" w:lineRule="auto"/>
              <w:rPr>
                <w:rFonts w:ascii="Times New Roman" w:eastAsia="Times New Roman" w:hAnsi="Times New Roman" w:cs="Times New Roman"/>
                <w:sz w:val="24"/>
                <w:szCs w:val="24"/>
                <w:lang w:val="lt-LT"/>
              </w:rPr>
            </w:pPr>
            <w:r w:rsidRPr="0057178F">
              <w:rPr>
                <w:rFonts w:ascii="Times New Roman" w:eastAsia="Times New Roman" w:hAnsi="Times New Roman" w:cs="Times New Roman"/>
                <w:sz w:val="24"/>
                <w:szCs w:val="24"/>
                <w:lang w:val="lt-LT"/>
              </w:rPr>
              <w:t>Dėl „kuro šoko“ oro linijos balandį atšaukia 1 000 skrydžių ir įveda laikinus kuro papildomus mokesčius bilietams.</w:t>
            </w:r>
          </w:p>
          <w:p w14:paraId="5FBB7DB6" w14:textId="77777777" w:rsidR="005810B5" w:rsidRPr="00257EAA"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36D29A44" w14:textId="1BBE4D00" w:rsidR="005810B5" w:rsidRPr="00F75540" w:rsidRDefault="005810B5" w:rsidP="005810B5">
            <w:pPr>
              <w:widowControl w:val="0"/>
              <w:spacing w:line="240" w:lineRule="auto"/>
              <w:rPr>
                <w:rFonts w:ascii="Times New Roman" w:eastAsia="Times New Roman" w:hAnsi="Times New Roman" w:cs="Times New Roman"/>
                <w:sz w:val="24"/>
                <w:szCs w:val="24"/>
              </w:rPr>
            </w:pPr>
            <w:hyperlink r:id="rId9" w:history="1">
              <w:r w:rsidRPr="009A3517">
                <w:rPr>
                  <w:rStyle w:val="Hyperlink"/>
                  <w:rFonts w:ascii="Times New Roman" w:eastAsia="Times New Roman" w:hAnsi="Times New Roman" w:cs="Times New Roman"/>
                  <w:sz w:val="24"/>
                  <w:szCs w:val="24"/>
                </w:rPr>
                <w:t>SAS introduces fuel surcharge after oil price jump | News | DR</w:t>
              </w:r>
            </w:hyperlink>
          </w:p>
        </w:tc>
        <w:tc>
          <w:tcPr>
            <w:tcW w:w="1418" w:type="dxa"/>
            <w:tcMar>
              <w:top w:w="100" w:type="dxa"/>
              <w:left w:w="100" w:type="dxa"/>
              <w:bottom w:w="100" w:type="dxa"/>
              <w:right w:w="100" w:type="dxa"/>
            </w:tcMar>
          </w:tcPr>
          <w:p w14:paraId="4874F2CD"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A61077" w14:paraId="1C6A3BB6" w14:textId="77777777" w:rsidTr="00670062">
        <w:tc>
          <w:tcPr>
            <w:tcW w:w="1680" w:type="dxa"/>
            <w:tcMar>
              <w:top w:w="100" w:type="dxa"/>
              <w:left w:w="100" w:type="dxa"/>
              <w:bottom w:w="100" w:type="dxa"/>
              <w:right w:w="100" w:type="dxa"/>
            </w:tcMar>
          </w:tcPr>
          <w:p w14:paraId="1C6A3BB2" w14:textId="2BD789B9"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2026-03-09</w:t>
            </w:r>
          </w:p>
        </w:tc>
        <w:tc>
          <w:tcPr>
            <w:tcW w:w="9130" w:type="dxa"/>
            <w:tcMar>
              <w:top w:w="100" w:type="dxa"/>
              <w:left w:w="100" w:type="dxa"/>
              <w:bottom w:w="100" w:type="dxa"/>
              <w:right w:w="100" w:type="dxa"/>
            </w:tcMar>
          </w:tcPr>
          <w:p w14:paraId="1C6A3BB3" w14:textId="1861C7A1" w:rsidR="005810B5" w:rsidRPr="008A7A22"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Ženkliai išaugo „Atlantic Petroleum“- Farerų salose esančios naftos ir dujų kompanijos akcijų vertė. </w:t>
            </w:r>
          </w:p>
        </w:tc>
        <w:tc>
          <w:tcPr>
            <w:tcW w:w="3118" w:type="dxa"/>
            <w:tcMar>
              <w:top w:w="100" w:type="dxa"/>
              <w:left w:w="100" w:type="dxa"/>
              <w:bottom w:w="100" w:type="dxa"/>
              <w:right w:w="100" w:type="dxa"/>
            </w:tcMar>
          </w:tcPr>
          <w:p w14:paraId="1C6A3BB4" w14:textId="735C4C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hyperlink r:id="rId10" w:history="1">
              <w:r w:rsidRPr="00652403">
                <w:rPr>
                  <w:rStyle w:val="Hyperlink"/>
                  <w:rFonts w:ascii="Times New Roman" w:eastAsia="Times New Roman" w:hAnsi="Times New Roman" w:cs="Times New Roman"/>
                  <w:sz w:val="24"/>
                  <w:szCs w:val="24"/>
                </w:rPr>
                <w:t>Wild upswing: Smaller Danish stock has risen over 250 percent in one week - Jyllands-Posten</w:t>
              </w:r>
            </w:hyperlink>
          </w:p>
        </w:tc>
        <w:tc>
          <w:tcPr>
            <w:tcW w:w="1418" w:type="dxa"/>
            <w:tcMar>
              <w:top w:w="100" w:type="dxa"/>
              <w:left w:w="100" w:type="dxa"/>
              <w:bottom w:w="100" w:type="dxa"/>
              <w:right w:w="100" w:type="dxa"/>
            </w:tcMar>
          </w:tcPr>
          <w:p w14:paraId="1C6A3BB5"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A61077" w14:paraId="4D7F0EFF" w14:textId="77777777" w:rsidTr="00670062">
        <w:tc>
          <w:tcPr>
            <w:tcW w:w="1680" w:type="dxa"/>
            <w:tcMar>
              <w:top w:w="100" w:type="dxa"/>
              <w:left w:w="100" w:type="dxa"/>
              <w:bottom w:w="100" w:type="dxa"/>
              <w:right w:w="100" w:type="dxa"/>
            </w:tcMar>
          </w:tcPr>
          <w:p w14:paraId="3123944F" w14:textId="403DE3B5" w:rsidR="005810B5"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2026-03-19</w:t>
            </w:r>
          </w:p>
        </w:tc>
        <w:tc>
          <w:tcPr>
            <w:tcW w:w="9130" w:type="dxa"/>
            <w:tcMar>
              <w:top w:w="100" w:type="dxa"/>
              <w:left w:w="100" w:type="dxa"/>
              <w:bottom w:w="100" w:type="dxa"/>
              <w:right w:w="100" w:type="dxa"/>
            </w:tcMar>
          </w:tcPr>
          <w:p w14:paraId="4F8E2347" w14:textId="77777777" w:rsidR="005810B5" w:rsidRPr="00985339" w:rsidRDefault="005810B5" w:rsidP="005810B5">
            <w:pPr>
              <w:spacing w:line="240" w:lineRule="auto"/>
              <w:rPr>
                <w:rFonts w:ascii="Times New Roman" w:eastAsia="Times New Roman" w:hAnsi="Times New Roman" w:cs="Times New Roman"/>
                <w:sz w:val="24"/>
                <w:szCs w:val="24"/>
                <w:lang w:val="lt-LT"/>
              </w:rPr>
            </w:pPr>
            <w:r w:rsidRPr="00985339">
              <w:rPr>
                <w:rFonts w:ascii="Times New Roman" w:eastAsia="Times New Roman" w:hAnsi="Times New Roman" w:cs="Times New Roman"/>
                <w:sz w:val="24"/>
                <w:szCs w:val="24"/>
                <w:lang w:val="lt-LT"/>
              </w:rPr>
              <w:t>Danijoje elektros kainos didėjo maždaug 15-25%, o dujomis besišildantiems namų ūkiams metinės sąskaitos gali išaugti 6 700 DKK (896 EUR) .  Tai atsiliepia ir kitų kainų didėjimui, Danijos nacionalinis bankas padidino infliacijos prognozę iki 1,8 %, tačiau esant rizikos scenarijui ji gali pasiekti 4,5 %.</w:t>
            </w:r>
          </w:p>
          <w:p w14:paraId="75DE4EED" w14:textId="77777777" w:rsidR="005810B5" w:rsidRPr="001F2174" w:rsidRDefault="005810B5" w:rsidP="005810B5">
            <w:pPr>
              <w:spacing w:line="240" w:lineRule="auto"/>
              <w:rPr>
                <w:rFonts w:ascii="Times New Roman" w:eastAsia="Times New Roman" w:hAnsi="Times New Roman" w:cs="Times New Roman"/>
                <w:sz w:val="24"/>
                <w:szCs w:val="24"/>
                <w:lang w:val="lt-LT"/>
              </w:rPr>
            </w:pPr>
            <w:r w:rsidRPr="001F2174">
              <w:rPr>
                <w:rFonts w:ascii="Times New Roman" w:eastAsia="Times New Roman" w:hAnsi="Times New Roman" w:cs="Times New Roman"/>
                <w:sz w:val="24"/>
                <w:szCs w:val="24"/>
                <w:lang w:val="lt-LT"/>
              </w:rPr>
              <w:t>Benzino kainos išaugo maždaug 20% ir siekė 17,22 DKK (2,3 EUR), dyzelinis kuras pabrango maždaug 39% ir siekė 18,25DKK (2,44 EUR)</w:t>
            </w:r>
          </w:p>
          <w:p w14:paraId="3CFD6195" w14:textId="77777777" w:rsidR="005810B5"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0B5DBCD8" w14:textId="77777777" w:rsidR="005810B5" w:rsidRDefault="005810B5" w:rsidP="005810B5">
            <w:pPr>
              <w:widowControl w:val="0"/>
              <w:spacing w:line="240" w:lineRule="auto"/>
              <w:rPr>
                <w:rFonts w:ascii="Times New Roman" w:eastAsia="Times New Roman" w:hAnsi="Times New Roman" w:cs="Times New Roman"/>
                <w:sz w:val="24"/>
                <w:szCs w:val="24"/>
              </w:rPr>
            </w:pPr>
            <w:hyperlink r:id="rId11" w:anchor="newsletter" w:history="1">
              <w:r w:rsidRPr="00B341DB">
                <w:rPr>
                  <w:rStyle w:val="Hyperlink"/>
                  <w:rFonts w:ascii="Times New Roman" w:eastAsia="Times New Roman" w:hAnsi="Times New Roman" w:cs="Times New Roman"/>
                  <w:sz w:val="24"/>
                  <w:szCs w:val="24"/>
                </w:rPr>
                <w:t>DKK 6700 extra per year: This is how much the war in the Middle East can cost on your gas bill</w:t>
              </w:r>
            </w:hyperlink>
          </w:p>
          <w:p w14:paraId="109771C9" w14:textId="77777777" w:rsidR="005810B5" w:rsidRDefault="005810B5" w:rsidP="005810B5">
            <w:pPr>
              <w:widowControl w:val="0"/>
              <w:spacing w:line="240" w:lineRule="auto"/>
              <w:rPr>
                <w:rFonts w:ascii="Times New Roman" w:eastAsia="Times New Roman" w:hAnsi="Times New Roman" w:cs="Times New Roman"/>
                <w:sz w:val="24"/>
                <w:szCs w:val="24"/>
              </w:rPr>
            </w:pPr>
          </w:p>
          <w:p w14:paraId="5F956486" w14:textId="031C6782" w:rsidR="005810B5" w:rsidRPr="00652403" w:rsidRDefault="005810B5" w:rsidP="005810B5">
            <w:pPr>
              <w:widowControl w:val="0"/>
              <w:spacing w:line="240" w:lineRule="auto"/>
              <w:rPr>
                <w:rFonts w:ascii="Times New Roman" w:eastAsia="Times New Roman" w:hAnsi="Times New Roman" w:cs="Times New Roman"/>
                <w:sz w:val="24"/>
                <w:szCs w:val="24"/>
              </w:rPr>
            </w:pPr>
            <w:hyperlink r:id="rId12" w:history="1">
              <w:r w:rsidRPr="00753D66">
                <w:rPr>
                  <w:rStyle w:val="Hyperlink"/>
                  <w:rFonts w:ascii="Times New Roman" w:eastAsia="Times New Roman" w:hAnsi="Times New Roman" w:cs="Times New Roman"/>
                  <w:sz w:val="24"/>
                  <w:szCs w:val="24"/>
                </w:rPr>
                <w:t>The price per litre of diesel at OK is the highest in five years | News | DR</w:t>
              </w:r>
            </w:hyperlink>
          </w:p>
        </w:tc>
        <w:tc>
          <w:tcPr>
            <w:tcW w:w="1418" w:type="dxa"/>
            <w:tcMar>
              <w:top w:w="100" w:type="dxa"/>
              <w:left w:w="100" w:type="dxa"/>
              <w:bottom w:w="100" w:type="dxa"/>
              <w:right w:w="100" w:type="dxa"/>
            </w:tcMar>
          </w:tcPr>
          <w:p w14:paraId="013E48E4"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184C64" w14:paraId="1C6A3BBB" w14:textId="77777777" w:rsidTr="00670062">
        <w:tc>
          <w:tcPr>
            <w:tcW w:w="1680" w:type="dxa"/>
            <w:shd w:val="clear" w:color="auto" w:fill="D9D9D9" w:themeFill="background1" w:themeFillShade="D9"/>
            <w:tcMar>
              <w:top w:w="100" w:type="dxa"/>
              <w:left w:w="100" w:type="dxa"/>
              <w:bottom w:w="100" w:type="dxa"/>
              <w:right w:w="100" w:type="dxa"/>
            </w:tcMar>
          </w:tcPr>
          <w:p w14:paraId="1C6A3BB7" w14:textId="7F15ACAA" w:rsidR="005810B5" w:rsidRPr="008A7A22" w:rsidRDefault="00E20B10"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w:t>
            </w:r>
            <w:r w:rsidR="003C0C7B">
              <w:rPr>
                <w:rFonts w:ascii="Times New Roman" w:eastAsia="Times New Roman" w:hAnsi="Times New Roman" w:cs="Times New Roman"/>
                <w:sz w:val="24"/>
                <w:szCs w:val="24"/>
                <w:lang w:val="lt-LT"/>
              </w:rPr>
              <w:t>26</w:t>
            </w:r>
          </w:p>
        </w:tc>
        <w:tc>
          <w:tcPr>
            <w:tcW w:w="9130" w:type="dxa"/>
            <w:shd w:val="clear" w:color="auto" w:fill="D9D9D9" w:themeFill="background1" w:themeFillShade="D9"/>
            <w:tcMar>
              <w:top w:w="100" w:type="dxa"/>
              <w:left w:w="100" w:type="dxa"/>
              <w:bottom w:w="100" w:type="dxa"/>
              <w:right w:w="100" w:type="dxa"/>
            </w:tcMar>
          </w:tcPr>
          <w:p w14:paraId="1C6A3BB8" w14:textId="30E42DD6" w:rsidR="005810B5" w:rsidRPr="004B31A1" w:rsidRDefault="004B31A1" w:rsidP="004B31A1">
            <w:pPr>
              <w:tabs>
                <w:tab w:val="left" w:pos="1142"/>
              </w:tabs>
              <w:spacing w:line="240" w:lineRule="auto"/>
              <w:rPr>
                <w:rFonts w:ascii="Times New Roman" w:eastAsia="Times New Roman" w:hAnsi="Times New Roman" w:cs="Times New Roman"/>
                <w:sz w:val="26"/>
                <w:szCs w:val="26"/>
                <w:lang w:val="lt-LT"/>
              </w:rPr>
            </w:pPr>
            <w:r>
              <w:rPr>
                <w:rFonts w:ascii="Times New Roman" w:eastAsia="Times New Roman" w:hAnsi="Times New Roman" w:cs="Times New Roman"/>
                <w:sz w:val="26"/>
                <w:szCs w:val="26"/>
                <w:lang w:val="lt-LT"/>
              </w:rPr>
              <w:t>I</w:t>
            </w:r>
            <w:r w:rsidRPr="004B31A1">
              <w:rPr>
                <w:rFonts w:ascii="Times New Roman" w:eastAsia="Times New Roman" w:hAnsi="Times New Roman" w:cs="Times New Roman"/>
                <w:sz w:val="26"/>
                <w:szCs w:val="26"/>
                <w:lang w:val="lt-LT"/>
              </w:rPr>
              <w:t>slandija buvo paskelbta oficialia partnere didžiausioje Europos geoterminės energijos parodoje Vokietijoje. Buvo akcentuojamos Islandijos technologijos giliojo gręžimo ir tva</w:t>
            </w:r>
            <w:r w:rsidR="00E20B10">
              <w:rPr>
                <w:rFonts w:ascii="Times New Roman" w:eastAsia="Times New Roman" w:hAnsi="Times New Roman" w:cs="Times New Roman"/>
                <w:sz w:val="26"/>
                <w:szCs w:val="26"/>
                <w:lang w:val="lt-LT"/>
              </w:rPr>
              <w:t>rau</w:t>
            </w:r>
            <w:r w:rsidRPr="004B31A1">
              <w:rPr>
                <w:rFonts w:ascii="Times New Roman" w:eastAsia="Times New Roman" w:hAnsi="Times New Roman" w:cs="Times New Roman"/>
                <w:sz w:val="26"/>
                <w:szCs w:val="26"/>
                <w:lang w:val="lt-LT"/>
              </w:rPr>
              <w:t>s išteklių valdymo srityse.</w:t>
            </w:r>
          </w:p>
        </w:tc>
        <w:tc>
          <w:tcPr>
            <w:tcW w:w="3118" w:type="dxa"/>
            <w:shd w:val="clear" w:color="auto" w:fill="D9D9D9" w:themeFill="background1" w:themeFillShade="D9"/>
            <w:tcMar>
              <w:top w:w="100" w:type="dxa"/>
              <w:left w:w="100" w:type="dxa"/>
              <w:bottom w:w="100" w:type="dxa"/>
              <w:right w:w="100" w:type="dxa"/>
            </w:tcMar>
          </w:tcPr>
          <w:p w14:paraId="3FE1CD10" w14:textId="0BB105CB" w:rsidR="005810B5" w:rsidRDefault="00BC57B9" w:rsidP="005810B5">
            <w:pPr>
              <w:widowControl w:val="0"/>
              <w:spacing w:line="240" w:lineRule="auto"/>
              <w:rPr>
                <w:rFonts w:ascii="Times New Roman" w:eastAsia="Times New Roman" w:hAnsi="Times New Roman" w:cs="Times New Roman"/>
                <w:sz w:val="24"/>
                <w:szCs w:val="24"/>
                <w:lang w:val="lt-LT"/>
              </w:rPr>
            </w:pPr>
            <w:hyperlink r:id="rId13" w:history="1">
              <w:r w:rsidRPr="00B61750">
                <w:rPr>
                  <w:rStyle w:val="Hyperlink"/>
                  <w:rFonts w:ascii="Times New Roman" w:eastAsia="Times New Roman" w:hAnsi="Times New Roman" w:cs="Times New Roman"/>
                  <w:sz w:val="24"/>
                  <w:szCs w:val="24"/>
                  <w:lang w:val="lt-LT"/>
                </w:rPr>
                <w:t>https://www.thinkgeoenergy.com/iceland-partner-country-for-geotherm-2026-in-offenburg/</w:t>
              </w:r>
            </w:hyperlink>
          </w:p>
          <w:p w14:paraId="1C6A3BB9" w14:textId="787A5FF8" w:rsidR="00BC57B9" w:rsidRPr="00FD054B" w:rsidRDefault="00BC57B9" w:rsidP="005810B5">
            <w:pPr>
              <w:widowControl w:val="0"/>
              <w:spacing w:line="240" w:lineRule="auto"/>
              <w:rPr>
                <w:rFonts w:ascii="Times New Roman" w:eastAsia="Times New Roman" w:hAnsi="Times New Roman" w:cs="Times New Roman"/>
                <w:sz w:val="24"/>
                <w:szCs w:val="24"/>
                <w:lang w:val="lt-LT"/>
              </w:rPr>
            </w:pPr>
          </w:p>
        </w:tc>
        <w:tc>
          <w:tcPr>
            <w:tcW w:w="1418" w:type="dxa"/>
            <w:shd w:val="clear" w:color="auto" w:fill="D9D9D9" w:themeFill="background1" w:themeFillShade="D9"/>
            <w:tcMar>
              <w:top w:w="100" w:type="dxa"/>
              <w:left w:w="100" w:type="dxa"/>
              <w:bottom w:w="100" w:type="dxa"/>
              <w:right w:w="100" w:type="dxa"/>
            </w:tcMar>
          </w:tcPr>
          <w:p w14:paraId="1C6A3BBA"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8A7A22" w14:paraId="1C6A3BCC" w14:textId="77777777" w:rsidTr="00670062">
        <w:trPr>
          <w:trHeight w:val="460"/>
        </w:trPr>
        <w:tc>
          <w:tcPr>
            <w:tcW w:w="15346" w:type="dxa"/>
            <w:gridSpan w:val="4"/>
            <w:shd w:val="clear" w:color="auto" w:fill="A2C4C9"/>
            <w:tcMar>
              <w:top w:w="100" w:type="dxa"/>
              <w:left w:w="100" w:type="dxa"/>
              <w:bottom w:w="100" w:type="dxa"/>
              <w:right w:w="100" w:type="dxa"/>
            </w:tcMar>
          </w:tcPr>
          <w:p w14:paraId="1C6A3BCB"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Bendra ekonominė informacija</w:t>
            </w:r>
          </w:p>
        </w:tc>
      </w:tr>
      <w:tr w:rsidR="005810B5" w:rsidRPr="00E1081A" w14:paraId="1C6A3BD1" w14:textId="77777777" w:rsidTr="00670062">
        <w:tc>
          <w:tcPr>
            <w:tcW w:w="1680" w:type="dxa"/>
            <w:tcMar>
              <w:top w:w="100" w:type="dxa"/>
              <w:left w:w="100" w:type="dxa"/>
              <w:bottom w:w="100" w:type="dxa"/>
              <w:right w:w="100" w:type="dxa"/>
            </w:tcMar>
          </w:tcPr>
          <w:p w14:paraId="1C6A3BCD" w14:textId="680C5DEA"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2026-03-25</w:t>
            </w:r>
          </w:p>
        </w:tc>
        <w:tc>
          <w:tcPr>
            <w:tcW w:w="9130" w:type="dxa"/>
            <w:tcMar>
              <w:top w:w="100" w:type="dxa"/>
              <w:left w:w="100" w:type="dxa"/>
              <w:bottom w:w="100" w:type="dxa"/>
              <w:right w:w="100" w:type="dxa"/>
            </w:tcMar>
          </w:tcPr>
          <w:p w14:paraId="501ACCB7" w14:textId="74858A92" w:rsidR="005810B5" w:rsidRPr="00EF3963" w:rsidRDefault="005810B5" w:rsidP="005810B5">
            <w:pPr>
              <w:spacing w:line="240" w:lineRule="auto"/>
              <w:rPr>
                <w:rFonts w:ascii="Times New Roman" w:eastAsia="Times New Roman" w:hAnsi="Times New Roman" w:cs="Times New Roman"/>
                <w:sz w:val="24"/>
                <w:szCs w:val="24"/>
                <w:lang w:val="lt-LT"/>
              </w:rPr>
            </w:pPr>
            <w:r w:rsidRPr="00EF3963">
              <w:rPr>
                <w:rFonts w:ascii="Times New Roman" w:eastAsia="Times New Roman" w:hAnsi="Times New Roman" w:cs="Times New Roman"/>
                <w:sz w:val="24"/>
                <w:szCs w:val="24"/>
                <w:lang w:val="lt-LT"/>
              </w:rPr>
              <w:t>2026 m. kovo 24 d. Danijos parlamento (179 vietos) rinkimuose  pergalę iškovojo „Raudonasis blokas“, užsitikrinęs 84 mandatus prieš „Mėlynojo bloko“ 77</w:t>
            </w:r>
          </w:p>
          <w:p w14:paraId="28E2227A" w14:textId="558AFD0D" w:rsidR="005810B5" w:rsidRPr="00E1081A" w:rsidRDefault="005810B5" w:rsidP="005810B5">
            <w:pPr>
              <w:spacing w:line="240" w:lineRule="auto"/>
              <w:rPr>
                <w:rFonts w:ascii="Times New Roman" w:eastAsia="Times New Roman" w:hAnsi="Times New Roman" w:cs="Times New Roman"/>
                <w:sz w:val="24"/>
                <w:szCs w:val="24"/>
                <w:lang w:val="lt-LT"/>
              </w:rPr>
            </w:pPr>
            <w:r w:rsidRPr="00E1081A">
              <w:rPr>
                <w:rFonts w:ascii="Times New Roman" w:eastAsia="Times New Roman" w:hAnsi="Times New Roman" w:cs="Times New Roman"/>
                <w:sz w:val="24"/>
                <w:szCs w:val="24"/>
                <w:lang w:val="lt-LT"/>
              </w:rPr>
              <w:t>„Raudonasis“ blokas (iš viso 84 vietos)</w:t>
            </w:r>
          </w:p>
          <w:p w14:paraId="4C2D02F8" w14:textId="63FF157E" w:rsidR="005810B5" w:rsidRPr="00EF3963" w:rsidRDefault="005810B5" w:rsidP="005810B5">
            <w:pPr>
              <w:spacing w:line="240" w:lineRule="auto"/>
              <w:rPr>
                <w:rFonts w:ascii="Times New Roman" w:eastAsia="Times New Roman" w:hAnsi="Times New Roman" w:cs="Times New Roman"/>
                <w:sz w:val="24"/>
                <w:szCs w:val="24"/>
                <w:lang w:val="lt-LT"/>
              </w:rPr>
            </w:pPr>
            <w:r w:rsidRPr="00E1081A">
              <w:rPr>
                <w:rFonts w:ascii="Times New Roman" w:eastAsia="Times New Roman" w:hAnsi="Times New Roman" w:cs="Times New Roman"/>
                <w:sz w:val="24"/>
                <w:szCs w:val="24"/>
                <w:lang w:val="lt-LT"/>
              </w:rPr>
              <w:t>„Mėlynasis“ blokas (iš viso 77 vietos)</w:t>
            </w:r>
            <w:r w:rsidRPr="00EF3963">
              <w:rPr>
                <w:rFonts w:ascii="Times New Roman" w:eastAsia="Times New Roman" w:hAnsi="Times New Roman" w:cs="Times New Roman"/>
                <w:sz w:val="24"/>
                <w:szCs w:val="24"/>
                <w:lang w:val="lt-LT"/>
              </w:rPr>
              <w:t>. Nė viena pusė neturi reikiamos daugumos suformuoti valdančią koaliciją, todėl esminį vaidmenį derybose užėmė Moderatai (Moderaterne) su 14 mandatų.</w:t>
            </w:r>
            <w:r>
              <w:rPr>
                <w:rFonts w:ascii="Times New Roman" w:eastAsia="Times New Roman" w:hAnsi="Times New Roman" w:cs="Times New Roman"/>
                <w:sz w:val="24"/>
                <w:szCs w:val="24"/>
                <w:lang w:val="lt-LT"/>
              </w:rPr>
              <w:t xml:space="preserve"> Toliau vyksta derybos dėl valdančios daugumos suformavimo. </w:t>
            </w:r>
          </w:p>
          <w:p w14:paraId="5085433A" w14:textId="75D7D2FC" w:rsidR="005810B5" w:rsidRPr="00EF3963" w:rsidRDefault="005810B5" w:rsidP="005810B5">
            <w:pPr>
              <w:spacing w:line="240" w:lineRule="auto"/>
              <w:rPr>
                <w:rFonts w:ascii="Times New Roman" w:eastAsia="Times New Roman" w:hAnsi="Times New Roman" w:cs="Times New Roman"/>
                <w:sz w:val="24"/>
                <w:szCs w:val="24"/>
                <w:lang w:val="lt-LT"/>
              </w:rPr>
            </w:pPr>
          </w:p>
          <w:p w14:paraId="1C6A3BCE" w14:textId="622008AF" w:rsidR="005810B5" w:rsidRPr="00EF3963"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1C6A3BCF" w14:textId="376B63F2" w:rsidR="005810B5" w:rsidRPr="005D05B5" w:rsidRDefault="005810B5" w:rsidP="005810B5">
            <w:pPr>
              <w:widowControl w:val="0"/>
              <w:spacing w:line="240" w:lineRule="auto"/>
              <w:rPr>
                <w:rFonts w:ascii="Times New Roman" w:eastAsia="Times New Roman" w:hAnsi="Times New Roman" w:cs="Times New Roman"/>
                <w:sz w:val="24"/>
                <w:szCs w:val="24"/>
                <w:lang w:val="lt-LT"/>
              </w:rPr>
            </w:pPr>
          </w:p>
        </w:tc>
        <w:tc>
          <w:tcPr>
            <w:tcW w:w="1418" w:type="dxa"/>
            <w:tcMar>
              <w:top w:w="100" w:type="dxa"/>
              <w:left w:w="100" w:type="dxa"/>
              <w:bottom w:w="100" w:type="dxa"/>
              <w:right w:w="100" w:type="dxa"/>
            </w:tcMar>
          </w:tcPr>
          <w:p w14:paraId="1C6A3BD0"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09246D6A" w14:textId="77777777" w:rsidTr="00670062">
        <w:tc>
          <w:tcPr>
            <w:tcW w:w="1680" w:type="dxa"/>
            <w:tcMar>
              <w:top w:w="100" w:type="dxa"/>
              <w:left w:w="100" w:type="dxa"/>
              <w:bottom w:w="100" w:type="dxa"/>
              <w:right w:w="100" w:type="dxa"/>
            </w:tcMar>
          </w:tcPr>
          <w:p w14:paraId="67C8ED62" w14:textId="6A017729" w:rsidR="005810B5"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2026-03-06</w:t>
            </w:r>
          </w:p>
        </w:tc>
        <w:tc>
          <w:tcPr>
            <w:tcW w:w="9130" w:type="dxa"/>
            <w:tcMar>
              <w:top w:w="100" w:type="dxa"/>
              <w:left w:w="100" w:type="dxa"/>
              <w:bottom w:w="100" w:type="dxa"/>
              <w:right w:w="100" w:type="dxa"/>
            </w:tcMar>
          </w:tcPr>
          <w:p w14:paraId="79532A16" w14:textId="75077D22" w:rsidR="005810B5" w:rsidRPr="00B52FAC"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Danijos </w:t>
            </w:r>
            <w:r w:rsidRPr="00B52FAC">
              <w:rPr>
                <w:rFonts w:ascii="Times New Roman" w:eastAsia="Times New Roman" w:hAnsi="Times New Roman" w:cs="Times New Roman"/>
                <w:sz w:val="24"/>
                <w:szCs w:val="24"/>
                <w:lang w:val="lt-LT"/>
              </w:rPr>
              <w:t>Juvelyrikos milžinė</w:t>
            </w:r>
            <w:r>
              <w:rPr>
                <w:rFonts w:ascii="Times New Roman" w:eastAsia="Times New Roman" w:hAnsi="Times New Roman" w:cs="Times New Roman"/>
                <w:sz w:val="24"/>
                <w:szCs w:val="24"/>
                <w:lang w:val="lt-LT"/>
              </w:rPr>
              <w:t xml:space="preserve"> „Pandora“</w:t>
            </w:r>
            <w:r w:rsidRPr="00B52FAC">
              <w:rPr>
                <w:rFonts w:ascii="Times New Roman" w:eastAsia="Times New Roman" w:hAnsi="Times New Roman" w:cs="Times New Roman"/>
                <w:sz w:val="24"/>
                <w:szCs w:val="24"/>
                <w:lang w:val="lt-LT"/>
              </w:rPr>
              <w:t xml:space="preserve"> JAV teisme siekia susigrąžinti per 200 mln. DKK (26 mln. EUR) neteisėtų muitų, kuriuos JAV Aukščiausiasis Teismas pripažino nelegaliais</w:t>
            </w:r>
          </w:p>
          <w:p w14:paraId="2247AD62" w14:textId="77777777" w:rsidR="005810B5"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32D347D8" w14:textId="44D9B567" w:rsidR="005810B5" w:rsidRPr="00E1081A" w:rsidRDefault="005810B5" w:rsidP="005810B5">
            <w:pPr>
              <w:widowControl w:val="0"/>
              <w:spacing w:line="240" w:lineRule="auto"/>
              <w:rPr>
                <w:rFonts w:ascii="Times New Roman" w:eastAsia="Times New Roman" w:hAnsi="Times New Roman" w:cs="Times New Roman"/>
                <w:sz w:val="24"/>
                <w:szCs w:val="24"/>
                <w:lang w:val="lt-LT"/>
              </w:rPr>
            </w:pPr>
            <w:hyperlink r:id="rId14" w:anchor="newsletter" w:history="1">
              <w:r w:rsidRPr="00B2514F">
                <w:rPr>
                  <w:rStyle w:val="Hyperlink"/>
                  <w:rFonts w:ascii="Times New Roman" w:eastAsia="Times New Roman" w:hAnsi="Times New Roman" w:cs="Times New Roman"/>
                  <w:sz w:val="24"/>
                  <w:szCs w:val="24"/>
                </w:rPr>
                <w:t>Pandora sues the US and demands repayment of illegal tariffs</w:t>
              </w:r>
            </w:hyperlink>
          </w:p>
        </w:tc>
        <w:tc>
          <w:tcPr>
            <w:tcW w:w="1418" w:type="dxa"/>
            <w:tcMar>
              <w:top w:w="100" w:type="dxa"/>
              <w:left w:w="100" w:type="dxa"/>
              <w:bottom w:w="100" w:type="dxa"/>
              <w:right w:w="100" w:type="dxa"/>
            </w:tcMar>
          </w:tcPr>
          <w:p w14:paraId="6E77E8A1"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184C64" w14:paraId="1C6A3BD6" w14:textId="77777777" w:rsidTr="00670062">
        <w:tc>
          <w:tcPr>
            <w:tcW w:w="1680" w:type="dxa"/>
            <w:tcMar>
              <w:top w:w="100" w:type="dxa"/>
              <w:left w:w="100" w:type="dxa"/>
              <w:bottom w:w="100" w:type="dxa"/>
              <w:right w:w="100" w:type="dxa"/>
            </w:tcMar>
          </w:tcPr>
          <w:p w14:paraId="1C6A3BD2" w14:textId="7F889268" w:rsidR="005810B5" w:rsidRPr="008A7A22"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2026-03-08</w:t>
            </w:r>
          </w:p>
        </w:tc>
        <w:tc>
          <w:tcPr>
            <w:tcW w:w="9130" w:type="dxa"/>
            <w:tcMar>
              <w:top w:w="100" w:type="dxa"/>
              <w:left w:w="100" w:type="dxa"/>
              <w:bottom w:w="100" w:type="dxa"/>
              <w:right w:w="100" w:type="dxa"/>
            </w:tcMar>
          </w:tcPr>
          <w:p w14:paraId="1C6A3BD3" w14:textId="3C6EE17A" w:rsidR="005810B5" w:rsidRPr="001E0FB3"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Danijoje vadovės moterys uždirba 100 tūkst DKK per metus mažiau nei tokiose pačiose pareigose dirbantys vyrai, atsk</w:t>
            </w:r>
            <w:r w:rsidR="00071426">
              <w:rPr>
                <w:rFonts w:ascii="Times New Roman" w:eastAsia="Times New Roman" w:hAnsi="Times New Roman" w:cs="Times New Roman"/>
                <w:sz w:val="24"/>
                <w:szCs w:val="24"/>
                <w:lang w:val="lt-LT"/>
              </w:rPr>
              <w:t>l</w:t>
            </w:r>
            <w:r>
              <w:rPr>
                <w:rFonts w:ascii="Times New Roman" w:eastAsia="Times New Roman" w:hAnsi="Times New Roman" w:cs="Times New Roman"/>
                <w:sz w:val="24"/>
                <w:szCs w:val="24"/>
                <w:lang w:val="lt-LT"/>
              </w:rPr>
              <w:t>eidė „</w:t>
            </w:r>
            <w:r w:rsidRPr="001E0FB3">
              <w:rPr>
                <w:rFonts w:ascii="Times New Roman" w:eastAsia="Times New Roman" w:hAnsi="Times New Roman" w:cs="Times New Roman"/>
                <w:sz w:val="24"/>
                <w:szCs w:val="24"/>
                <w:lang w:val="lt-LT"/>
              </w:rPr>
              <w:t>Djøf</w:t>
            </w:r>
            <w:r>
              <w:rPr>
                <w:rFonts w:ascii="Times New Roman" w:eastAsia="Times New Roman" w:hAnsi="Times New Roman" w:cs="Times New Roman"/>
                <w:sz w:val="24"/>
                <w:szCs w:val="24"/>
                <w:lang w:val="lt-LT"/>
              </w:rPr>
              <w:t xml:space="preserve">‘ darbuotojų sąjungos vienijančios 110 tūkst. darbuotojų tyrimas.  </w:t>
            </w:r>
          </w:p>
        </w:tc>
        <w:tc>
          <w:tcPr>
            <w:tcW w:w="3118" w:type="dxa"/>
            <w:tcMar>
              <w:top w:w="100" w:type="dxa"/>
              <w:left w:w="100" w:type="dxa"/>
              <w:bottom w:w="100" w:type="dxa"/>
              <w:right w:w="100" w:type="dxa"/>
            </w:tcMar>
          </w:tcPr>
          <w:p w14:paraId="1C6A3BD4" w14:textId="71823E90" w:rsidR="005810B5" w:rsidRPr="008A7A22" w:rsidRDefault="005810B5" w:rsidP="005810B5">
            <w:pPr>
              <w:widowControl w:val="0"/>
              <w:spacing w:line="240" w:lineRule="auto"/>
              <w:rPr>
                <w:rFonts w:ascii="Times New Roman" w:eastAsia="Times New Roman" w:hAnsi="Times New Roman" w:cs="Times New Roman"/>
                <w:sz w:val="24"/>
                <w:szCs w:val="24"/>
                <w:lang w:val="lt-LT"/>
              </w:rPr>
            </w:pPr>
            <w:hyperlink r:id="rId15" w:history="1">
              <w:r w:rsidRPr="00BF1D86">
                <w:rPr>
                  <w:rStyle w:val="Hyperlink"/>
                  <w:rFonts w:ascii="Times New Roman" w:eastAsia="Times New Roman" w:hAnsi="Times New Roman" w:cs="Times New Roman"/>
                  <w:sz w:val="24"/>
                  <w:szCs w:val="24"/>
                  <w:lang w:val="da-DK"/>
                </w:rPr>
                <w:t>Analyse: Kvindelige chefer tjener knap 100.000 mindre end mænd | Business | Berlingske</w:t>
              </w:r>
            </w:hyperlink>
          </w:p>
        </w:tc>
        <w:tc>
          <w:tcPr>
            <w:tcW w:w="1418" w:type="dxa"/>
            <w:tcMar>
              <w:top w:w="100" w:type="dxa"/>
              <w:left w:w="100" w:type="dxa"/>
              <w:bottom w:w="100" w:type="dxa"/>
              <w:right w:w="100" w:type="dxa"/>
            </w:tcMar>
          </w:tcPr>
          <w:p w14:paraId="1C6A3BD5"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1C6A3BDB" w14:textId="77777777" w:rsidTr="00670062">
        <w:tc>
          <w:tcPr>
            <w:tcW w:w="1680" w:type="dxa"/>
            <w:tcMar>
              <w:top w:w="100" w:type="dxa"/>
              <w:left w:w="100" w:type="dxa"/>
              <w:bottom w:w="100" w:type="dxa"/>
              <w:right w:w="100" w:type="dxa"/>
            </w:tcMar>
          </w:tcPr>
          <w:p w14:paraId="1C6A3BD7" w14:textId="594B45AA" w:rsidR="005810B5" w:rsidRPr="00D510D4" w:rsidRDefault="005810B5" w:rsidP="005810B5">
            <w:pPr>
              <w:widowControl w:val="0"/>
              <w:spacing w:line="240" w:lineRule="auto"/>
              <w:rPr>
                <w:rFonts w:ascii="Times New Roman" w:eastAsia="Times New Roman" w:hAnsi="Times New Roman" w:cs="Times New Roman"/>
                <w:sz w:val="26"/>
                <w:szCs w:val="26"/>
                <w:lang w:val="lt-LT"/>
              </w:rPr>
            </w:pPr>
            <w:r>
              <w:rPr>
                <w:rFonts w:ascii="Times New Roman" w:eastAsia="Times New Roman" w:hAnsi="Times New Roman" w:cs="Times New Roman"/>
                <w:sz w:val="26"/>
                <w:szCs w:val="26"/>
                <w:lang w:val="lt-LT"/>
              </w:rPr>
              <w:t>2026-03-10</w:t>
            </w:r>
          </w:p>
        </w:tc>
        <w:tc>
          <w:tcPr>
            <w:tcW w:w="9130" w:type="dxa"/>
            <w:tcMar>
              <w:top w:w="100" w:type="dxa"/>
              <w:left w:w="100" w:type="dxa"/>
              <w:bottom w:w="100" w:type="dxa"/>
              <w:right w:w="100" w:type="dxa"/>
            </w:tcMar>
          </w:tcPr>
          <w:p w14:paraId="7527BE6E" w14:textId="348C636F" w:rsidR="005810B5" w:rsidRPr="00866214"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„Lego“</w:t>
            </w:r>
            <w:r w:rsidRPr="00866214">
              <w:rPr>
                <w:rFonts w:ascii="Times New Roman" w:eastAsia="Times New Roman" w:hAnsi="Times New Roman" w:cs="Times New Roman"/>
                <w:sz w:val="24"/>
                <w:szCs w:val="24"/>
                <w:lang w:val="lt-LT"/>
              </w:rPr>
              <w:t xml:space="preserve"> 2025 m. įmonė pasiekė rekordinę 83,5 mlrd. DKK (11,2 mlrd. EUR) apyvartą (+12 %) ir 16,7 mlrd.DKK</w:t>
            </w:r>
            <w:r>
              <w:rPr>
                <w:rFonts w:ascii="Times New Roman" w:eastAsia="Times New Roman" w:hAnsi="Times New Roman" w:cs="Times New Roman"/>
                <w:sz w:val="24"/>
                <w:szCs w:val="24"/>
                <w:lang w:val="lt-LT"/>
              </w:rPr>
              <w:t xml:space="preserve"> </w:t>
            </w:r>
            <w:r w:rsidRPr="00866214">
              <w:rPr>
                <w:rFonts w:ascii="Times New Roman" w:eastAsia="Times New Roman" w:hAnsi="Times New Roman" w:cs="Times New Roman"/>
                <w:sz w:val="24"/>
                <w:szCs w:val="24"/>
                <w:lang w:val="lt-LT"/>
              </w:rPr>
              <w:t>(2,23 mlrd. EUR)  grynąjį pelną. Taip pat Teksaso teismas atmetė Elono Musko platformos „X“ ieškinį prieš „Lego“ dėl neva neteisėto reklamos boikoto.</w:t>
            </w:r>
          </w:p>
          <w:p w14:paraId="1C6A3BD8" w14:textId="0624F790" w:rsidR="005810B5" w:rsidRPr="00971E19"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1C6A3BD9" w14:textId="2814B4D2" w:rsidR="005810B5" w:rsidRPr="008A7A22" w:rsidRDefault="005810B5" w:rsidP="005810B5">
            <w:pPr>
              <w:widowControl w:val="0"/>
              <w:spacing w:line="240" w:lineRule="auto"/>
              <w:rPr>
                <w:rFonts w:ascii="Times New Roman" w:eastAsia="Times New Roman" w:hAnsi="Times New Roman" w:cs="Times New Roman"/>
                <w:sz w:val="24"/>
                <w:szCs w:val="24"/>
                <w:lang w:val="lt-LT"/>
              </w:rPr>
            </w:pPr>
            <w:hyperlink r:id="rId16" w:anchor="newsletter" w:history="1">
              <w:r w:rsidRPr="00914F9E">
                <w:rPr>
                  <w:rStyle w:val="Hyperlink"/>
                  <w:rFonts w:ascii="Times New Roman" w:eastAsia="Times New Roman" w:hAnsi="Times New Roman" w:cs="Times New Roman"/>
                  <w:sz w:val="24"/>
                  <w:szCs w:val="24"/>
                </w:rPr>
                <w:t>Lego defies chaos and blows past DKK 80 billion.</w:t>
              </w:r>
            </w:hyperlink>
          </w:p>
        </w:tc>
        <w:tc>
          <w:tcPr>
            <w:tcW w:w="1418" w:type="dxa"/>
            <w:tcMar>
              <w:top w:w="100" w:type="dxa"/>
              <w:left w:w="100" w:type="dxa"/>
              <w:bottom w:w="100" w:type="dxa"/>
              <w:right w:w="100" w:type="dxa"/>
            </w:tcMar>
          </w:tcPr>
          <w:p w14:paraId="1C6A3BDA"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1C6A3BE0" w14:textId="77777777" w:rsidTr="00670062">
        <w:tc>
          <w:tcPr>
            <w:tcW w:w="1680" w:type="dxa"/>
            <w:tcMar>
              <w:top w:w="100" w:type="dxa"/>
              <w:left w:w="100" w:type="dxa"/>
              <w:bottom w:w="100" w:type="dxa"/>
              <w:right w:w="100" w:type="dxa"/>
            </w:tcMar>
          </w:tcPr>
          <w:p w14:paraId="1C6A3BDC" w14:textId="3C8CF334"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2026-03-17</w:t>
            </w:r>
          </w:p>
        </w:tc>
        <w:tc>
          <w:tcPr>
            <w:tcW w:w="9130" w:type="dxa"/>
            <w:tcMar>
              <w:top w:w="100" w:type="dxa"/>
              <w:left w:w="100" w:type="dxa"/>
              <w:bottom w:w="100" w:type="dxa"/>
              <w:right w:w="100" w:type="dxa"/>
            </w:tcMar>
          </w:tcPr>
          <w:p w14:paraId="320A26BA" w14:textId="5BEA6DC1" w:rsidR="005810B5" w:rsidRPr="000000BD" w:rsidRDefault="005810B5" w:rsidP="005810B5">
            <w:pPr>
              <w:spacing w:line="240" w:lineRule="auto"/>
              <w:rPr>
                <w:rFonts w:ascii="Times New Roman" w:eastAsia="Times New Roman" w:hAnsi="Times New Roman" w:cs="Times New Roman"/>
                <w:sz w:val="24"/>
                <w:szCs w:val="24"/>
                <w:lang w:val="lt-LT"/>
              </w:rPr>
            </w:pPr>
            <w:r w:rsidRPr="000000BD">
              <w:rPr>
                <w:rFonts w:ascii="Times New Roman" w:eastAsia="Times New Roman" w:hAnsi="Times New Roman" w:cs="Times New Roman"/>
                <w:sz w:val="24"/>
                <w:szCs w:val="24"/>
                <w:lang w:val="lt-LT"/>
              </w:rPr>
              <w:t>Nordea</w:t>
            </w:r>
            <w:r w:rsidRPr="005C68E4">
              <w:rPr>
                <w:rFonts w:ascii="Times New Roman" w:eastAsia="Times New Roman" w:hAnsi="Times New Roman" w:cs="Times New Roman"/>
                <w:sz w:val="24"/>
                <w:szCs w:val="24"/>
                <w:lang w:val="lt-LT"/>
              </w:rPr>
              <w:t xml:space="preserve"> p</w:t>
            </w:r>
            <w:r w:rsidRPr="000000BD">
              <w:rPr>
                <w:rFonts w:ascii="Times New Roman" w:eastAsia="Times New Roman" w:hAnsi="Times New Roman" w:cs="Times New Roman"/>
                <w:sz w:val="24"/>
                <w:szCs w:val="24"/>
                <w:lang w:val="lt-LT"/>
              </w:rPr>
              <w:t>lanuoja per dvejus metus panaikinti 1 500 darbo vietų (apie 5 %) dėl didėjančio dirbtinio intelekto efektyvumo.</w:t>
            </w:r>
          </w:p>
          <w:p w14:paraId="1C6A3BDD" w14:textId="057F8545" w:rsidR="005810B5" w:rsidRPr="005C68E4"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1C6A3BDE" w14:textId="04BDB051" w:rsidR="005810B5" w:rsidRPr="008A7A22" w:rsidRDefault="005810B5" w:rsidP="005810B5">
            <w:pPr>
              <w:widowControl w:val="0"/>
              <w:spacing w:line="240" w:lineRule="auto"/>
              <w:rPr>
                <w:rFonts w:ascii="Times New Roman" w:eastAsia="Times New Roman" w:hAnsi="Times New Roman" w:cs="Times New Roman"/>
                <w:sz w:val="24"/>
                <w:szCs w:val="24"/>
                <w:lang w:val="lt-LT"/>
              </w:rPr>
            </w:pPr>
            <w:hyperlink r:id="rId17" w:anchor="newsletter" w:history="1">
              <w:r w:rsidRPr="00102770">
                <w:rPr>
                  <w:rStyle w:val="Hyperlink"/>
                  <w:rFonts w:ascii="Times New Roman" w:eastAsia="Times New Roman" w:hAnsi="Times New Roman" w:cs="Times New Roman"/>
                  <w:sz w:val="24"/>
                  <w:szCs w:val="24"/>
                </w:rPr>
                <w:t>Nordea to cut 1500 jobs – now AI is hitting banks</w:t>
              </w:r>
            </w:hyperlink>
          </w:p>
        </w:tc>
        <w:tc>
          <w:tcPr>
            <w:tcW w:w="1418" w:type="dxa"/>
            <w:tcMar>
              <w:top w:w="100" w:type="dxa"/>
              <w:left w:w="100" w:type="dxa"/>
              <w:bottom w:w="100" w:type="dxa"/>
              <w:right w:w="100" w:type="dxa"/>
            </w:tcMar>
          </w:tcPr>
          <w:p w14:paraId="1C6A3BDF"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5E861A12" w14:textId="77777777" w:rsidTr="00670062">
        <w:tc>
          <w:tcPr>
            <w:tcW w:w="1680" w:type="dxa"/>
            <w:tcMar>
              <w:top w:w="100" w:type="dxa"/>
              <w:left w:w="100" w:type="dxa"/>
              <w:bottom w:w="100" w:type="dxa"/>
              <w:right w:w="100" w:type="dxa"/>
            </w:tcMar>
          </w:tcPr>
          <w:p w14:paraId="755A343D" w14:textId="678E99B3" w:rsidR="005810B5" w:rsidRPr="008A7A22"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2026-03-09</w:t>
            </w:r>
          </w:p>
        </w:tc>
        <w:tc>
          <w:tcPr>
            <w:tcW w:w="9130" w:type="dxa"/>
            <w:tcMar>
              <w:top w:w="100" w:type="dxa"/>
              <w:left w:w="100" w:type="dxa"/>
              <w:bottom w:w="100" w:type="dxa"/>
              <w:right w:w="100" w:type="dxa"/>
            </w:tcMar>
          </w:tcPr>
          <w:p w14:paraId="4C03DBBA" w14:textId="04B5BDE1" w:rsidR="005810B5" w:rsidRPr="007F7B77"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„Danfoss“ p</w:t>
            </w:r>
            <w:r w:rsidRPr="007F7B77">
              <w:rPr>
                <w:rFonts w:ascii="Times New Roman" w:eastAsia="Times New Roman" w:hAnsi="Times New Roman" w:cs="Times New Roman"/>
                <w:sz w:val="24"/>
                <w:szCs w:val="24"/>
                <w:lang w:val="lt-LT"/>
              </w:rPr>
              <w:t>erima visišką „Semikron Danfoss“ kontrolę, tačiau traukiasi iš automobilių elektrifikavimo segmento, kas palies iki 800 darbuotojų.</w:t>
            </w:r>
          </w:p>
          <w:p w14:paraId="20930E5C" w14:textId="77777777" w:rsidR="005810B5" w:rsidRPr="00033FCA"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449AB61D" w14:textId="0969E165" w:rsidR="005810B5" w:rsidRPr="00E1081A" w:rsidRDefault="005810B5" w:rsidP="005810B5">
            <w:pPr>
              <w:widowControl w:val="0"/>
              <w:spacing w:line="240" w:lineRule="auto"/>
              <w:rPr>
                <w:rFonts w:ascii="Times New Roman" w:eastAsia="Times New Roman" w:hAnsi="Times New Roman" w:cs="Times New Roman"/>
                <w:sz w:val="24"/>
                <w:szCs w:val="24"/>
                <w:lang w:val="lt-LT"/>
              </w:rPr>
            </w:pPr>
            <w:hyperlink r:id="rId18" w:history="1">
              <w:r w:rsidRPr="00A9237B">
                <w:rPr>
                  <w:rStyle w:val="Hyperlink"/>
                  <w:rFonts w:ascii="Times New Roman" w:eastAsia="Times New Roman" w:hAnsi="Times New Roman" w:cs="Times New Roman"/>
                  <w:sz w:val="24"/>
                  <w:szCs w:val="24"/>
                </w:rPr>
                <w:t>Danfoss in billion-kroner investment: Buys German partner out of large subsidiary - Jyllands-Posten</w:t>
              </w:r>
            </w:hyperlink>
          </w:p>
        </w:tc>
        <w:tc>
          <w:tcPr>
            <w:tcW w:w="1418" w:type="dxa"/>
            <w:tcMar>
              <w:top w:w="100" w:type="dxa"/>
              <w:left w:w="100" w:type="dxa"/>
              <w:bottom w:w="100" w:type="dxa"/>
              <w:right w:w="100" w:type="dxa"/>
            </w:tcMar>
          </w:tcPr>
          <w:p w14:paraId="7E495671"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1E47FD85" w14:textId="77777777" w:rsidTr="00670062">
        <w:tc>
          <w:tcPr>
            <w:tcW w:w="1680" w:type="dxa"/>
            <w:tcMar>
              <w:top w:w="100" w:type="dxa"/>
              <w:left w:w="100" w:type="dxa"/>
              <w:bottom w:w="100" w:type="dxa"/>
              <w:right w:w="100" w:type="dxa"/>
            </w:tcMar>
          </w:tcPr>
          <w:p w14:paraId="0FC4C82F" w14:textId="68CF364B" w:rsidR="005810B5"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2026-03-12</w:t>
            </w:r>
          </w:p>
        </w:tc>
        <w:tc>
          <w:tcPr>
            <w:tcW w:w="9130" w:type="dxa"/>
            <w:tcMar>
              <w:top w:w="100" w:type="dxa"/>
              <w:left w:w="100" w:type="dxa"/>
              <w:bottom w:w="100" w:type="dxa"/>
              <w:right w:w="100" w:type="dxa"/>
            </w:tcMar>
          </w:tcPr>
          <w:p w14:paraId="0B4075C4" w14:textId="60917AF9" w:rsidR="005810B5" w:rsidRPr="00BF574C" w:rsidRDefault="005810B5" w:rsidP="005810B5">
            <w:pPr>
              <w:spacing w:line="240" w:lineRule="auto"/>
              <w:rPr>
                <w:rFonts w:ascii="Times New Roman" w:eastAsia="Times New Roman" w:hAnsi="Times New Roman" w:cs="Times New Roman"/>
                <w:sz w:val="24"/>
                <w:szCs w:val="24"/>
                <w:lang w:val="lt-LT"/>
              </w:rPr>
            </w:pPr>
            <w:r w:rsidRPr="00BF574C">
              <w:rPr>
                <w:rFonts w:ascii="Times New Roman" w:eastAsia="Times New Roman" w:hAnsi="Times New Roman" w:cs="Times New Roman"/>
                <w:sz w:val="24"/>
                <w:szCs w:val="24"/>
                <w:lang w:val="lt-LT"/>
              </w:rPr>
              <w:t>Vasario mėnesį Danijos būsto rinkoje užfiksuotas tolesnis kainų augimas, kurį labiausiai skatino brangstantys butai (2 %) ir atostogų namai (2,1 %), tuo tarpu individualių namų kainų pokytis buvo minimalus (0,2 %). Pagrindinis rinkos variklis išlieka sostinės regionas, kur dėl itin mažos pasiūlos pirkėjai konkuruoja tarpusavyje, o butų kainos Kopenhagoje per metus šoktelėjo net 25,5 %, taip apribodamos jaunimo galimybes įsigyti būstą.</w:t>
            </w:r>
          </w:p>
        </w:tc>
        <w:tc>
          <w:tcPr>
            <w:tcW w:w="3118" w:type="dxa"/>
            <w:tcMar>
              <w:top w:w="100" w:type="dxa"/>
              <w:left w:w="100" w:type="dxa"/>
              <w:bottom w:w="100" w:type="dxa"/>
              <w:right w:w="100" w:type="dxa"/>
            </w:tcMar>
          </w:tcPr>
          <w:p w14:paraId="42F286A4" w14:textId="4509814D" w:rsidR="005810B5" w:rsidRPr="00E1081A" w:rsidRDefault="005810B5" w:rsidP="005810B5">
            <w:pPr>
              <w:widowControl w:val="0"/>
              <w:spacing w:line="240" w:lineRule="auto"/>
              <w:rPr>
                <w:rFonts w:ascii="Times New Roman" w:eastAsia="Times New Roman" w:hAnsi="Times New Roman" w:cs="Times New Roman"/>
                <w:sz w:val="24"/>
                <w:szCs w:val="24"/>
                <w:lang w:val="lt-LT"/>
              </w:rPr>
            </w:pPr>
            <w:hyperlink r:id="rId19" w:anchor="newsletter" w:history="1">
              <w:r w:rsidRPr="003D632F">
                <w:rPr>
                  <w:rStyle w:val="Hyperlink"/>
                  <w:rFonts w:ascii="Times New Roman" w:eastAsia="Times New Roman" w:hAnsi="Times New Roman" w:cs="Times New Roman"/>
                  <w:sz w:val="24"/>
                  <w:szCs w:val="24"/>
                </w:rPr>
                <w:t>House prices continue to rise – but part of the market is almost at a standstill</w:t>
              </w:r>
            </w:hyperlink>
          </w:p>
        </w:tc>
        <w:tc>
          <w:tcPr>
            <w:tcW w:w="1418" w:type="dxa"/>
            <w:tcMar>
              <w:top w:w="100" w:type="dxa"/>
              <w:left w:w="100" w:type="dxa"/>
              <w:bottom w:w="100" w:type="dxa"/>
              <w:right w:w="100" w:type="dxa"/>
            </w:tcMar>
          </w:tcPr>
          <w:p w14:paraId="6D242262"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5810B5" w:rsidRPr="00E1081A" w14:paraId="64517AF4" w14:textId="77777777" w:rsidTr="00670062">
        <w:tc>
          <w:tcPr>
            <w:tcW w:w="1680" w:type="dxa"/>
            <w:tcMar>
              <w:top w:w="100" w:type="dxa"/>
              <w:left w:w="100" w:type="dxa"/>
              <w:bottom w:w="100" w:type="dxa"/>
              <w:right w:w="100" w:type="dxa"/>
            </w:tcMar>
          </w:tcPr>
          <w:p w14:paraId="286ACF9A" w14:textId="6338E702" w:rsidR="005810B5" w:rsidRDefault="005810B5" w:rsidP="005810B5">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2026-03-17</w:t>
            </w:r>
          </w:p>
        </w:tc>
        <w:tc>
          <w:tcPr>
            <w:tcW w:w="9130" w:type="dxa"/>
            <w:tcMar>
              <w:top w:w="100" w:type="dxa"/>
              <w:left w:w="100" w:type="dxa"/>
              <w:bottom w:w="100" w:type="dxa"/>
              <w:right w:w="100" w:type="dxa"/>
            </w:tcMar>
          </w:tcPr>
          <w:p w14:paraId="12806BB0" w14:textId="5CC43D1B" w:rsidR="005810B5" w:rsidRPr="00267F68" w:rsidRDefault="005810B5" w:rsidP="005810B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N</w:t>
            </w:r>
            <w:r w:rsidRPr="00267F68">
              <w:rPr>
                <w:rFonts w:ascii="Times New Roman" w:eastAsia="Times New Roman" w:hAnsi="Times New Roman" w:cs="Times New Roman"/>
                <w:sz w:val="24"/>
                <w:szCs w:val="24"/>
                <w:lang w:val="lt-LT"/>
              </w:rPr>
              <w:t xml:space="preserve">ors kylančios naftos kainos </w:t>
            </w:r>
            <w:r>
              <w:rPr>
                <w:rFonts w:ascii="Times New Roman" w:eastAsia="Times New Roman" w:hAnsi="Times New Roman" w:cs="Times New Roman"/>
                <w:sz w:val="24"/>
                <w:szCs w:val="24"/>
                <w:lang w:val="lt-LT"/>
              </w:rPr>
              <w:t xml:space="preserve">„Maersk“ </w:t>
            </w:r>
            <w:r w:rsidRPr="00267F68">
              <w:rPr>
                <w:rFonts w:ascii="Times New Roman" w:eastAsia="Times New Roman" w:hAnsi="Times New Roman" w:cs="Times New Roman"/>
                <w:sz w:val="24"/>
                <w:szCs w:val="24"/>
                <w:lang w:val="lt-LT"/>
              </w:rPr>
              <w:t>gali kainuoti apie 6 mlrd. DKK (800 mln. EUR) , dėl Hormūzo sąsiaurio krizės drastiškai išaugę krovinių gabenimo tarifai (Shanghai indeksas kilo virš 350 USD) gali leisti įmonei uždirbti dar didesnį pelną.</w:t>
            </w:r>
          </w:p>
          <w:p w14:paraId="24AB1C24" w14:textId="77777777" w:rsidR="005810B5" w:rsidRPr="00BF574C" w:rsidRDefault="005810B5" w:rsidP="005810B5">
            <w:pPr>
              <w:spacing w:line="240" w:lineRule="auto"/>
              <w:rPr>
                <w:rFonts w:ascii="Times New Roman" w:eastAsia="Times New Roman" w:hAnsi="Times New Roman" w:cs="Times New Roman"/>
                <w:sz w:val="24"/>
                <w:szCs w:val="24"/>
                <w:lang w:val="lt-LT"/>
              </w:rPr>
            </w:pPr>
          </w:p>
        </w:tc>
        <w:tc>
          <w:tcPr>
            <w:tcW w:w="3118" w:type="dxa"/>
            <w:tcMar>
              <w:top w:w="100" w:type="dxa"/>
              <w:left w:w="100" w:type="dxa"/>
              <w:bottom w:w="100" w:type="dxa"/>
              <w:right w:w="100" w:type="dxa"/>
            </w:tcMar>
          </w:tcPr>
          <w:p w14:paraId="536358B5" w14:textId="5C477250" w:rsidR="005810B5" w:rsidRPr="00267F68" w:rsidRDefault="005810B5" w:rsidP="005810B5">
            <w:pPr>
              <w:widowControl w:val="0"/>
              <w:spacing w:line="240" w:lineRule="auto"/>
              <w:rPr>
                <w:rFonts w:ascii="Times New Roman" w:eastAsia="Times New Roman" w:hAnsi="Times New Roman" w:cs="Times New Roman"/>
                <w:sz w:val="24"/>
                <w:szCs w:val="24"/>
                <w:lang w:val="lt-LT"/>
              </w:rPr>
            </w:pPr>
            <w:hyperlink r:id="rId20" w:anchor="newsletter" w:history="1">
              <w:r w:rsidRPr="00C73D8C">
                <w:rPr>
                  <w:rStyle w:val="Hyperlink"/>
                  <w:rFonts w:ascii="Times New Roman" w:eastAsia="Times New Roman" w:hAnsi="Times New Roman" w:cs="Times New Roman"/>
                  <w:sz w:val="24"/>
                  <w:szCs w:val="24"/>
                </w:rPr>
                <w:t>Oil jump could cost Maersk DKK 6 billion.</w:t>
              </w:r>
            </w:hyperlink>
          </w:p>
        </w:tc>
        <w:tc>
          <w:tcPr>
            <w:tcW w:w="1418" w:type="dxa"/>
            <w:tcMar>
              <w:top w:w="100" w:type="dxa"/>
              <w:left w:w="100" w:type="dxa"/>
              <w:bottom w:w="100" w:type="dxa"/>
              <w:right w:w="100" w:type="dxa"/>
            </w:tcMar>
          </w:tcPr>
          <w:p w14:paraId="254F0A79" w14:textId="77777777" w:rsidR="005810B5" w:rsidRPr="008A7A22" w:rsidRDefault="005810B5" w:rsidP="005810B5">
            <w:pPr>
              <w:widowControl w:val="0"/>
              <w:spacing w:line="240" w:lineRule="auto"/>
              <w:rPr>
                <w:rFonts w:ascii="Times New Roman" w:eastAsia="Times New Roman" w:hAnsi="Times New Roman" w:cs="Times New Roman"/>
                <w:sz w:val="24"/>
                <w:szCs w:val="24"/>
                <w:lang w:val="lt-LT"/>
              </w:rPr>
            </w:pPr>
          </w:p>
        </w:tc>
      </w:tr>
      <w:tr w:rsidR="00923265" w:rsidRPr="00184C64" w14:paraId="1C6A3C0D" w14:textId="77777777" w:rsidTr="00670062">
        <w:tc>
          <w:tcPr>
            <w:tcW w:w="1680" w:type="dxa"/>
            <w:shd w:val="clear" w:color="auto" w:fill="CCCCCC"/>
            <w:tcMar>
              <w:top w:w="100" w:type="dxa"/>
              <w:left w:w="100" w:type="dxa"/>
              <w:bottom w:w="100" w:type="dxa"/>
              <w:right w:w="100" w:type="dxa"/>
            </w:tcMar>
          </w:tcPr>
          <w:p w14:paraId="1C6A3C09" w14:textId="45A0AEDC" w:rsidR="00923265" w:rsidRPr="008A7A22" w:rsidRDefault="00923265" w:rsidP="0092326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2026-03-28</w:t>
            </w:r>
          </w:p>
        </w:tc>
        <w:tc>
          <w:tcPr>
            <w:tcW w:w="9130" w:type="dxa"/>
            <w:shd w:val="clear" w:color="auto" w:fill="CCCCCC"/>
            <w:tcMar>
              <w:top w:w="100" w:type="dxa"/>
              <w:left w:w="100" w:type="dxa"/>
              <w:bottom w:w="100" w:type="dxa"/>
              <w:right w:w="100" w:type="dxa"/>
            </w:tcMar>
          </w:tcPr>
          <w:p w14:paraId="1C6A3C0A" w14:textId="40611074" w:rsidR="00923265" w:rsidRPr="00D851BA" w:rsidRDefault="00923265" w:rsidP="0092326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Islandijoje v</w:t>
            </w:r>
            <w:r w:rsidRPr="00C03E01">
              <w:rPr>
                <w:rFonts w:ascii="Times New Roman" w:eastAsia="Times New Roman" w:hAnsi="Times New Roman" w:cs="Times New Roman"/>
                <w:sz w:val="24"/>
                <w:szCs w:val="24"/>
                <w:lang w:val="lt-LT"/>
              </w:rPr>
              <w:t xml:space="preserve">asarį užfiksuotas </w:t>
            </w:r>
            <w:r w:rsidRPr="001B4F0D">
              <w:rPr>
                <w:rFonts w:ascii="Times New Roman" w:eastAsia="Times New Roman" w:hAnsi="Times New Roman" w:cs="Times New Roman"/>
                <w:sz w:val="24"/>
                <w:szCs w:val="24"/>
                <w:lang w:val="lt-LT"/>
              </w:rPr>
              <w:t>9,</w:t>
            </w:r>
            <w:r>
              <w:rPr>
                <w:rFonts w:ascii="Times New Roman" w:eastAsia="Times New Roman" w:hAnsi="Times New Roman" w:cs="Times New Roman"/>
                <w:sz w:val="24"/>
                <w:szCs w:val="24"/>
                <w:lang w:val="lt-LT"/>
              </w:rPr>
              <w:t>6</w:t>
            </w:r>
            <w:r w:rsidRPr="001B4F0D">
              <w:rPr>
                <w:rFonts w:ascii="Times New Roman" w:eastAsia="Times New Roman" w:hAnsi="Times New Roman" w:cs="Times New Roman"/>
                <w:sz w:val="24"/>
                <w:szCs w:val="24"/>
                <w:lang w:val="lt-LT"/>
              </w:rPr>
              <w:t xml:space="preserve"> mlrd. ISK (68 mln. EUR)</w:t>
            </w:r>
            <w:r w:rsidRPr="00C03E01">
              <w:rPr>
                <w:rFonts w:ascii="Times New Roman" w:eastAsia="Times New Roman" w:hAnsi="Times New Roman" w:cs="Times New Roman"/>
                <w:sz w:val="24"/>
                <w:szCs w:val="24"/>
                <w:lang w:val="lt-LT"/>
              </w:rPr>
              <w:t xml:space="preserve"> prekybos deficitas. Nors tai vis dar deficitas, jis yra gerokai mažesnis nei 2025 m. vasarį, kai siekė beveik 60 mlrd. ISK. Tai lėmė sumažėjęs investicinių prekių importas ir stiprėjantis Islandijos kronos kursas.</w:t>
            </w:r>
          </w:p>
        </w:tc>
        <w:tc>
          <w:tcPr>
            <w:tcW w:w="3118" w:type="dxa"/>
            <w:shd w:val="clear" w:color="auto" w:fill="CCCCCC"/>
            <w:tcMar>
              <w:top w:w="100" w:type="dxa"/>
              <w:left w:w="100" w:type="dxa"/>
              <w:bottom w:w="100" w:type="dxa"/>
              <w:right w:w="100" w:type="dxa"/>
            </w:tcMar>
          </w:tcPr>
          <w:p w14:paraId="66C10682" w14:textId="77777777" w:rsidR="00923265" w:rsidRDefault="00923265" w:rsidP="00923265">
            <w:pPr>
              <w:widowControl w:val="0"/>
              <w:spacing w:line="240" w:lineRule="auto"/>
              <w:rPr>
                <w:rFonts w:ascii="Times New Roman" w:eastAsia="Times New Roman" w:hAnsi="Times New Roman" w:cs="Times New Roman"/>
                <w:sz w:val="24"/>
                <w:szCs w:val="24"/>
                <w:lang w:val="lt-LT"/>
              </w:rPr>
            </w:pPr>
            <w:hyperlink r:id="rId21" w:history="1">
              <w:r w:rsidRPr="00B61750">
                <w:rPr>
                  <w:rStyle w:val="Hyperlink"/>
                  <w:rFonts w:ascii="Times New Roman" w:eastAsia="Times New Roman" w:hAnsi="Times New Roman" w:cs="Times New Roman"/>
                  <w:sz w:val="24"/>
                  <w:szCs w:val="24"/>
                  <w:lang w:val="lt-LT"/>
                </w:rPr>
                <w:t>https://hagstofa.is/utgafur/frettasafn/utanrikisverslun/voruvidskipti-i-februar-2026/</w:t>
              </w:r>
            </w:hyperlink>
          </w:p>
          <w:p w14:paraId="1C6A3C0B" w14:textId="2EEC051F" w:rsidR="00923265" w:rsidRPr="008A7A22" w:rsidRDefault="00923265" w:rsidP="00923265">
            <w:pPr>
              <w:widowControl w:val="0"/>
              <w:spacing w:line="240" w:lineRule="auto"/>
              <w:rPr>
                <w:rFonts w:ascii="Times New Roman" w:eastAsia="Times New Roman" w:hAnsi="Times New Roman" w:cs="Times New Roman"/>
                <w:sz w:val="24"/>
                <w:szCs w:val="24"/>
                <w:lang w:val="lt-LT"/>
              </w:rPr>
            </w:pPr>
          </w:p>
        </w:tc>
        <w:tc>
          <w:tcPr>
            <w:tcW w:w="1418" w:type="dxa"/>
            <w:shd w:val="clear" w:color="auto" w:fill="CCCCCC"/>
            <w:tcMar>
              <w:top w:w="100" w:type="dxa"/>
              <w:left w:w="100" w:type="dxa"/>
              <w:bottom w:w="100" w:type="dxa"/>
              <w:right w:w="100" w:type="dxa"/>
            </w:tcMar>
          </w:tcPr>
          <w:p w14:paraId="1C6A3C0C" w14:textId="77777777" w:rsidR="00923265" w:rsidRPr="008A7A22" w:rsidRDefault="00923265" w:rsidP="00923265">
            <w:pPr>
              <w:widowControl w:val="0"/>
              <w:spacing w:line="240" w:lineRule="auto"/>
              <w:rPr>
                <w:rFonts w:ascii="Times New Roman" w:eastAsia="Times New Roman" w:hAnsi="Times New Roman" w:cs="Times New Roman"/>
                <w:sz w:val="24"/>
                <w:szCs w:val="24"/>
                <w:lang w:val="lt-LT"/>
              </w:rPr>
            </w:pPr>
          </w:p>
        </w:tc>
      </w:tr>
      <w:tr w:rsidR="00923265" w:rsidRPr="00184C64" w14:paraId="0BB4A40F" w14:textId="77777777" w:rsidTr="00670062">
        <w:tc>
          <w:tcPr>
            <w:tcW w:w="1680" w:type="dxa"/>
            <w:shd w:val="clear" w:color="auto" w:fill="CCCCCC"/>
            <w:tcMar>
              <w:top w:w="100" w:type="dxa"/>
              <w:left w:w="100" w:type="dxa"/>
              <w:bottom w:w="100" w:type="dxa"/>
              <w:right w:w="100" w:type="dxa"/>
            </w:tcMar>
          </w:tcPr>
          <w:p w14:paraId="7495EE7E" w14:textId="49F31A39" w:rsidR="00923265" w:rsidRDefault="00B6401A" w:rsidP="0092326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2026-03-</w:t>
            </w:r>
            <w:r w:rsidR="00184C64">
              <w:rPr>
                <w:rFonts w:ascii="Times New Roman" w:eastAsia="Times New Roman" w:hAnsi="Times New Roman" w:cs="Times New Roman"/>
                <w:sz w:val="24"/>
                <w:szCs w:val="24"/>
                <w:lang w:val="lt-LT"/>
              </w:rPr>
              <w:t>31</w:t>
            </w:r>
          </w:p>
        </w:tc>
        <w:tc>
          <w:tcPr>
            <w:tcW w:w="9130" w:type="dxa"/>
            <w:shd w:val="clear" w:color="auto" w:fill="CCCCCC"/>
            <w:tcMar>
              <w:top w:w="100" w:type="dxa"/>
              <w:left w:w="100" w:type="dxa"/>
              <w:bottom w:w="100" w:type="dxa"/>
              <w:right w:w="100" w:type="dxa"/>
            </w:tcMar>
          </w:tcPr>
          <w:p w14:paraId="4CFC1C0B" w14:textId="239D7201" w:rsidR="00E50A04" w:rsidRPr="00E50A04" w:rsidRDefault="00E50A04" w:rsidP="00E50A04">
            <w:pPr>
              <w:spacing w:line="240" w:lineRule="auto"/>
              <w:rPr>
                <w:rFonts w:ascii="Times New Roman" w:eastAsia="Times New Roman" w:hAnsi="Times New Roman" w:cs="Times New Roman"/>
                <w:sz w:val="24"/>
                <w:szCs w:val="24"/>
                <w:lang w:val="lt-LT"/>
              </w:rPr>
            </w:pPr>
            <w:r w:rsidRPr="00E50A04">
              <w:rPr>
                <w:rFonts w:ascii="Times New Roman" w:eastAsia="Times New Roman" w:hAnsi="Times New Roman" w:cs="Times New Roman"/>
                <w:sz w:val="24"/>
                <w:szCs w:val="24"/>
                <w:lang w:val="lt-LT"/>
              </w:rPr>
              <w:t xml:space="preserve">Visą </w:t>
            </w:r>
            <w:r w:rsidR="00184C64">
              <w:rPr>
                <w:rFonts w:ascii="Times New Roman" w:eastAsia="Times New Roman" w:hAnsi="Times New Roman" w:cs="Times New Roman"/>
                <w:sz w:val="24"/>
                <w:szCs w:val="24"/>
                <w:lang w:val="lt-LT"/>
              </w:rPr>
              <w:t>kovo</w:t>
            </w:r>
            <w:r w:rsidRPr="00E50A04">
              <w:rPr>
                <w:rFonts w:ascii="Times New Roman" w:eastAsia="Times New Roman" w:hAnsi="Times New Roman" w:cs="Times New Roman"/>
                <w:sz w:val="24"/>
                <w:szCs w:val="24"/>
                <w:lang w:val="lt-LT"/>
              </w:rPr>
              <w:t xml:space="preserve"> mėnesį po Svartsengi vietove vyko „lėtas, bet stabilus“ magmos kaupimasis.</w:t>
            </w:r>
          </w:p>
          <w:p w14:paraId="0D397ECC" w14:textId="1E6F1E1E" w:rsidR="00E50A04" w:rsidRDefault="00E50A04" w:rsidP="00E50A04">
            <w:pPr>
              <w:spacing w:line="240" w:lineRule="auto"/>
              <w:rPr>
                <w:rFonts w:ascii="Times New Roman" w:eastAsia="Times New Roman" w:hAnsi="Times New Roman" w:cs="Times New Roman"/>
                <w:sz w:val="24"/>
                <w:szCs w:val="24"/>
                <w:lang w:val="lt-LT"/>
              </w:rPr>
            </w:pPr>
            <w:r w:rsidRPr="00E50A04">
              <w:rPr>
                <w:rFonts w:ascii="Times New Roman" w:eastAsia="Times New Roman" w:hAnsi="Times New Roman" w:cs="Times New Roman"/>
                <w:sz w:val="24"/>
                <w:szCs w:val="24"/>
                <w:lang w:val="lt-LT"/>
              </w:rPr>
              <w:t>Vasario viduryje (vasario 17–18 d. duomenimis) sukauptas magmos kiekis pasiekė 22 mln. kubinių metrų.</w:t>
            </w:r>
            <w:r>
              <w:rPr>
                <w:rFonts w:ascii="Times New Roman" w:eastAsia="Times New Roman" w:hAnsi="Times New Roman" w:cs="Times New Roman"/>
                <w:sz w:val="24"/>
                <w:szCs w:val="24"/>
                <w:lang w:val="lt-LT"/>
              </w:rPr>
              <w:t xml:space="preserve"> </w:t>
            </w:r>
            <w:r w:rsidRPr="00E50A04">
              <w:rPr>
                <w:rFonts w:ascii="Times New Roman" w:eastAsia="Times New Roman" w:hAnsi="Times New Roman" w:cs="Times New Roman"/>
                <w:sz w:val="24"/>
                <w:szCs w:val="24"/>
                <w:lang w:val="lt-LT"/>
              </w:rPr>
              <w:t>Tai buvo vienas didžiausių užfiksuotų magmos kiekių tarp išsiveržimų nuo pat šios aktyvumo sekos pradžios 2023 m. gruodį. Tik vieną kartą anksčiau (prieš tai buvusio ciklo metu) šis kiekis buvo nežymiai didesnis (22,6 mln. m³)</w:t>
            </w:r>
            <w:r w:rsidR="00071426">
              <w:rPr>
                <w:rFonts w:ascii="Times New Roman" w:eastAsia="Times New Roman" w:hAnsi="Times New Roman" w:cs="Times New Roman"/>
                <w:sz w:val="24"/>
                <w:szCs w:val="24"/>
                <w:lang w:val="lt-LT"/>
              </w:rPr>
              <w:t>.</w:t>
            </w:r>
          </w:p>
          <w:p w14:paraId="4E5BCA59" w14:textId="77777777" w:rsidR="00071426" w:rsidRDefault="00071426" w:rsidP="00E50A04">
            <w:pPr>
              <w:spacing w:line="240" w:lineRule="auto"/>
              <w:rPr>
                <w:rFonts w:ascii="Times New Roman" w:eastAsia="Times New Roman" w:hAnsi="Times New Roman" w:cs="Times New Roman"/>
                <w:sz w:val="24"/>
                <w:szCs w:val="24"/>
                <w:lang w:val="lt-LT"/>
              </w:rPr>
            </w:pPr>
          </w:p>
          <w:p w14:paraId="57D908EC" w14:textId="77777777" w:rsidR="00071426" w:rsidRPr="00E50A04" w:rsidRDefault="00071426" w:rsidP="00E50A04">
            <w:pPr>
              <w:spacing w:line="240" w:lineRule="auto"/>
              <w:rPr>
                <w:rFonts w:ascii="Times New Roman" w:eastAsia="Times New Roman" w:hAnsi="Times New Roman" w:cs="Times New Roman"/>
                <w:sz w:val="24"/>
                <w:szCs w:val="24"/>
                <w:lang w:val="lt-LT"/>
              </w:rPr>
            </w:pPr>
          </w:p>
          <w:p w14:paraId="36EB5E0C" w14:textId="256291E4" w:rsidR="00923265" w:rsidRPr="003F1557" w:rsidRDefault="00923265" w:rsidP="00923265">
            <w:pPr>
              <w:spacing w:line="240" w:lineRule="auto"/>
              <w:rPr>
                <w:rFonts w:ascii="Times New Roman" w:eastAsia="Times New Roman" w:hAnsi="Times New Roman" w:cs="Times New Roman"/>
                <w:sz w:val="24"/>
                <w:szCs w:val="24"/>
                <w:lang w:val="lt-LT"/>
              </w:rPr>
            </w:pPr>
          </w:p>
        </w:tc>
        <w:tc>
          <w:tcPr>
            <w:tcW w:w="3118" w:type="dxa"/>
            <w:shd w:val="clear" w:color="auto" w:fill="CCCCCC"/>
            <w:tcMar>
              <w:top w:w="100" w:type="dxa"/>
              <w:left w:w="100" w:type="dxa"/>
              <w:bottom w:w="100" w:type="dxa"/>
              <w:right w:w="100" w:type="dxa"/>
            </w:tcMar>
          </w:tcPr>
          <w:p w14:paraId="460D15F2" w14:textId="4BAB8F17" w:rsidR="00923265" w:rsidRDefault="00B6401A" w:rsidP="00923265">
            <w:pPr>
              <w:widowControl w:val="0"/>
              <w:spacing w:line="240" w:lineRule="auto"/>
              <w:rPr>
                <w:rFonts w:ascii="Times New Roman" w:eastAsia="Times New Roman" w:hAnsi="Times New Roman" w:cs="Times New Roman"/>
                <w:sz w:val="24"/>
                <w:szCs w:val="24"/>
                <w:lang w:val="lt-LT"/>
              </w:rPr>
            </w:pPr>
            <w:hyperlink r:id="rId22" w:history="1">
              <w:r w:rsidRPr="00B61750">
                <w:rPr>
                  <w:rStyle w:val="Hyperlink"/>
                  <w:rFonts w:ascii="Times New Roman" w:eastAsia="Times New Roman" w:hAnsi="Times New Roman" w:cs="Times New Roman"/>
                  <w:sz w:val="24"/>
                  <w:szCs w:val="24"/>
                  <w:lang w:val="lt-LT"/>
                </w:rPr>
                <w:t>https://en.vedur.is/about-imo/news/earthquake-in-brennisteinsfjoll-faster-subsidence-in-krysuvik-and-continued-magma-accumulation-at-svartsengi</w:t>
              </w:r>
            </w:hyperlink>
          </w:p>
          <w:p w14:paraId="7E83B903" w14:textId="1B21794A" w:rsidR="00B6401A" w:rsidRPr="00AF34EA" w:rsidRDefault="00B6401A" w:rsidP="00923265">
            <w:pPr>
              <w:widowControl w:val="0"/>
              <w:spacing w:line="240" w:lineRule="auto"/>
              <w:rPr>
                <w:rFonts w:ascii="Times New Roman" w:eastAsia="Times New Roman" w:hAnsi="Times New Roman" w:cs="Times New Roman"/>
                <w:sz w:val="24"/>
                <w:szCs w:val="24"/>
                <w:lang w:val="lt-LT"/>
              </w:rPr>
            </w:pPr>
          </w:p>
        </w:tc>
        <w:tc>
          <w:tcPr>
            <w:tcW w:w="1418" w:type="dxa"/>
            <w:shd w:val="clear" w:color="auto" w:fill="CCCCCC"/>
            <w:tcMar>
              <w:top w:w="100" w:type="dxa"/>
              <w:left w:w="100" w:type="dxa"/>
              <w:bottom w:w="100" w:type="dxa"/>
              <w:right w:w="100" w:type="dxa"/>
            </w:tcMar>
          </w:tcPr>
          <w:p w14:paraId="1E5DB34F" w14:textId="77777777" w:rsidR="00923265" w:rsidRPr="008A7A22" w:rsidRDefault="00923265" w:rsidP="00923265">
            <w:pPr>
              <w:widowControl w:val="0"/>
              <w:spacing w:line="240" w:lineRule="auto"/>
              <w:rPr>
                <w:rFonts w:ascii="Times New Roman" w:eastAsia="Times New Roman" w:hAnsi="Times New Roman" w:cs="Times New Roman"/>
                <w:sz w:val="24"/>
                <w:szCs w:val="24"/>
                <w:lang w:val="lt-LT"/>
              </w:rPr>
            </w:pPr>
          </w:p>
        </w:tc>
      </w:tr>
    </w:tbl>
    <w:p w14:paraId="1C6A3C13" w14:textId="77777777" w:rsidR="007A3147" w:rsidRPr="008A7A22" w:rsidRDefault="007A3147">
      <w:pPr>
        <w:rPr>
          <w:lang w:val="lt-LT"/>
        </w:rPr>
      </w:pPr>
    </w:p>
    <w:sectPr w:rsidR="007A3147" w:rsidRPr="008A7A22" w:rsidSect="00EF3963">
      <w:pgSz w:w="16834" w:h="11909" w:orient="landscape"/>
      <w:pgMar w:top="1440" w:right="1440" w:bottom="1440" w:left="1440" w:header="720" w:footer="720" w:gutter="0"/>
      <w:pgNumType w:start="1"/>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5EDF6BEB-1B52-44F5-BA81-D384F19E3A71}"/>
  </w:font>
  <w:font w:name="Cambria">
    <w:panose1 w:val="02040503050406030204"/>
    <w:charset w:val="BA"/>
    <w:family w:val="roman"/>
    <w:pitch w:val="variable"/>
    <w:sig w:usb0="E00006FF" w:usb1="420024FF" w:usb2="02000000" w:usb3="00000000" w:csb0="0000019F" w:csb1="00000000"/>
    <w:embedRegular r:id="rId2" w:fontKey="{4DAFB570-F1E5-41F5-AF48-7754D7FC2E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91A78"/>
    <w:multiLevelType w:val="multilevel"/>
    <w:tmpl w:val="2D64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C01F9"/>
    <w:multiLevelType w:val="multilevel"/>
    <w:tmpl w:val="ABF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D4C57"/>
    <w:multiLevelType w:val="multilevel"/>
    <w:tmpl w:val="D136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7665C7"/>
    <w:multiLevelType w:val="multilevel"/>
    <w:tmpl w:val="BD9C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5E5F02"/>
    <w:multiLevelType w:val="multilevel"/>
    <w:tmpl w:val="53CE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53477"/>
    <w:multiLevelType w:val="multilevel"/>
    <w:tmpl w:val="F6A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F8441B"/>
    <w:multiLevelType w:val="multilevel"/>
    <w:tmpl w:val="0880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44716B"/>
    <w:multiLevelType w:val="multilevel"/>
    <w:tmpl w:val="D714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1A2DAE"/>
    <w:multiLevelType w:val="multilevel"/>
    <w:tmpl w:val="4FFE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4083798">
    <w:abstractNumId w:val="1"/>
  </w:num>
  <w:num w:numId="2" w16cid:durableId="229733893">
    <w:abstractNumId w:val="4"/>
  </w:num>
  <w:num w:numId="3" w16cid:durableId="526144055">
    <w:abstractNumId w:val="7"/>
  </w:num>
  <w:num w:numId="4" w16cid:durableId="879322378">
    <w:abstractNumId w:val="3"/>
  </w:num>
  <w:num w:numId="5" w16cid:durableId="1634562293">
    <w:abstractNumId w:val="8"/>
  </w:num>
  <w:num w:numId="6" w16cid:durableId="476335967">
    <w:abstractNumId w:val="2"/>
  </w:num>
  <w:num w:numId="7" w16cid:durableId="1802992863">
    <w:abstractNumId w:val="5"/>
  </w:num>
  <w:num w:numId="8" w16cid:durableId="216862842">
    <w:abstractNumId w:val="0"/>
  </w:num>
  <w:num w:numId="9" w16cid:durableId="4418455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47"/>
    <w:rsid w:val="000000BD"/>
    <w:rsid w:val="0002473E"/>
    <w:rsid w:val="00033FCA"/>
    <w:rsid w:val="00037035"/>
    <w:rsid w:val="00042060"/>
    <w:rsid w:val="00043E80"/>
    <w:rsid w:val="00045D0A"/>
    <w:rsid w:val="00053FA1"/>
    <w:rsid w:val="00064FF8"/>
    <w:rsid w:val="00071426"/>
    <w:rsid w:val="00072891"/>
    <w:rsid w:val="00072CA7"/>
    <w:rsid w:val="000C522A"/>
    <w:rsid w:val="000D251A"/>
    <w:rsid w:val="00102770"/>
    <w:rsid w:val="00107D40"/>
    <w:rsid w:val="00136422"/>
    <w:rsid w:val="00137FFC"/>
    <w:rsid w:val="0017522E"/>
    <w:rsid w:val="00184C64"/>
    <w:rsid w:val="00185577"/>
    <w:rsid w:val="001B4F0D"/>
    <w:rsid w:val="001C2CA5"/>
    <w:rsid w:val="001C42E6"/>
    <w:rsid w:val="001D411B"/>
    <w:rsid w:val="001E0595"/>
    <w:rsid w:val="001E0FB3"/>
    <w:rsid w:val="001F2174"/>
    <w:rsid w:val="001F4195"/>
    <w:rsid w:val="001F7E48"/>
    <w:rsid w:val="00205E81"/>
    <w:rsid w:val="0022266B"/>
    <w:rsid w:val="002261FA"/>
    <w:rsid w:val="00246629"/>
    <w:rsid w:val="00246DC0"/>
    <w:rsid w:val="00257EAA"/>
    <w:rsid w:val="00261991"/>
    <w:rsid w:val="00267F68"/>
    <w:rsid w:val="002818D6"/>
    <w:rsid w:val="00292059"/>
    <w:rsid w:val="002B0284"/>
    <w:rsid w:val="002B1539"/>
    <w:rsid w:val="002C4917"/>
    <w:rsid w:val="002D21AA"/>
    <w:rsid w:val="002F5083"/>
    <w:rsid w:val="003210DA"/>
    <w:rsid w:val="00321F72"/>
    <w:rsid w:val="00327ADA"/>
    <w:rsid w:val="003408E8"/>
    <w:rsid w:val="00352D4C"/>
    <w:rsid w:val="00356424"/>
    <w:rsid w:val="00381D0E"/>
    <w:rsid w:val="00386035"/>
    <w:rsid w:val="003871C2"/>
    <w:rsid w:val="003C0C7B"/>
    <w:rsid w:val="003C341E"/>
    <w:rsid w:val="003D632F"/>
    <w:rsid w:val="003E6FE4"/>
    <w:rsid w:val="003F1557"/>
    <w:rsid w:val="00406B9C"/>
    <w:rsid w:val="0040775C"/>
    <w:rsid w:val="00416701"/>
    <w:rsid w:val="004314D8"/>
    <w:rsid w:val="00433227"/>
    <w:rsid w:val="00443453"/>
    <w:rsid w:val="00450DE9"/>
    <w:rsid w:val="004A08DB"/>
    <w:rsid w:val="004A399A"/>
    <w:rsid w:val="004B31A1"/>
    <w:rsid w:val="004C7DC7"/>
    <w:rsid w:val="00502B65"/>
    <w:rsid w:val="005112F0"/>
    <w:rsid w:val="005252EB"/>
    <w:rsid w:val="0056720D"/>
    <w:rsid w:val="0057178F"/>
    <w:rsid w:val="00573F7F"/>
    <w:rsid w:val="005810B5"/>
    <w:rsid w:val="00584F65"/>
    <w:rsid w:val="005A4000"/>
    <w:rsid w:val="005A76EA"/>
    <w:rsid w:val="005C68E4"/>
    <w:rsid w:val="005D05B5"/>
    <w:rsid w:val="00603DF2"/>
    <w:rsid w:val="00605041"/>
    <w:rsid w:val="00650BA0"/>
    <w:rsid w:val="00652403"/>
    <w:rsid w:val="006647E4"/>
    <w:rsid w:val="00670062"/>
    <w:rsid w:val="0068051C"/>
    <w:rsid w:val="0068250A"/>
    <w:rsid w:val="006878B0"/>
    <w:rsid w:val="0069320B"/>
    <w:rsid w:val="006C2C89"/>
    <w:rsid w:val="006F4E76"/>
    <w:rsid w:val="0072299E"/>
    <w:rsid w:val="007336AD"/>
    <w:rsid w:val="00753D66"/>
    <w:rsid w:val="007547DB"/>
    <w:rsid w:val="0076768B"/>
    <w:rsid w:val="0078036F"/>
    <w:rsid w:val="00791A7C"/>
    <w:rsid w:val="007A3147"/>
    <w:rsid w:val="007B04BE"/>
    <w:rsid w:val="007B1271"/>
    <w:rsid w:val="007B3E0E"/>
    <w:rsid w:val="007D7B99"/>
    <w:rsid w:val="007E7833"/>
    <w:rsid w:val="007F7B77"/>
    <w:rsid w:val="00801191"/>
    <w:rsid w:val="00822E83"/>
    <w:rsid w:val="008324B7"/>
    <w:rsid w:val="0084600B"/>
    <w:rsid w:val="0086003C"/>
    <w:rsid w:val="00866214"/>
    <w:rsid w:val="0087030E"/>
    <w:rsid w:val="00881BE5"/>
    <w:rsid w:val="008A7A22"/>
    <w:rsid w:val="008B7161"/>
    <w:rsid w:val="00907060"/>
    <w:rsid w:val="00914F9E"/>
    <w:rsid w:val="00923265"/>
    <w:rsid w:val="00933734"/>
    <w:rsid w:val="00934D49"/>
    <w:rsid w:val="009453A6"/>
    <w:rsid w:val="009657D1"/>
    <w:rsid w:val="00971E19"/>
    <w:rsid w:val="00977629"/>
    <w:rsid w:val="00985339"/>
    <w:rsid w:val="009A3517"/>
    <w:rsid w:val="009A7A0E"/>
    <w:rsid w:val="009C6B13"/>
    <w:rsid w:val="009F5F69"/>
    <w:rsid w:val="00A016D7"/>
    <w:rsid w:val="00A440CC"/>
    <w:rsid w:val="00A61077"/>
    <w:rsid w:val="00A64C99"/>
    <w:rsid w:val="00A679E6"/>
    <w:rsid w:val="00A74276"/>
    <w:rsid w:val="00A9237B"/>
    <w:rsid w:val="00AB08E0"/>
    <w:rsid w:val="00AC45A3"/>
    <w:rsid w:val="00AD711F"/>
    <w:rsid w:val="00AE293F"/>
    <w:rsid w:val="00AE7117"/>
    <w:rsid w:val="00AF26FD"/>
    <w:rsid w:val="00AF34EA"/>
    <w:rsid w:val="00B03521"/>
    <w:rsid w:val="00B06139"/>
    <w:rsid w:val="00B1109A"/>
    <w:rsid w:val="00B22DEF"/>
    <w:rsid w:val="00B2514F"/>
    <w:rsid w:val="00B341DB"/>
    <w:rsid w:val="00B36220"/>
    <w:rsid w:val="00B52FAC"/>
    <w:rsid w:val="00B53D9D"/>
    <w:rsid w:val="00B6401A"/>
    <w:rsid w:val="00BB436C"/>
    <w:rsid w:val="00BB7AD0"/>
    <w:rsid w:val="00BC57B9"/>
    <w:rsid w:val="00BD26CB"/>
    <w:rsid w:val="00BE083A"/>
    <w:rsid w:val="00BF1D86"/>
    <w:rsid w:val="00BF5136"/>
    <w:rsid w:val="00BF574C"/>
    <w:rsid w:val="00C03E01"/>
    <w:rsid w:val="00C1106C"/>
    <w:rsid w:val="00C23BBB"/>
    <w:rsid w:val="00C462DC"/>
    <w:rsid w:val="00C47BF6"/>
    <w:rsid w:val="00C73D8C"/>
    <w:rsid w:val="00C979EA"/>
    <w:rsid w:val="00CA2CF0"/>
    <w:rsid w:val="00CA7F01"/>
    <w:rsid w:val="00CB00A9"/>
    <w:rsid w:val="00CB7F6A"/>
    <w:rsid w:val="00CC0D7A"/>
    <w:rsid w:val="00CC6EC3"/>
    <w:rsid w:val="00D06E44"/>
    <w:rsid w:val="00D10C1D"/>
    <w:rsid w:val="00D22B13"/>
    <w:rsid w:val="00D37047"/>
    <w:rsid w:val="00D510D4"/>
    <w:rsid w:val="00D54280"/>
    <w:rsid w:val="00D82888"/>
    <w:rsid w:val="00D851BA"/>
    <w:rsid w:val="00D947FE"/>
    <w:rsid w:val="00DB2B02"/>
    <w:rsid w:val="00DB4337"/>
    <w:rsid w:val="00DB43DB"/>
    <w:rsid w:val="00DE0D83"/>
    <w:rsid w:val="00DE618C"/>
    <w:rsid w:val="00DE681A"/>
    <w:rsid w:val="00E1081A"/>
    <w:rsid w:val="00E12AF2"/>
    <w:rsid w:val="00E13FE7"/>
    <w:rsid w:val="00E20B10"/>
    <w:rsid w:val="00E21F83"/>
    <w:rsid w:val="00E222F9"/>
    <w:rsid w:val="00E50A04"/>
    <w:rsid w:val="00E649DB"/>
    <w:rsid w:val="00E9732A"/>
    <w:rsid w:val="00EC00ED"/>
    <w:rsid w:val="00ED1602"/>
    <w:rsid w:val="00EE5513"/>
    <w:rsid w:val="00EE6029"/>
    <w:rsid w:val="00EF3963"/>
    <w:rsid w:val="00F02D32"/>
    <w:rsid w:val="00F27A31"/>
    <w:rsid w:val="00F33697"/>
    <w:rsid w:val="00F343DD"/>
    <w:rsid w:val="00F36597"/>
    <w:rsid w:val="00F36656"/>
    <w:rsid w:val="00F75540"/>
    <w:rsid w:val="00FD054B"/>
    <w:rsid w:val="00FF2A2C"/>
    <w:rsid w:val="00FF56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A3B8A"/>
  <w15:docId w15:val="{0D6560FA-6B6A-43F9-A1ED-0E9701CD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356424"/>
    <w:rPr>
      <w:color w:val="0000FF"/>
      <w:u w:val="single"/>
    </w:rPr>
  </w:style>
  <w:style w:type="character" w:styleId="UnresolvedMention">
    <w:name w:val="Unresolved Mention"/>
    <w:basedOn w:val="DefaultParagraphFont"/>
    <w:uiPriority w:val="99"/>
    <w:semiHidden/>
    <w:unhideWhenUsed/>
    <w:rsid w:val="00E13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mn.dk/da/nyheder/2026/dialog-med-endnu-en-ukrainsk-forsvarsindustrivirksomhed-med-henblik-pa-etablering-i-danmark/" TargetMode="External"/><Relationship Id="rId13" Type="http://schemas.openxmlformats.org/officeDocument/2006/relationships/hyperlink" Target="https://www.thinkgeoenergy.com/iceland-partner-country-for-geotherm-2026-in-offenburg/" TargetMode="External"/><Relationship Id="rId18" Type="http://schemas.openxmlformats.org/officeDocument/2006/relationships/hyperlink" Target="https://jyllands-posten.dk/erhverv/ECE19088930/danfoss-i-milliardinvestering-koeber-tysk-partner-ud-af-stort-datterselskab/?fp-exp=60730012&amp;fp-alg=607300121" TargetMode="External"/><Relationship Id="rId3" Type="http://schemas.openxmlformats.org/officeDocument/2006/relationships/settings" Target="settings.xml"/><Relationship Id="rId21" Type="http://schemas.openxmlformats.org/officeDocument/2006/relationships/hyperlink" Target="https://hagstofa.is/utgafur/frettasafn/utanrikisverslun/voruvidskipti-i-februar-2026/" TargetMode="External"/><Relationship Id="rId7" Type="http://schemas.openxmlformats.org/officeDocument/2006/relationships/hyperlink" Target="https://www.berlingske.dk/business/dansk-forsvarsfirma-indgaar-aftale-i-australien-om-vaabensystemer" TargetMode="External"/><Relationship Id="rId12" Type="http://schemas.openxmlformats.org/officeDocument/2006/relationships/hyperlink" Target="https://www.dr.dk/nyheder/seneste/literprisen-paa-diesel-hos-ok-er-den-hoejeste-i-fem-aar" TargetMode="External"/><Relationship Id="rId17" Type="http://schemas.openxmlformats.org/officeDocument/2006/relationships/hyperlink" Target="https://borsen.dk/nyheder/finans/nordea-fjerner-1500-job-nu-rammer-ai-bankerne?b_source=borsen&amp;b_medium=row_0&amp;b_campaign=andrelaeser_news_list_9&amp;utm_source=nyhedsbrev&amp;utm_medium=email&amp;utm_campaign=18.03.26-morningbrief&amp;utm_placement=9&amp;utm_batch=3869ba385a3d0d9" TargetMode="External"/><Relationship Id="rId2" Type="http://schemas.openxmlformats.org/officeDocument/2006/relationships/styles" Target="styles.xml"/><Relationship Id="rId16" Type="http://schemas.openxmlformats.org/officeDocument/2006/relationships/hyperlink" Target="https://borsen.dk/nyheder/virksomheder/lego-trodser-kaos-og-blaeser-forbi-80-mia-kr?b_source=lego&amp;b_medium=row_1&amp;b_campaign=list_4&amp;utm_source=nyhedsbrev&amp;utm_medium=email&amp;utm_campaign=11.03.26-morningbrief&amp;utm_placement=5&amp;utm_batch=3869b0fdd9e9334" TargetMode="External"/><Relationship Id="rId20" Type="http://schemas.openxmlformats.org/officeDocument/2006/relationships/hyperlink" Target="https://borsen.dk/nyheder/virksomheder/oliehop-kan-koste-maersk-6-mia-kr?b_source=maersk&amp;b_medium=row_1&amp;b_campaign=list_1&amp;utm_source=nyhedsbrev&amp;utm_medium=email&amp;utm_campaign=18.03.26-morningbrief&amp;utm_placement=15&amp;utm_batch=3869ba385a3d0d9" TargetMode="External"/><Relationship Id="rId1" Type="http://schemas.openxmlformats.org/officeDocument/2006/relationships/numbering" Target="numbering.xml"/><Relationship Id="rId6" Type="http://schemas.openxmlformats.org/officeDocument/2006/relationships/hyperlink" Target="https://www.fmi.dk/globalassets/fmi/dokumenter/2026/-fmi_anskaffelsesplan-2026_v2-.pdf" TargetMode="External"/><Relationship Id="rId11" Type="http://schemas.openxmlformats.org/officeDocument/2006/relationships/hyperlink" Target="https://borsen.dk/nyheder/okonomi/6700-kr-ekstra-om-aret-sa-meget-kan-krigen-i-mellemosten-koste-pa-din-gasregning?b_source=gasregning&amp;b_medium=row_1&amp;b_campaign=list_1&amp;utm_source=nyhedsbrev&amp;utm_medium=email&amp;utm_campaign=20.03.26-morningbrief&amp;utm_placement=6&amp;utm_batch=3869bcdb59b63b1" TargetMode="External"/><Relationship Id="rId24" Type="http://schemas.openxmlformats.org/officeDocument/2006/relationships/theme" Target="theme/theme1.xml"/><Relationship Id="rId5" Type="http://schemas.openxmlformats.org/officeDocument/2006/relationships/hyperlink" Target="https://www.fmi.dk/da/nyheder/2026/anskaffelsesplan-2026/" TargetMode="External"/><Relationship Id="rId15" Type="http://schemas.openxmlformats.org/officeDocument/2006/relationships/hyperlink" Target="https://www.berlingske.dk/business/analyse-kvindelige-chefer-tjener-knap-100000-mindre-end-maend" TargetMode="External"/><Relationship Id="rId23" Type="http://schemas.openxmlformats.org/officeDocument/2006/relationships/fontTable" Target="fontTable.xml"/><Relationship Id="rId10" Type="http://schemas.openxmlformats.org/officeDocument/2006/relationships/hyperlink" Target="https://jyllands-posten.dk/erhverv/ECE19090348/vild-optur-mindre-dansk-aktie-er-steget-over-250-pct-paa-en-uge/?fp-exp=60671012&amp;fp-alg=606710121" TargetMode="External"/><Relationship Id="rId19" Type="http://schemas.openxmlformats.org/officeDocument/2006/relationships/hyperlink" Target="https://borsen.dk/nyheder/okonomi/boligpriser-stiger-fortsat-men-en-del-af-markedet-star-naesten-stille?b_source=boligpriser&amp;b_medium=row_1&amp;b_campaign=list_1&amp;utm_source=nyhedsbrev&amp;utm_medium=email&amp;utm_campaign=13.03.26-morningbrief&amp;utm_placement=16&amp;utm_batch=3869b3a0d999d33" TargetMode="External"/><Relationship Id="rId4" Type="http://schemas.openxmlformats.org/officeDocument/2006/relationships/webSettings" Target="webSettings.xml"/><Relationship Id="rId9" Type="http://schemas.openxmlformats.org/officeDocument/2006/relationships/hyperlink" Target="https://www.dr.dk/nyheder/seneste/sas-indfoerer-braendstoftillaeg-efter-prishop-paa-olie" TargetMode="External"/><Relationship Id="rId14" Type="http://schemas.openxmlformats.org/officeDocument/2006/relationships/hyperlink" Target="https://borsen.dk/nyheder/virksomheder/pandora-sagsoger-usa-og-kraever-ulovlig-told-tilbagebetalt?b_source=pandora&amp;b_medium=row_1&amp;b_campaign=list_2&amp;utm_source=nyhedsbrev&amp;utm_medium=email&amp;utm_campaign=09.03.26-morningbrief&amp;utm_placement=13&amp;utm_batch=3869ae5ad9e5bfd" TargetMode="External"/><Relationship Id="rId22" Type="http://schemas.openxmlformats.org/officeDocument/2006/relationships/hyperlink" Target="https://en.vedur.is/about-imo/news/earthquake-in-brennisteinsfjoll-faster-subsidence-in-krysuvik-and-continued-magma-accumulation-at-svartsengi"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5919</Words>
  <Characters>3374</Characters>
  <Application>Microsoft Office Word</Application>
  <DocSecurity>0</DocSecurity>
  <Lines>28</Lines>
  <Paragraphs>18</Paragraphs>
  <ScaleCrop>false</ScaleCrop>
  <Company>LR URM</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Danas VAITKEVIČIUS</dc:creator>
  <cp:lastModifiedBy>Danas VAITKEVIČIUS</cp:lastModifiedBy>
  <cp:revision>45</cp:revision>
  <dcterms:created xsi:type="dcterms:W3CDTF">2026-04-03T09:23:00Z</dcterms:created>
  <dcterms:modified xsi:type="dcterms:W3CDTF">2026-04-03T10:37:00Z</dcterms:modified>
</cp:coreProperties>
</file>