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LIETUVOS RESPUBLIKOS AMBASADA PRANCŪZIJOS RESPUBLIKOJE</w:t>
      </w:r>
    </w:p>
    <w:p w14:paraId="19E96305" w14:textId="77777777" w:rsidR="00D22BFD" w:rsidRPr="00640017" w:rsidRDefault="007B1767">
      <w:pPr>
        <w:spacing w:after="0" w:line="240" w:lineRule="auto"/>
        <w:jc w:val="center"/>
        <w:rPr>
          <w:rFonts w:ascii="Times New Roman" w:eastAsia="Times New Roman" w:hAnsi="Times New Roman"/>
        </w:rPr>
      </w:pPr>
      <w:r w:rsidRPr="00640017">
        <w:rPr>
          <w:rFonts w:ascii="Times New Roman" w:eastAsia="Times New Roman" w:hAnsi="Times New Roman"/>
        </w:rPr>
        <w:t>__________________________________________________________</w:t>
      </w:r>
    </w:p>
    <w:p w14:paraId="71B30D4B" w14:textId="77777777" w:rsidR="00D22BFD" w:rsidRPr="00640017" w:rsidRDefault="00D22BFD">
      <w:pPr>
        <w:spacing w:after="0" w:line="240" w:lineRule="auto"/>
        <w:jc w:val="center"/>
        <w:rPr>
          <w:rFonts w:ascii="Times New Roman" w:eastAsia="Times New Roman" w:hAnsi="Times New Roman"/>
        </w:rPr>
      </w:pPr>
    </w:p>
    <w:p w14:paraId="7D11F5B2"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350BACD2" w14:textId="77777777" w:rsidR="00D22BFD" w:rsidRPr="00640017" w:rsidRDefault="00D22BFD">
      <w:pPr>
        <w:spacing w:after="0" w:line="240" w:lineRule="auto"/>
        <w:jc w:val="center"/>
        <w:rPr>
          <w:rFonts w:ascii="Times New Roman" w:eastAsia="Times New Roman" w:hAnsi="Times New Roman"/>
          <w:b/>
        </w:rPr>
      </w:pPr>
    </w:p>
    <w:p w14:paraId="1BF1B135" w14:textId="77777777" w:rsidR="00D22BFD" w:rsidRPr="00640017" w:rsidRDefault="00D22BFD">
      <w:pPr>
        <w:spacing w:after="0" w:line="240" w:lineRule="auto"/>
        <w:jc w:val="center"/>
        <w:rPr>
          <w:rFonts w:ascii="Times New Roman" w:eastAsia="Times New Roman" w:hAnsi="Times New Roman"/>
          <w:b/>
        </w:rPr>
      </w:pPr>
    </w:p>
    <w:p w14:paraId="22280B95" w14:textId="513CB050" w:rsidR="00F26715" w:rsidRDefault="002421E2">
      <w:pPr>
        <w:spacing w:after="0" w:line="240" w:lineRule="auto"/>
        <w:jc w:val="center"/>
        <w:rPr>
          <w:rFonts w:ascii="Times New Roman" w:eastAsia="Times New Roman" w:hAnsi="Times New Roman"/>
        </w:rPr>
      </w:pPr>
      <w:r w:rsidRPr="00B869D6">
        <w:rPr>
          <w:rFonts w:ascii="Times New Roman" w:eastAsia="Times New Roman" w:hAnsi="Times New Roman"/>
        </w:rPr>
        <w:t>202</w:t>
      </w:r>
      <w:r w:rsidR="00280D13">
        <w:rPr>
          <w:rFonts w:ascii="Times New Roman" w:eastAsia="Times New Roman" w:hAnsi="Times New Roman"/>
        </w:rPr>
        <w:t>5</w:t>
      </w:r>
      <w:r w:rsidR="007B1767" w:rsidRPr="00B869D6">
        <w:rPr>
          <w:rFonts w:ascii="Times New Roman" w:eastAsia="Times New Roman" w:hAnsi="Times New Roman"/>
        </w:rPr>
        <w:t>-</w:t>
      </w:r>
      <w:r w:rsidR="00B22CA8">
        <w:rPr>
          <w:rFonts w:ascii="Times New Roman" w:eastAsia="Times New Roman" w:hAnsi="Times New Roman"/>
        </w:rPr>
        <w:t>11</w:t>
      </w:r>
      <w:r w:rsidR="00EF0D6A">
        <w:rPr>
          <w:rFonts w:ascii="Times New Roman" w:eastAsia="Times New Roman" w:hAnsi="Times New Roman"/>
        </w:rPr>
        <w:t>-</w:t>
      </w:r>
      <w:r w:rsidR="00B22CA8">
        <w:rPr>
          <w:rFonts w:ascii="Times New Roman" w:eastAsia="Times New Roman" w:hAnsi="Times New Roman"/>
        </w:rPr>
        <w:t>30</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467E47" w14:paraId="00B16FF5" w14:textId="77777777" w:rsidTr="00B869D6">
        <w:trPr>
          <w:gridAfter w:val="1"/>
          <w:wAfter w:w="11" w:type="dxa"/>
          <w:trHeight w:val="385"/>
        </w:trPr>
        <w:tc>
          <w:tcPr>
            <w:tcW w:w="1418" w:type="dxa"/>
            <w:tcMar>
              <w:top w:w="29" w:type="dxa"/>
              <w:left w:w="115" w:type="dxa"/>
              <w:bottom w:w="29" w:type="dxa"/>
              <w:right w:w="115" w:type="dxa"/>
            </w:tcMar>
            <w:vAlign w:val="center"/>
          </w:tcPr>
          <w:p w14:paraId="28C8225C" w14:textId="77777777" w:rsidR="00D22BFD" w:rsidRPr="00467E47" w:rsidRDefault="007B1767" w:rsidP="00467E47">
            <w:pPr>
              <w:pStyle w:val="Heading1"/>
              <w:spacing w:before="120" w:after="120" w:line="240" w:lineRule="auto"/>
              <w:rPr>
                <w:rFonts w:ascii="Times New Roman" w:hAnsi="Times New Roman" w:cs="Times New Roman"/>
                <w:color w:val="000000"/>
                <w:sz w:val="22"/>
                <w:szCs w:val="22"/>
                <w:lang w:val="lt-LT"/>
              </w:rPr>
            </w:pPr>
            <w:r w:rsidRPr="00467E47">
              <w:rPr>
                <w:rFonts w:ascii="Times New Roman" w:hAnsi="Times New Roman" w:cs="Times New Roman"/>
                <w:color w:val="000000"/>
                <w:sz w:val="22"/>
                <w:szCs w:val="22"/>
                <w:lang w:val="lt-LT"/>
              </w:rPr>
              <w:t>Data</w:t>
            </w:r>
          </w:p>
        </w:tc>
        <w:tc>
          <w:tcPr>
            <w:tcW w:w="5812" w:type="dxa"/>
            <w:tcMar>
              <w:top w:w="29" w:type="dxa"/>
              <w:left w:w="115" w:type="dxa"/>
              <w:bottom w:w="29" w:type="dxa"/>
              <w:right w:w="115" w:type="dxa"/>
            </w:tcMar>
            <w:vAlign w:val="center"/>
          </w:tcPr>
          <w:p w14:paraId="20DAE36A" w14:textId="77777777" w:rsidR="00D22BFD" w:rsidRPr="00467E47" w:rsidRDefault="007B1767" w:rsidP="00467E47">
            <w:pPr>
              <w:pStyle w:val="Heading1"/>
              <w:spacing w:before="120" w:after="120" w:line="240" w:lineRule="auto"/>
              <w:rPr>
                <w:rFonts w:ascii="Times New Roman" w:hAnsi="Times New Roman" w:cs="Times New Roman"/>
                <w:color w:val="000000"/>
                <w:sz w:val="22"/>
                <w:szCs w:val="22"/>
                <w:lang w:val="lt-LT"/>
              </w:rPr>
            </w:pPr>
            <w:r w:rsidRPr="00467E47">
              <w:rPr>
                <w:rFonts w:ascii="Times New Roman" w:hAnsi="Times New Roman" w:cs="Times New Roman"/>
                <w:color w:val="000000"/>
                <w:sz w:val="22"/>
                <w:szCs w:val="22"/>
                <w:lang w:val="lt-LT"/>
              </w:rPr>
              <w:t>Pateikiamos informacijos apibendrinimas</w:t>
            </w:r>
          </w:p>
        </w:tc>
        <w:tc>
          <w:tcPr>
            <w:tcW w:w="2268" w:type="dxa"/>
            <w:tcMar>
              <w:top w:w="29" w:type="dxa"/>
              <w:left w:w="115" w:type="dxa"/>
              <w:bottom w:w="29" w:type="dxa"/>
              <w:right w:w="115" w:type="dxa"/>
            </w:tcMar>
            <w:vAlign w:val="center"/>
          </w:tcPr>
          <w:p w14:paraId="085311A2" w14:textId="77777777" w:rsidR="00D22BFD" w:rsidRPr="00467E47" w:rsidRDefault="007B1767" w:rsidP="00467E47">
            <w:pPr>
              <w:pStyle w:val="Heading1"/>
              <w:spacing w:before="120" w:after="120" w:line="240" w:lineRule="auto"/>
              <w:rPr>
                <w:rFonts w:ascii="Times New Roman" w:hAnsi="Times New Roman" w:cs="Times New Roman"/>
                <w:color w:val="000000"/>
                <w:sz w:val="22"/>
                <w:szCs w:val="22"/>
                <w:lang w:val="lt-LT"/>
              </w:rPr>
            </w:pPr>
            <w:r w:rsidRPr="00467E47">
              <w:rPr>
                <w:rFonts w:ascii="Times New Roman" w:hAnsi="Times New Roman" w:cs="Times New Roman"/>
                <w:color w:val="000000"/>
                <w:sz w:val="22"/>
                <w:szCs w:val="22"/>
                <w:lang w:val="lt-LT"/>
              </w:rPr>
              <w:t>Informacijos šaltinis</w:t>
            </w:r>
          </w:p>
        </w:tc>
        <w:tc>
          <w:tcPr>
            <w:tcW w:w="1436" w:type="dxa"/>
            <w:tcMar>
              <w:top w:w="29" w:type="dxa"/>
              <w:left w:w="115" w:type="dxa"/>
              <w:bottom w:w="29" w:type="dxa"/>
              <w:right w:w="115" w:type="dxa"/>
            </w:tcMar>
            <w:vAlign w:val="center"/>
          </w:tcPr>
          <w:p w14:paraId="75D82933" w14:textId="77777777" w:rsidR="00D22BFD" w:rsidRPr="00467E47" w:rsidRDefault="007B1767" w:rsidP="00467E47">
            <w:pPr>
              <w:pStyle w:val="Heading1"/>
              <w:spacing w:before="120" w:after="120" w:line="240" w:lineRule="auto"/>
              <w:rPr>
                <w:rFonts w:ascii="Times New Roman" w:hAnsi="Times New Roman" w:cs="Times New Roman"/>
                <w:color w:val="000000"/>
                <w:sz w:val="22"/>
                <w:szCs w:val="22"/>
                <w:lang w:val="lt-LT"/>
              </w:rPr>
            </w:pPr>
            <w:r w:rsidRPr="00467E47">
              <w:rPr>
                <w:rFonts w:ascii="Times New Roman" w:hAnsi="Times New Roman" w:cs="Times New Roman"/>
                <w:color w:val="000000"/>
                <w:sz w:val="22"/>
                <w:szCs w:val="22"/>
                <w:lang w:val="lt-LT"/>
              </w:rPr>
              <w:t>Pastabos</w:t>
            </w:r>
          </w:p>
        </w:tc>
      </w:tr>
      <w:tr w:rsidR="00D22BFD" w:rsidRPr="00467E47" w14:paraId="2ED2552F" w14:textId="77777777" w:rsidTr="00090377">
        <w:trPr>
          <w:trHeight w:val="216"/>
        </w:trPr>
        <w:tc>
          <w:tcPr>
            <w:tcW w:w="10945" w:type="dxa"/>
            <w:gridSpan w:val="5"/>
            <w:tcMar>
              <w:top w:w="29" w:type="dxa"/>
              <w:left w:w="115" w:type="dxa"/>
              <w:bottom w:w="29" w:type="dxa"/>
              <w:right w:w="115" w:type="dxa"/>
            </w:tcMar>
          </w:tcPr>
          <w:p w14:paraId="3220C92B" w14:textId="77777777" w:rsidR="00D22BFD" w:rsidRPr="00467E47" w:rsidRDefault="007B1767" w:rsidP="00467E47">
            <w:pPr>
              <w:spacing w:before="120" w:after="120" w:line="240" w:lineRule="auto"/>
              <w:rPr>
                <w:rFonts w:ascii="Times New Roman" w:eastAsia="Times New Roman" w:hAnsi="Times New Roman"/>
                <w:b/>
              </w:rPr>
            </w:pPr>
            <w:r w:rsidRPr="00467E47">
              <w:rPr>
                <w:rFonts w:ascii="Times New Roman" w:eastAsia="Times New Roman" w:hAnsi="Times New Roman"/>
                <w:b/>
              </w:rPr>
              <w:t>Lietuvos eksportuotojams aktuali informacija</w:t>
            </w:r>
          </w:p>
        </w:tc>
      </w:tr>
      <w:tr w:rsidR="00AF1E0C" w:rsidRPr="00467E47" w14:paraId="4DDF50C9" w14:textId="77777777" w:rsidTr="00B869D6">
        <w:trPr>
          <w:gridAfter w:val="1"/>
          <w:wAfter w:w="11" w:type="dxa"/>
          <w:trHeight w:val="326"/>
        </w:trPr>
        <w:tc>
          <w:tcPr>
            <w:tcW w:w="1418" w:type="dxa"/>
            <w:tcMar>
              <w:top w:w="29" w:type="dxa"/>
              <w:left w:w="115" w:type="dxa"/>
              <w:bottom w:w="29" w:type="dxa"/>
              <w:right w:w="115" w:type="dxa"/>
            </w:tcMar>
          </w:tcPr>
          <w:p w14:paraId="49528E46" w14:textId="218E46A6" w:rsidR="00AF1E0C" w:rsidRPr="00467E47" w:rsidRDefault="00AF1E0C"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rPr>
              <w:t xml:space="preserve">2025 </w:t>
            </w:r>
            <w:r w:rsidRPr="00467E47">
              <w:rPr>
                <w:rFonts w:ascii="Times New Roman" w:eastAsia="Times New Roman" w:hAnsi="Times New Roman"/>
                <w:lang w:val="en-US"/>
              </w:rPr>
              <w:t>11 17</w:t>
            </w:r>
          </w:p>
        </w:tc>
        <w:tc>
          <w:tcPr>
            <w:tcW w:w="5812" w:type="dxa"/>
            <w:tcMar>
              <w:top w:w="29" w:type="dxa"/>
              <w:left w:w="115" w:type="dxa"/>
              <w:bottom w:w="29" w:type="dxa"/>
              <w:right w:w="115" w:type="dxa"/>
            </w:tcMar>
          </w:tcPr>
          <w:p w14:paraId="7F28F73B" w14:textId="2BAF3D2B" w:rsidR="00AF1E0C" w:rsidRPr="00467E47" w:rsidRDefault="00AF1E0C" w:rsidP="00467E47">
            <w:pPr>
              <w:spacing w:before="120" w:after="120" w:line="240" w:lineRule="auto"/>
              <w:rPr>
                <w:rFonts w:ascii="Times New Roman" w:hAnsi="Times New Roman"/>
              </w:rPr>
            </w:pPr>
            <w:r w:rsidRPr="00467E47">
              <w:rPr>
                <w:rFonts w:ascii="Times New Roman" w:eastAsia="Times New Roman" w:hAnsi="Times New Roman"/>
              </w:rPr>
              <w:t>Paryžiaus ekonominių bylų teismas penktadienį patvirtino du dalinio „</w:t>
            </w:r>
            <w:proofErr w:type="spellStart"/>
            <w:r w:rsidRPr="00467E47">
              <w:rPr>
                <w:rFonts w:ascii="Times New Roman" w:eastAsia="Times New Roman" w:hAnsi="Times New Roman"/>
              </w:rPr>
              <w:t>Claire’s</w:t>
            </w:r>
            <w:proofErr w:type="spellEnd"/>
            <w:r w:rsidRPr="00467E47">
              <w:rPr>
                <w:rFonts w:ascii="Times New Roman" w:eastAsia="Times New Roman" w:hAnsi="Times New Roman"/>
              </w:rPr>
              <w:t>“ prekės ženklo perėmimo Prancūzijoje pasiūlymus, pirmadienį, lapkričio 17 d., pranešė darbuotojų atstovų teisininkai. Amerikiečių prekės ženklas „</w:t>
            </w:r>
            <w:proofErr w:type="spellStart"/>
            <w:r w:rsidRPr="00467E47">
              <w:rPr>
                <w:rFonts w:ascii="Times New Roman" w:eastAsia="Times New Roman" w:hAnsi="Times New Roman"/>
              </w:rPr>
              <w:t>Claire’s</w:t>
            </w:r>
            <w:proofErr w:type="spellEnd"/>
            <w:r w:rsidRPr="00467E47">
              <w:rPr>
                <w:rFonts w:ascii="Times New Roman" w:eastAsia="Times New Roman" w:hAnsi="Times New Roman"/>
              </w:rPr>
              <w:t>“, žinomas dėl auskarų, auskarų vėrimo paslaugų ir paaugliams skirtų aksesuarų, liepos pabaigoje Prancūzijoje buvo paskelbtas restruktūrizuojamas. Maždaug 450 iš 830 darbuotojų bus perimti dviejų bendrovių: didžioji dauguma pereis pas bižuterijos pardavėją „June“, kuri dešimčiai metų gavo „</w:t>
            </w:r>
            <w:proofErr w:type="spellStart"/>
            <w:r w:rsidRPr="00467E47">
              <w:rPr>
                <w:rFonts w:ascii="Times New Roman" w:eastAsia="Times New Roman" w:hAnsi="Times New Roman"/>
              </w:rPr>
              <w:t>Claire’s</w:t>
            </w:r>
            <w:proofErr w:type="spellEnd"/>
            <w:r w:rsidRPr="00467E47">
              <w:rPr>
                <w:rFonts w:ascii="Times New Roman" w:eastAsia="Times New Roman" w:hAnsi="Times New Roman"/>
              </w:rPr>
              <w:t xml:space="preserve">“ prekės ženklo naudojimo teisę. Dar apie trisdešimt darbuotojų pereis pas ispanų telefonų dėklų pardavėją „La </w:t>
            </w:r>
            <w:proofErr w:type="spellStart"/>
            <w:r w:rsidRPr="00467E47">
              <w:rPr>
                <w:rFonts w:ascii="Times New Roman" w:eastAsia="Times New Roman" w:hAnsi="Times New Roman"/>
              </w:rPr>
              <w:t>Casa</w:t>
            </w:r>
            <w:proofErr w:type="spellEnd"/>
            <w:r w:rsidRPr="00467E47">
              <w:rPr>
                <w:rFonts w:ascii="Times New Roman" w:eastAsia="Times New Roman" w:hAnsi="Times New Roman"/>
              </w:rPr>
              <w:t xml:space="preserve"> de </w:t>
            </w:r>
            <w:proofErr w:type="spellStart"/>
            <w:r w:rsidRPr="00467E47">
              <w:rPr>
                <w:rFonts w:ascii="Times New Roman" w:eastAsia="Times New Roman" w:hAnsi="Times New Roman"/>
              </w:rPr>
              <w:t>las</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Carcasas</w:t>
            </w:r>
            <w:proofErr w:type="spellEnd"/>
            <w:r w:rsidRPr="00467E47">
              <w:rPr>
                <w:rFonts w:ascii="Times New Roman" w:eastAsia="Times New Roman" w:hAnsi="Times New Roman"/>
              </w:rPr>
              <w:t>“, nurodo teisininkai.</w:t>
            </w:r>
          </w:p>
        </w:tc>
        <w:tc>
          <w:tcPr>
            <w:tcW w:w="2268" w:type="dxa"/>
            <w:tcMar>
              <w:top w:w="29" w:type="dxa"/>
              <w:left w:w="115" w:type="dxa"/>
              <w:bottom w:w="29" w:type="dxa"/>
              <w:right w:w="115" w:type="dxa"/>
            </w:tcMar>
          </w:tcPr>
          <w:p w14:paraId="61A19089" w14:textId="3217FD5E" w:rsidR="00AF1E0C" w:rsidRPr="00467E47" w:rsidRDefault="00AF1E0C" w:rsidP="00467E47">
            <w:pPr>
              <w:spacing w:before="120" w:after="120" w:line="240" w:lineRule="auto"/>
              <w:rPr>
                <w:rFonts w:ascii="Times New Roman" w:hAnsi="Times New Roman"/>
              </w:rPr>
            </w:pPr>
            <w:hyperlink r:id="rId9" w:history="1">
              <w:proofErr w:type="spellStart"/>
              <w:r w:rsidRPr="00467E47">
                <w:rPr>
                  <w:rStyle w:val="Hyperlink"/>
                  <w:rFonts w:ascii="Times New Roman" w:eastAsia="Times New Roman" w:hAnsi="Times New Roman"/>
                </w:rPr>
                <w:t>Claire’s</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deux</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offres</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t>reprise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validées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par</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la</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justice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la</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moitié</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des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salariés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conservée</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0E32CC96" w14:textId="6B329CD7" w:rsidR="00AF1E0C" w:rsidRPr="00467E47" w:rsidRDefault="00AF1E0C" w:rsidP="00467E47">
            <w:pPr>
              <w:spacing w:before="120" w:after="120" w:line="240" w:lineRule="auto"/>
              <w:rPr>
                <w:rFonts w:ascii="Times New Roman" w:hAnsi="Times New Roman"/>
              </w:rPr>
            </w:pPr>
            <w:r w:rsidRPr="00467E47">
              <w:rPr>
                <w:rFonts w:ascii="Times New Roman" w:hAnsi="Times New Roman"/>
              </w:rPr>
              <w:t>Mažmeninės prekybos tinklo „</w:t>
            </w:r>
            <w:proofErr w:type="spellStart"/>
            <w:r w:rsidRPr="00467E47">
              <w:rPr>
                <w:rFonts w:ascii="Times New Roman" w:hAnsi="Times New Roman"/>
              </w:rPr>
              <w:t>Claire’s</w:t>
            </w:r>
            <w:proofErr w:type="spellEnd"/>
            <w:r w:rsidRPr="00467E47">
              <w:rPr>
                <w:rFonts w:ascii="Times New Roman" w:hAnsi="Times New Roman"/>
              </w:rPr>
              <w:t>“ restruktūrizacija Prancūzijoje</w:t>
            </w:r>
          </w:p>
        </w:tc>
      </w:tr>
      <w:tr w:rsidR="00052689" w:rsidRPr="00467E47" w14:paraId="49A71CE2" w14:textId="77777777" w:rsidTr="00B869D6">
        <w:trPr>
          <w:gridAfter w:val="1"/>
          <w:wAfter w:w="11" w:type="dxa"/>
          <w:trHeight w:val="326"/>
        </w:trPr>
        <w:tc>
          <w:tcPr>
            <w:tcW w:w="1418" w:type="dxa"/>
            <w:tcMar>
              <w:top w:w="29" w:type="dxa"/>
              <w:left w:w="115" w:type="dxa"/>
              <w:bottom w:w="29" w:type="dxa"/>
              <w:right w:w="115" w:type="dxa"/>
            </w:tcMar>
          </w:tcPr>
          <w:p w14:paraId="100980D7" w14:textId="0B354C67" w:rsidR="00052689" w:rsidRPr="00467E47" w:rsidRDefault="00052689"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2025 11 19</w:t>
            </w:r>
          </w:p>
        </w:tc>
        <w:tc>
          <w:tcPr>
            <w:tcW w:w="5812" w:type="dxa"/>
            <w:tcMar>
              <w:top w:w="29" w:type="dxa"/>
              <w:left w:w="115" w:type="dxa"/>
              <w:bottom w:w="29" w:type="dxa"/>
              <w:right w:w="115" w:type="dxa"/>
            </w:tcMar>
          </w:tcPr>
          <w:p w14:paraId="7FC6C35D" w14:textId="1D6504E8" w:rsidR="00052689" w:rsidRPr="00467E47" w:rsidRDefault="00052689" w:rsidP="00467E47">
            <w:pPr>
              <w:spacing w:before="120" w:after="120" w:line="240" w:lineRule="auto"/>
              <w:rPr>
                <w:rFonts w:ascii="Times New Roman" w:eastAsia="Times New Roman" w:hAnsi="Times New Roman"/>
              </w:rPr>
            </w:pPr>
            <w:r w:rsidRPr="00467E47">
              <w:rPr>
                <w:rFonts w:ascii="Times New Roman" w:eastAsia="Times New Roman" w:hAnsi="Times New Roman"/>
              </w:rPr>
              <w:t>Gyvulių ligų protrūkiai Prancūzijoje (paukščių gripas ir kt.) smarkiai kenkia žemės ūkiui ir mažina eksportą. Dėl ligų dažnai naikinami ištisi gyvulių ūkiai, todėl ūkininkai patiria didelius nuostolius, o šalis priversta daugiau importuoti mėsos.</w:t>
            </w:r>
          </w:p>
          <w:p w14:paraId="57A07A27" w14:textId="4D5B812B" w:rsidR="00052689" w:rsidRPr="00467E47" w:rsidRDefault="00052689"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Daugelis valstybių vis dar riboja prancūziškos maisto produkcijos importą: Japonija uždraudė </w:t>
            </w:r>
            <w:proofErr w:type="spellStart"/>
            <w:r w:rsidRPr="00467E47">
              <w:rPr>
                <w:rFonts w:ascii="Times New Roman" w:eastAsia="Times New Roman" w:hAnsi="Times New Roman"/>
                <w:i/>
                <w:iCs/>
              </w:rPr>
              <w:t>foie</w:t>
            </w:r>
            <w:proofErr w:type="spellEnd"/>
            <w:r w:rsidRPr="00467E47">
              <w:rPr>
                <w:rFonts w:ascii="Times New Roman" w:eastAsia="Times New Roman" w:hAnsi="Times New Roman"/>
                <w:i/>
                <w:iCs/>
              </w:rPr>
              <w:t xml:space="preserve"> </w:t>
            </w:r>
            <w:proofErr w:type="spellStart"/>
            <w:r w:rsidRPr="00467E47">
              <w:rPr>
                <w:rFonts w:ascii="Times New Roman" w:eastAsia="Times New Roman" w:hAnsi="Times New Roman"/>
                <w:i/>
                <w:iCs/>
              </w:rPr>
              <w:t>gras</w:t>
            </w:r>
            <w:proofErr w:type="spellEnd"/>
            <w:r w:rsidRPr="00467E47">
              <w:rPr>
                <w:rFonts w:ascii="Times New Roman" w:eastAsia="Times New Roman" w:hAnsi="Times New Roman"/>
              </w:rPr>
              <w:t>, o Kanada ir Jungtinė Karalystė – sūrius iš nepasterizuoto pieno. Gamintojai prašo valdžios pagalbos ir gelbėjimo plano, kad šie tradiciniai sektoriai neišnyktų.</w:t>
            </w:r>
          </w:p>
        </w:tc>
        <w:tc>
          <w:tcPr>
            <w:tcW w:w="2268" w:type="dxa"/>
            <w:tcMar>
              <w:top w:w="29" w:type="dxa"/>
              <w:left w:w="115" w:type="dxa"/>
              <w:bottom w:w="29" w:type="dxa"/>
              <w:right w:w="115" w:type="dxa"/>
            </w:tcMar>
          </w:tcPr>
          <w:p w14:paraId="427B1BA6" w14:textId="23BD4E5D" w:rsidR="00052689" w:rsidRPr="00467E47" w:rsidRDefault="00052689" w:rsidP="00467E47">
            <w:pPr>
              <w:spacing w:before="120" w:after="120" w:line="240" w:lineRule="auto"/>
              <w:rPr>
                <w:rFonts w:ascii="Times New Roman" w:hAnsi="Times New Roman"/>
              </w:rPr>
            </w:pPr>
            <w:hyperlink r:id="rId10" w:history="1">
              <w:proofErr w:type="spellStart"/>
              <w:r w:rsidRPr="00467E47">
                <w:rPr>
                  <w:rFonts w:ascii="Times New Roman" w:hAnsi="Times New Roman"/>
                  <w:color w:val="0000FF"/>
                  <w:u w:val="single"/>
                </w:rPr>
                <w:t>Fromages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foie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gras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ces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crises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sanitaires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qui</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ont</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joué</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un</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mauvais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tour</w:t>
              </w:r>
              <w:proofErr w:type="spellEnd"/>
              <w:r w:rsidRPr="00467E47">
                <w:rPr>
                  <w:rFonts w:ascii="Times New Roman" w:hAnsi="Times New Roman"/>
                  <w:color w:val="0000FF"/>
                  <w:u w:val="single"/>
                </w:rPr>
                <w:t xml:space="preserve"> à </w:t>
              </w:r>
              <w:proofErr w:type="spellStart"/>
              <w:r w:rsidRPr="00467E47">
                <w:rPr>
                  <w:rFonts w:ascii="Times New Roman" w:hAnsi="Times New Roman"/>
                  <w:color w:val="0000FF"/>
                  <w:u w:val="single"/>
                </w:rPr>
                <w:t>la</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balance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commerciale</w:t>
              </w:r>
              <w:proofErr w:type="spellEnd"/>
              <w:r w:rsidRPr="00467E47">
                <w:rPr>
                  <w:rFonts w:ascii="Times New Roman" w:hAnsi="Times New Roman"/>
                  <w:color w:val="0000FF"/>
                  <w:u w:val="single"/>
                </w:rPr>
                <w:t xml:space="preserve"> de </w:t>
              </w:r>
              <w:proofErr w:type="spellStart"/>
              <w:r w:rsidRPr="00467E47">
                <w:rPr>
                  <w:rFonts w:ascii="Times New Roman" w:hAnsi="Times New Roman"/>
                  <w:color w:val="0000FF"/>
                  <w:u w:val="single"/>
                </w:rPr>
                <w:t>la</w:t>
              </w:r>
              <w:proofErr w:type="spellEnd"/>
              <w:r w:rsidRPr="00467E47">
                <w:rPr>
                  <w:rFonts w:ascii="Times New Roman" w:hAnsi="Times New Roman"/>
                  <w:color w:val="0000FF"/>
                  <w:u w:val="single"/>
                </w:rPr>
                <w:t xml:space="preserve"> France | Les </w:t>
              </w:r>
              <w:proofErr w:type="spellStart"/>
              <w:r w:rsidRPr="00467E47">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07E079A3" w14:textId="49280FA0" w:rsidR="00052689" w:rsidRPr="00467E47" w:rsidRDefault="00052689" w:rsidP="00467E47">
            <w:pPr>
              <w:spacing w:before="120" w:after="120" w:line="240" w:lineRule="auto"/>
              <w:rPr>
                <w:rFonts w:ascii="Times New Roman" w:hAnsi="Times New Roman"/>
              </w:rPr>
            </w:pPr>
            <w:r w:rsidRPr="00467E47">
              <w:rPr>
                <w:rFonts w:ascii="Times New Roman" w:hAnsi="Times New Roman"/>
              </w:rPr>
              <w:t>Gyvulių ligos smogia Prancūzijos žemės ūkiui ir eksportui</w:t>
            </w:r>
          </w:p>
        </w:tc>
      </w:tr>
      <w:tr w:rsidR="00AF1E0C" w:rsidRPr="00467E47" w14:paraId="62D37F8C" w14:textId="77777777" w:rsidTr="00B869D6">
        <w:trPr>
          <w:gridAfter w:val="1"/>
          <w:wAfter w:w="11" w:type="dxa"/>
          <w:trHeight w:val="326"/>
        </w:trPr>
        <w:tc>
          <w:tcPr>
            <w:tcW w:w="1418" w:type="dxa"/>
            <w:tcMar>
              <w:top w:w="29" w:type="dxa"/>
              <w:left w:w="115" w:type="dxa"/>
              <w:bottom w:w="29" w:type="dxa"/>
              <w:right w:w="115" w:type="dxa"/>
            </w:tcMar>
          </w:tcPr>
          <w:p w14:paraId="561AB3E4" w14:textId="12FC8F6D" w:rsidR="00AF1E0C" w:rsidRPr="00467E47" w:rsidRDefault="00AF1E0C" w:rsidP="00467E47">
            <w:pPr>
              <w:spacing w:before="120" w:after="120" w:line="240" w:lineRule="auto"/>
              <w:rPr>
                <w:rFonts w:ascii="Times New Roman" w:eastAsia="Times New Roman" w:hAnsi="Times New Roman"/>
              </w:rPr>
            </w:pPr>
            <w:r w:rsidRPr="00467E47">
              <w:rPr>
                <w:rFonts w:ascii="Times New Roman" w:eastAsia="Times New Roman" w:hAnsi="Times New Roman"/>
              </w:rPr>
              <w:t>2025 11 21</w:t>
            </w:r>
          </w:p>
        </w:tc>
        <w:tc>
          <w:tcPr>
            <w:tcW w:w="5812" w:type="dxa"/>
            <w:tcMar>
              <w:top w:w="29" w:type="dxa"/>
              <w:left w:w="115" w:type="dxa"/>
              <w:bottom w:w="29" w:type="dxa"/>
              <w:right w:w="115" w:type="dxa"/>
            </w:tcMar>
          </w:tcPr>
          <w:p w14:paraId="597422C8" w14:textId="37F485C1" w:rsidR="00AF1E0C" w:rsidRPr="00467E47" w:rsidRDefault="00AF1E0C" w:rsidP="00467E47">
            <w:pPr>
              <w:spacing w:before="120" w:after="120" w:line="240" w:lineRule="auto"/>
              <w:rPr>
                <w:rFonts w:ascii="Times New Roman" w:hAnsi="Times New Roman"/>
              </w:rPr>
            </w:pPr>
            <w:r w:rsidRPr="00467E47">
              <w:rPr>
                <w:rFonts w:ascii="Times New Roman" w:hAnsi="Times New Roman"/>
              </w:rPr>
              <w:t xml:space="preserve">Centrinio banko duomenimis, prancūzų namų ūkių taupymo lygis arti rekordinio – tiek nebuvo taupoma nuo pandemijos laikų. 2025 m. antrą ketvirtį gyventojai atidėjo 18,7 % savo disponuojamų pajamų, o tai yra vienas aukščiausių rodiklių Europoje. Daugiausia prancūzai taupė įsigydami gyvybės draudimo ir pensijų produktų dėdami lėšas į įvairius investicinius fondus. Ypač paklausūs euro fondai,  į kuriuos 2025 m. antrą ketvirtį įdėta daugiau kaip 12 mlrd. eurų. Tuo tarpu įprastos taupomosios sąskaitos ir terminuoti indėliai tampa mažiau populiarūs. Gyventojų finansinis turtas iš viso priartėjo prie 6,5 </w:t>
            </w:r>
            <w:proofErr w:type="spellStart"/>
            <w:r w:rsidRPr="00467E47">
              <w:rPr>
                <w:rFonts w:ascii="Times New Roman" w:hAnsi="Times New Roman"/>
              </w:rPr>
              <w:t>trln</w:t>
            </w:r>
            <w:proofErr w:type="spellEnd"/>
            <w:r w:rsidRPr="00467E47">
              <w:rPr>
                <w:rFonts w:ascii="Times New Roman" w:hAnsi="Times New Roman"/>
              </w:rPr>
              <w:t>. eurų. Tokį aukštą taupymo lygį lemia politinis neapibrėžtumas ir ekonominės rizikos. Ir tai apsunkina valdžios pastangas nukreipti gyventojų lėšas į produktyvesnes investicijas ir žaliąją energetikos transformaciją.</w:t>
            </w:r>
          </w:p>
        </w:tc>
        <w:tc>
          <w:tcPr>
            <w:tcW w:w="2268" w:type="dxa"/>
            <w:tcMar>
              <w:top w:w="29" w:type="dxa"/>
              <w:left w:w="115" w:type="dxa"/>
              <w:bottom w:w="29" w:type="dxa"/>
              <w:right w:w="115" w:type="dxa"/>
            </w:tcMar>
          </w:tcPr>
          <w:p w14:paraId="33FFC6F1" w14:textId="77777777" w:rsidR="00AF1E0C" w:rsidRPr="00467E47" w:rsidRDefault="00AF1E0C" w:rsidP="00467E47">
            <w:pPr>
              <w:spacing w:before="120" w:after="120" w:line="240" w:lineRule="auto"/>
              <w:rPr>
                <w:rFonts w:ascii="Times New Roman" w:hAnsi="Times New Roman"/>
              </w:rPr>
            </w:pPr>
            <w:hyperlink r:id="rId11" w:history="1">
              <w:r w:rsidRPr="00467E47">
                <w:rPr>
                  <w:rStyle w:val="Hyperlink"/>
                  <w:rFonts w:ascii="Times New Roman" w:hAnsi="Times New Roman"/>
                </w:rPr>
                <w:t xml:space="preserve">Les </w:t>
              </w:r>
              <w:proofErr w:type="spellStart"/>
              <w:r w:rsidRPr="00467E47">
                <w:rPr>
                  <w:rStyle w:val="Hyperlink"/>
                  <w:rFonts w:ascii="Times New Roman" w:hAnsi="Times New Roman"/>
                </w:rPr>
                <w:t>Français</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n'ont</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jamais</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autant</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épargné</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depuis</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la</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crise</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sanitaire</w:t>
              </w:r>
              <w:proofErr w:type="spellEnd"/>
              <w:r w:rsidRPr="00467E47">
                <w:rPr>
                  <w:rStyle w:val="Hyperlink"/>
                  <w:rFonts w:ascii="Times New Roman" w:hAnsi="Times New Roman"/>
                </w:rPr>
                <w:t xml:space="preserve"> | </w:t>
              </w:r>
              <w:proofErr w:type="spellStart"/>
              <w:r w:rsidRPr="00467E47">
                <w:rPr>
                  <w:rStyle w:val="Hyperlink"/>
                  <w:rFonts w:ascii="Times New Roman" w:hAnsi="Times New Roman"/>
                </w:rPr>
                <w:t>Investir</w:t>
              </w:r>
              <w:proofErr w:type="spellEnd"/>
            </w:hyperlink>
          </w:p>
          <w:p w14:paraId="576738DB" w14:textId="77777777" w:rsidR="00AF1E0C" w:rsidRPr="00467E47" w:rsidRDefault="00AF1E0C" w:rsidP="00467E47">
            <w:pPr>
              <w:spacing w:before="120"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7140C86B" w14:textId="77777777" w:rsidR="00AF1E0C" w:rsidRPr="00467E47" w:rsidRDefault="00AF1E0C" w:rsidP="00467E47">
            <w:pPr>
              <w:spacing w:before="120" w:after="120" w:line="240" w:lineRule="auto"/>
              <w:rPr>
                <w:rFonts w:ascii="Times New Roman" w:hAnsi="Times New Roman"/>
              </w:rPr>
            </w:pPr>
            <w:r w:rsidRPr="00467E47">
              <w:rPr>
                <w:rFonts w:ascii="Times New Roman" w:hAnsi="Times New Roman"/>
              </w:rPr>
              <w:t>Taupymo bumas kaip Prancūzijos vidaus politikos atspindys</w:t>
            </w:r>
          </w:p>
          <w:p w14:paraId="2DFD2079" w14:textId="77777777" w:rsidR="00AF1E0C" w:rsidRPr="00467E47" w:rsidRDefault="00AF1E0C" w:rsidP="00467E47">
            <w:pPr>
              <w:pBdr>
                <w:top w:val="nil"/>
                <w:left w:val="nil"/>
                <w:bottom w:val="nil"/>
                <w:right w:val="nil"/>
                <w:between w:val="nil"/>
              </w:pBdr>
              <w:spacing w:before="120" w:after="120" w:line="240" w:lineRule="auto"/>
              <w:rPr>
                <w:rFonts w:ascii="Times New Roman" w:eastAsia="Times New Roman" w:hAnsi="Times New Roman"/>
              </w:rPr>
            </w:pPr>
          </w:p>
        </w:tc>
      </w:tr>
      <w:tr w:rsidR="00AF1E0C" w:rsidRPr="00467E47" w14:paraId="49F2DE0C" w14:textId="77777777" w:rsidTr="00B869D6">
        <w:trPr>
          <w:gridAfter w:val="1"/>
          <w:wAfter w:w="11" w:type="dxa"/>
          <w:trHeight w:val="326"/>
        </w:trPr>
        <w:tc>
          <w:tcPr>
            <w:tcW w:w="1418" w:type="dxa"/>
            <w:tcMar>
              <w:top w:w="29" w:type="dxa"/>
              <w:left w:w="115" w:type="dxa"/>
              <w:bottom w:w="29" w:type="dxa"/>
              <w:right w:w="115" w:type="dxa"/>
            </w:tcMar>
          </w:tcPr>
          <w:p w14:paraId="5511C33C" w14:textId="3F8DDB75" w:rsidR="00AF1E0C" w:rsidRPr="00467E47" w:rsidRDefault="00AF1E0C"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2025 11 22</w:t>
            </w:r>
          </w:p>
        </w:tc>
        <w:tc>
          <w:tcPr>
            <w:tcW w:w="5812" w:type="dxa"/>
            <w:tcMar>
              <w:top w:w="29" w:type="dxa"/>
              <w:left w:w="115" w:type="dxa"/>
              <w:bottom w:w="29" w:type="dxa"/>
              <w:right w:w="115" w:type="dxa"/>
            </w:tcMar>
          </w:tcPr>
          <w:p w14:paraId="257BBDDA" w14:textId="51244F25" w:rsidR="00AF1E0C" w:rsidRPr="00467E47" w:rsidRDefault="00AF1E0C" w:rsidP="00467E47">
            <w:pPr>
              <w:spacing w:before="120" w:after="120" w:line="240" w:lineRule="auto"/>
              <w:rPr>
                <w:rFonts w:ascii="Times New Roman" w:eastAsia="Times New Roman" w:hAnsi="Times New Roman"/>
                <w:bCs/>
              </w:rPr>
            </w:pPr>
            <w:r w:rsidRPr="00467E47">
              <w:rPr>
                <w:rFonts w:ascii="Times New Roman" w:eastAsia="Times New Roman" w:hAnsi="Times New Roman"/>
                <w:bCs/>
              </w:rPr>
              <w:t>2025 m. lapkričio 25 d. pieno produktų koncernas „</w:t>
            </w:r>
            <w:proofErr w:type="spellStart"/>
            <w:r w:rsidRPr="00467E47">
              <w:rPr>
                <w:rFonts w:ascii="Times New Roman" w:eastAsia="Times New Roman" w:hAnsi="Times New Roman"/>
                <w:bCs/>
              </w:rPr>
              <w:t>Lactalis</w:t>
            </w:r>
            <w:proofErr w:type="spellEnd"/>
            <w:r w:rsidRPr="00467E47">
              <w:rPr>
                <w:rFonts w:ascii="Times New Roman" w:eastAsia="Times New Roman" w:hAnsi="Times New Roman"/>
                <w:bCs/>
              </w:rPr>
              <w:t xml:space="preserve">“ stoja prieš Paryžiaus ekonominių bylų teismą ir Nacionalinę finansų prokuratūrą (PNF) dėl įtariamo finansinių ataskaitų </w:t>
            </w:r>
            <w:r w:rsidRPr="00467E47">
              <w:rPr>
                <w:rFonts w:ascii="Times New Roman" w:eastAsia="Times New Roman" w:hAnsi="Times New Roman"/>
                <w:bCs/>
              </w:rPr>
              <w:lastRenderedPageBreak/>
              <w:t>skaidrumo pažeidimo. Teisinius procesus inicijavo asociacija „</w:t>
            </w:r>
            <w:proofErr w:type="spellStart"/>
            <w:r w:rsidRPr="00467E47">
              <w:rPr>
                <w:rFonts w:ascii="Times New Roman" w:eastAsia="Times New Roman" w:hAnsi="Times New Roman"/>
                <w:bCs/>
              </w:rPr>
              <w:t>Justice</w:t>
            </w:r>
            <w:proofErr w:type="spellEnd"/>
            <w:r w:rsidRPr="00467E47">
              <w:rPr>
                <w:rFonts w:ascii="Times New Roman" w:eastAsia="Times New Roman" w:hAnsi="Times New Roman"/>
                <w:bCs/>
              </w:rPr>
              <w:t xml:space="preserve"> </w:t>
            </w:r>
            <w:proofErr w:type="spellStart"/>
            <w:r w:rsidRPr="00467E47">
              <w:rPr>
                <w:rFonts w:ascii="Times New Roman" w:eastAsia="Times New Roman" w:hAnsi="Times New Roman"/>
                <w:bCs/>
              </w:rPr>
              <w:t>pour</w:t>
            </w:r>
            <w:proofErr w:type="spellEnd"/>
            <w:r w:rsidRPr="00467E47">
              <w:rPr>
                <w:rFonts w:ascii="Times New Roman" w:eastAsia="Times New Roman" w:hAnsi="Times New Roman"/>
                <w:bCs/>
              </w:rPr>
              <w:t xml:space="preserve"> </w:t>
            </w:r>
            <w:proofErr w:type="spellStart"/>
            <w:r w:rsidRPr="00467E47">
              <w:rPr>
                <w:rFonts w:ascii="Times New Roman" w:eastAsia="Times New Roman" w:hAnsi="Times New Roman"/>
                <w:bCs/>
              </w:rPr>
              <w:t>nos</w:t>
            </w:r>
            <w:proofErr w:type="spellEnd"/>
            <w:r w:rsidRPr="00467E47">
              <w:rPr>
                <w:rFonts w:ascii="Times New Roman" w:eastAsia="Times New Roman" w:hAnsi="Times New Roman"/>
                <w:bCs/>
              </w:rPr>
              <w:t xml:space="preserve"> primes“, įkurta </w:t>
            </w:r>
            <w:proofErr w:type="spellStart"/>
            <w:r w:rsidRPr="00467E47">
              <w:rPr>
                <w:rFonts w:ascii="Times New Roman" w:eastAsia="Times New Roman" w:hAnsi="Times New Roman"/>
                <w:bCs/>
              </w:rPr>
              <w:t>Alexandre’o</w:t>
            </w:r>
            <w:proofErr w:type="spellEnd"/>
            <w:r w:rsidRPr="00467E47">
              <w:rPr>
                <w:rFonts w:ascii="Times New Roman" w:eastAsia="Times New Roman" w:hAnsi="Times New Roman"/>
                <w:bCs/>
              </w:rPr>
              <w:t xml:space="preserve"> ir </w:t>
            </w:r>
            <w:proofErr w:type="spellStart"/>
            <w:r w:rsidRPr="00467E47">
              <w:rPr>
                <w:rFonts w:ascii="Times New Roman" w:eastAsia="Times New Roman" w:hAnsi="Times New Roman"/>
                <w:bCs/>
              </w:rPr>
              <w:t>Maxime’o</w:t>
            </w:r>
            <w:proofErr w:type="spellEnd"/>
            <w:r w:rsidRPr="00467E47">
              <w:rPr>
                <w:rFonts w:ascii="Times New Roman" w:eastAsia="Times New Roman" w:hAnsi="Times New Roman"/>
                <w:bCs/>
              </w:rPr>
              <w:t xml:space="preserve"> </w:t>
            </w:r>
            <w:proofErr w:type="spellStart"/>
            <w:r w:rsidRPr="00467E47">
              <w:rPr>
                <w:rFonts w:ascii="Times New Roman" w:eastAsia="Times New Roman" w:hAnsi="Times New Roman"/>
                <w:bCs/>
              </w:rPr>
              <w:t>Renahy</w:t>
            </w:r>
            <w:proofErr w:type="spellEnd"/>
            <w:r w:rsidRPr="00467E47">
              <w:rPr>
                <w:rFonts w:ascii="Times New Roman" w:eastAsia="Times New Roman" w:hAnsi="Times New Roman"/>
                <w:bCs/>
              </w:rPr>
              <w:t>, kartu su beveik 500 esamų ir buvusių bendrovės darbuotojų. Abiejų bylų esmė – reikalavimas įpareigoti daugiau nei 30 mlrd. eurų metinę apyvartą generuojančią ir apie 90 tūkst. darbuotojų visame pasaulyje turinčią „</w:t>
            </w:r>
            <w:proofErr w:type="spellStart"/>
            <w:r w:rsidRPr="00467E47">
              <w:rPr>
                <w:rFonts w:ascii="Times New Roman" w:eastAsia="Times New Roman" w:hAnsi="Times New Roman"/>
                <w:bCs/>
              </w:rPr>
              <w:t>Lactalis</w:t>
            </w:r>
            <w:proofErr w:type="spellEnd"/>
            <w:r w:rsidRPr="00467E47">
              <w:rPr>
                <w:rFonts w:ascii="Times New Roman" w:eastAsia="Times New Roman" w:hAnsi="Times New Roman"/>
                <w:bCs/>
              </w:rPr>
              <w:t>“ grupę atskleisti konsoliduotą finansinę atskaitomybę, apimančią visų dukterinių įmonių rezultatus. Ieškovų teigimu, tik toks skaidrumas leistų objektyviai įvertinti bendrovės finansinę padėtį ir nustatyti galimus darbuotojų premijų apskaičiavimo pažeidimus.</w:t>
            </w:r>
          </w:p>
        </w:tc>
        <w:tc>
          <w:tcPr>
            <w:tcW w:w="2268" w:type="dxa"/>
            <w:tcMar>
              <w:top w:w="29" w:type="dxa"/>
              <w:left w:w="115" w:type="dxa"/>
              <w:bottom w:w="29" w:type="dxa"/>
              <w:right w:w="115" w:type="dxa"/>
            </w:tcMar>
          </w:tcPr>
          <w:p w14:paraId="172F0846" w14:textId="332E22BC" w:rsidR="00AF1E0C" w:rsidRPr="00467E47" w:rsidRDefault="00AF1E0C" w:rsidP="00467E47">
            <w:pPr>
              <w:spacing w:before="120" w:after="120" w:line="240" w:lineRule="auto"/>
              <w:rPr>
                <w:rFonts w:ascii="Times New Roman" w:hAnsi="Times New Roman"/>
              </w:rPr>
            </w:pPr>
            <w:hyperlink r:id="rId12" w:history="1">
              <w:proofErr w:type="spellStart"/>
              <w:r w:rsidRPr="00467E47">
                <w:rPr>
                  <w:rStyle w:val="Hyperlink"/>
                  <w:rFonts w:ascii="Times New Roman" w:eastAsia="Times New Roman" w:hAnsi="Times New Roman"/>
                </w:rPr>
                <w:t>Sincérité</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des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comptes</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Lactalis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lastRenderedPageBreak/>
                <w:t>visé</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par</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deux</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actions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en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justice</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025D2220" w14:textId="708C7CAF" w:rsidR="00AF1E0C" w:rsidRPr="00467E47" w:rsidRDefault="00AF1E0C" w:rsidP="00467E47">
            <w:pPr>
              <w:spacing w:before="120" w:after="120" w:line="240" w:lineRule="auto"/>
              <w:rPr>
                <w:rFonts w:ascii="Times New Roman" w:eastAsia="Times New Roman" w:hAnsi="Times New Roman"/>
              </w:rPr>
            </w:pPr>
            <w:r w:rsidRPr="00467E47">
              <w:rPr>
                <w:rFonts w:ascii="Times New Roman" w:eastAsia="Times New Roman" w:hAnsi="Times New Roman"/>
              </w:rPr>
              <w:lastRenderedPageBreak/>
              <w:t xml:space="preserve">Pieno produktų gamybos </w:t>
            </w:r>
            <w:r w:rsidRPr="00467E47">
              <w:rPr>
                <w:rFonts w:ascii="Times New Roman" w:eastAsia="Times New Roman" w:hAnsi="Times New Roman"/>
              </w:rPr>
              <w:lastRenderedPageBreak/>
              <w:t xml:space="preserve">koncernas </w:t>
            </w:r>
            <w:r w:rsidR="00B22CA8" w:rsidRPr="00467E47">
              <w:rPr>
                <w:rFonts w:ascii="Times New Roman" w:eastAsia="Times New Roman" w:hAnsi="Times New Roman"/>
              </w:rPr>
              <w:t>„</w:t>
            </w:r>
            <w:proofErr w:type="spellStart"/>
            <w:r w:rsidR="00B22CA8" w:rsidRPr="00467E47">
              <w:rPr>
                <w:rFonts w:ascii="Times New Roman" w:eastAsia="Times New Roman" w:hAnsi="Times New Roman"/>
              </w:rPr>
              <w:t>Lactalis</w:t>
            </w:r>
            <w:proofErr w:type="spellEnd"/>
            <w:r w:rsidR="00B22CA8" w:rsidRPr="00467E47">
              <w:rPr>
                <w:rFonts w:ascii="Times New Roman" w:eastAsia="Times New Roman" w:hAnsi="Times New Roman"/>
              </w:rPr>
              <w:t>“ kaltinamas finansiniu neskaidrumu</w:t>
            </w:r>
          </w:p>
        </w:tc>
      </w:tr>
      <w:tr w:rsidR="00AF1E0C" w:rsidRPr="00467E47" w14:paraId="2728ECAD" w14:textId="77777777" w:rsidTr="00B869D6">
        <w:trPr>
          <w:gridAfter w:val="1"/>
          <w:wAfter w:w="11" w:type="dxa"/>
          <w:trHeight w:val="326"/>
        </w:trPr>
        <w:tc>
          <w:tcPr>
            <w:tcW w:w="1418" w:type="dxa"/>
            <w:tcMar>
              <w:top w:w="29" w:type="dxa"/>
              <w:left w:w="115" w:type="dxa"/>
              <w:bottom w:w="29" w:type="dxa"/>
              <w:right w:w="115" w:type="dxa"/>
            </w:tcMar>
          </w:tcPr>
          <w:p w14:paraId="529642F2" w14:textId="5217C532" w:rsidR="00AF1E0C" w:rsidRPr="00467E47" w:rsidRDefault="00AF1E0C" w:rsidP="00467E47">
            <w:pPr>
              <w:spacing w:before="120" w:after="120" w:line="240" w:lineRule="auto"/>
              <w:rPr>
                <w:rFonts w:ascii="Times New Roman" w:eastAsia="Times New Roman" w:hAnsi="Times New Roman"/>
              </w:rPr>
            </w:pPr>
            <w:r w:rsidRPr="00467E47">
              <w:rPr>
                <w:rFonts w:ascii="Times New Roman" w:eastAsia="Times New Roman" w:hAnsi="Times New Roman"/>
                <w:lang w:val="en-US"/>
              </w:rPr>
              <w:lastRenderedPageBreak/>
              <w:t>2025</w:t>
            </w:r>
            <w:r w:rsidR="009162D7" w:rsidRPr="00467E47">
              <w:rPr>
                <w:rFonts w:ascii="Times New Roman" w:eastAsia="Times New Roman" w:hAnsi="Times New Roman"/>
                <w:lang w:val="en-US"/>
              </w:rPr>
              <w:t xml:space="preserve"> 11 27</w:t>
            </w:r>
          </w:p>
        </w:tc>
        <w:tc>
          <w:tcPr>
            <w:tcW w:w="5812" w:type="dxa"/>
            <w:tcMar>
              <w:top w:w="29" w:type="dxa"/>
              <w:left w:w="115" w:type="dxa"/>
              <w:bottom w:w="29" w:type="dxa"/>
              <w:right w:w="115" w:type="dxa"/>
            </w:tcMar>
          </w:tcPr>
          <w:p w14:paraId="69933041" w14:textId="56401AC6" w:rsidR="00AF1E0C" w:rsidRPr="00467E47" w:rsidRDefault="00AF1E0C" w:rsidP="00467E47">
            <w:pPr>
              <w:spacing w:before="120" w:after="120" w:line="240" w:lineRule="auto"/>
              <w:rPr>
                <w:rFonts w:ascii="Times New Roman" w:eastAsia="Times New Roman" w:hAnsi="Times New Roman"/>
                <w:bCs/>
              </w:rPr>
            </w:pPr>
            <w:r w:rsidRPr="00467E47">
              <w:rPr>
                <w:rFonts w:ascii="Times New Roman" w:eastAsia="Times New Roman" w:hAnsi="Times New Roman"/>
                <w:bCs/>
              </w:rPr>
              <w:t>„</w:t>
            </w:r>
            <w:proofErr w:type="spellStart"/>
            <w:r w:rsidRPr="00467E47">
              <w:rPr>
                <w:rFonts w:ascii="Times New Roman" w:eastAsia="Times New Roman" w:hAnsi="Times New Roman"/>
                <w:bCs/>
              </w:rPr>
              <w:t>Auchan</w:t>
            </w:r>
            <w:proofErr w:type="spellEnd"/>
            <w:r w:rsidRPr="00467E47">
              <w:rPr>
                <w:rFonts w:ascii="Times New Roman" w:eastAsia="Times New Roman" w:hAnsi="Times New Roman"/>
                <w:bCs/>
              </w:rPr>
              <w:t>“ planuoja perduoti franšizėms – po „</w:t>
            </w:r>
            <w:proofErr w:type="spellStart"/>
            <w:r w:rsidRPr="00467E47">
              <w:rPr>
                <w:rFonts w:ascii="Times New Roman" w:eastAsia="Times New Roman" w:hAnsi="Times New Roman"/>
                <w:bCs/>
              </w:rPr>
              <w:t>Intermarché</w:t>
            </w:r>
            <w:proofErr w:type="spellEnd"/>
            <w:r w:rsidRPr="00467E47">
              <w:rPr>
                <w:rFonts w:ascii="Times New Roman" w:eastAsia="Times New Roman" w:hAnsi="Times New Roman"/>
                <w:bCs/>
              </w:rPr>
              <w:t>“ ir „</w:t>
            </w:r>
            <w:proofErr w:type="spellStart"/>
            <w:r w:rsidRPr="00467E47">
              <w:rPr>
                <w:rFonts w:ascii="Times New Roman" w:eastAsia="Times New Roman" w:hAnsi="Times New Roman"/>
                <w:bCs/>
              </w:rPr>
              <w:t>Netto</w:t>
            </w:r>
            <w:proofErr w:type="spellEnd"/>
            <w:r w:rsidRPr="00467E47">
              <w:rPr>
                <w:rFonts w:ascii="Times New Roman" w:eastAsia="Times New Roman" w:hAnsi="Times New Roman"/>
                <w:bCs/>
              </w:rPr>
              <w:t xml:space="preserve">“ prekių ženklais – savo 294 centrinius (įmonės valdomus) prekybos centrus, taikydama naują mechanizmą, kuris kelia darbuotojams daug neaiškumo. </w:t>
            </w:r>
            <w:r w:rsidR="00757C2A" w:rsidRPr="00467E47">
              <w:rPr>
                <w:rFonts w:ascii="Times New Roman" w:eastAsia="Times New Roman" w:hAnsi="Times New Roman"/>
                <w:bCs/>
              </w:rPr>
              <w:t>Aišku tik</w:t>
            </w:r>
            <w:r w:rsidRPr="00467E47">
              <w:rPr>
                <w:rFonts w:ascii="Times New Roman" w:eastAsia="Times New Roman" w:hAnsi="Times New Roman"/>
                <w:bCs/>
              </w:rPr>
              <w:t xml:space="preserve"> tai, kad „</w:t>
            </w:r>
            <w:proofErr w:type="spellStart"/>
            <w:r w:rsidRPr="00467E47">
              <w:rPr>
                <w:rFonts w:ascii="Times New Roman" w:eastAsia="Times New Roman" w:hAnsi="Times New Roman"/>
                <w:bCs/>
              </w:rPr>
              <w:t>Auchan</w:t>
            </w:r>
            <w:proofErr w:type="spellEnd"/>
            <w:r w:rsidRPr="00467E47">
              <w:rPr>
                <w:rFonts w:ascii="Times New Roman" w:eastAsia="Times New Roman" w:hAnsi="Times New Roman"/>
                <w:bCs/>
              </w:rPr>
              <w:t xml:space="preserve"> </w:t>
            </w:r>
            <w:proofErr w:type="spellStart"/>
            <w:r w:rsidRPr="00467E47">
              <w:rPr>
                <w:rFonts w:ascii="Times New Roman" w:eastAsia="Times New Roman" w:hAnsi="Times New Roman"/>
                <w:bCs/>
              </w:rPr>
              <w:t>Retail</w:t>
            </w:r>
            <w:proofErr w:type="spellEnd"/>
            <w:r w:rsidRPr="00467E47">
              <w:rPr>
                <w:rFonts w:ascii="Times New Roman" w:eastAsia="Times New Roman" w:hAnsi="Times New Roman"/>
                <w:bCs/>
              </w:rPr>
              <w:t>“, grupės mažmeninės prekybos padalinys, ketina sukurti specialią juridinę įstaigą, kuri valdytų prekės ženklą keičiančias parduotuves pagal franšizės sutartį, sudarytą su „</w:t>
            </w:r>
            <w:proofErr w:type="spellStart"/>
            <w:r w:rsidRPr="00467E47">
              <w:rPr>
                <w:rFonts w:ascii="Times New Roman" w:eastAsia="Times New Roman" w:hAnsi="Times New Roman"/>
                <w:bCs/>
              </w:rPr>
              <w:t>Intermarché</w:t>
            </w:r>
            <w:proofErr w:type="spellEnd"/>
            <w:r w:rsidRPr="00467E47">
              <w:rPr>
                <w:rFonts w:ascii="Times New Roman" w:eastAsia="Times New Roman" w:hAnsi="Times New Roman"/>
                <w:bCs/>
              </w:rPr>
              <w:t>–</w:t>
            </w:r>
            <w:proofErr w:type="spellStart"/>
            <w:r w:rsidRPr="00467E47">
              <w:rPr>
                <w:rFonts w:ascii="Times New Roman" w:eastAsia="Times New Roman" w:hAnsi="Times New Roman"/>
                <w:bCs/>
              </w:rPr>
              <w:t>Mousquetaires</w:t>
            </w:r>
            <w:proofErr w:type="spellEnd"/>
            <w:r w:rsidRPr="00467E47">
              <w:rPr>
                <w:rFonts w:ascii="Times New Roman" w:eastAsia="Times New Roman" w:hAnsi="Times New Roman"/>
                <w:bCs/>
              </w:rPr>
              <w:t>“.</w:t>
            </w:r>
          </w:p>
        </w:tc>
        <w:tc>
          <w:tcPr>
            <w:tcW w:w="2268" w:type="dxa"/>
            <w:tcMar>
              <w:top w:w="29" w:type="dxa"/>
              <w:left w:w="115" w:type="dxa"/>
              <w:bottom w:w="29" w:type="dxa"/>
              <w:right w:w="115" w:type="dxa"/>
            </w:tcMar>
          </w:tcPr>
          <w:p w14:paraId="4EAF0E7F" w14:textId="34F9441A" w:rsidR="00AF1E0C" w:rsidRPr="00467E47" w:rsidRDefault="00AF1E0C" w:rsidP="00467E47">
            <w:pPr>
              <w:spacing w:before="120" w:after="120" w:line="240" w:lineRule="auto"/>
              <w:rPr>
                <w:rFonts w:ascii="Times New Roman" w:hAnsi="Times New Roman"/>
              </w:rPr>
            </w:pPr>
            <w:hyperlink r:id="rId13" w:history="1">
              <w:proofErr w:type="spellStart"/>
              <w:r w:rsidRPr="00467E47">
                <w:rPr>
                  <w:rStyle w:val="Hyperlink"/>
                  <w:rFonts w:ascii="Times New Roman" w:eastAsia="Times New Roman" w:hAnsi="Times New Roman"/>
                </w:rPr>
                <w:t>Supermarchés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Auchan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bientôt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franchisés</w:t>
              </w:r>
              <w:proofErr w:type="spellEnd"/>
              <w:r w:rsidRPr="00467E47">
                <w:rPr>
                  <w:rStyle w:val="Hyperlink"/>
                  <w:rFonts w:ascii="Times New Roman" w:eastAsia="Times New Roman" w:hAnsi="Times New Roman"/>
                </w:rPr>
                <w:t> : «</w:t>
              </w:r>
              <w:proofErr w:type="spellStart"/>
              <w:r w:rsidRPr="00467E47">
                <w:rPr>
                  <w:rStyle w:val="Hyperlink"/>
                  <w:rFonts w:ascii="Times New Roman" w:eastAsia="Times New Roman" w:hAnsi="Times New Roman"/>
                </w:rPr>
                <w:t>Est-ce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que</w:t>
              </w:r>
              <w:proofErr w:type="spellEnd"/>
              <w:r w:rsidRPr="00467E47">
                <w:rPr>
                  <w:rStyle w:val="Hyperlink"/>
                  <w:rFonts w:ascii="Times New Roman" w:eastAsia="Times New Roman" w:hAnsi="Times New Roman"/>
                </w:rPr>
                <w:t xml:space="preserve"> les </w:t>
              </w:r>
              <w:proofErr w:type="spellStart"/>
              <w:r w:rsidRPr="00467E47">
                <w:rPr>
                  <w:rStyle w:val="Hyperlink"/>
                  <w:rFonts w:ascii="Times New Roman" w:eastAsia="Times New Roman" w:hAnsi="Times New Roman"/>
                </w:rPr>
                <w:t>acquis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sociaux</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des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salariés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seront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conservés</w:t>
              </w:r>
              <w:proofErr w:type="spellEnd"/>
              <w:r w:rsidRPr="00467E47">
                <w:rPr>
                  <w:rStyle w:val="Hyperlink"/>
                  <w:rFonts w:ascii="Times New Roman" w:eastAsia="Times New Roman" w:hAnsi="Times New Roman"/>
                </w:rPr>
                <w:t xml:space="preserve"> ?»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2CCBF2A8" w14:textId="571333DC" w:rsidR="00AF1E0C" w:rsidRPr="00467E47" w:rsidRDefault="00AF1E0C" w:rsidP="00467E47">
            <w:pPr>
              <w:spacing w:before="120" w:after="120" w:line="240" w:lineRule="auto"/>
              <w:rPr>
                <w:rFonts w:ascii="Times New Roman" w:hAnsi="Times New Roman"/>
              </w:rPr>
            </w:pPr>
            <w:r w:rsidRPr="00467E47">
              <w:rPr>
                <w:rFonts w:ascii="Times New Roman" w:eastAsia="Times New Roman" w:hAnsi="Times New Roman"/>
              </w:rPr>
              <w:t>„</w:t>
            </w:r>
            <w:proofErr w:type="spellStart"/>
            <w:r w:rsidRPr="00467E47">
              <w:rPr>
                <w:rFonts w:ascii="Times New Roman" w:eastAsia="Times New Roman" w:hAnsi="Times New Roman"/>
              </w:rPr>
              <w:t>Auchan</w:t>
            </w:r>
            <w:proofErr w:type="spellEnd"/>
            <w:r w:rsidRPr="00467E47">
              <w:rPr>
                <w:rFonts w:ascii="Times New Roman" w:eastAsia="Times New Roman" w:hAnsi="Times New Roman"/>
              </w:rPr>
              <w:t>“ keičia veiklos modelį: pereina</w:t>
            </w:r>
            <w:r w:rsidR="00B22CA8" w:rsidRPr="00467E47">
              <w:rPr>
                <w:rFonts w:ascii="Times New Roman" w:eastAsia="Times New Roman" w:hAnsi="Times New Roman"/>
              </w:rPr>
              <w:t>ma</w:t>
            </w:r>
            <w:r w:rsidRPr="00467E47">
              <w:rPr>
                <w:rFonts w:ascii="Times New Roman" w:eastAsia="Times New Roman" w:hAnsi="Times New Roman"/>
              </w:rPr>
              <w:t xml:space="preserve"> prie franšizių</w:t>
            </w:r>
          </w:p>
        </w:tc>
      </w:tr>
      <w:tr w:rsidR="00AF1E0C" w:rsidRPr="00467E47" w14:paraId="5AB29D52" w14:textId="77777777" w:rsidTr="00B869D6">
        <w:trPr>
          <w:gridAfter w:val="1"/>
          <w:wAfter w:w="11" w:type="dxa"/>
          <w:trHeight w:val="326"/>
        </w:trPr>
        <w:tc>
          <w:tcPr>
            <w:tcW w:w="1418" w:type="dxa"/>
            <w:tcMar>
              <w:top w:w="29" w:type="dxa"/>
              <w:left w:w="115" w:type="dxa"/>
              <w:bottom w:w="29" w:type="dxa"/>
              <w:right w:w="115" w:type="dxa"/>
            </w:tcMar>
          </w:tcPr>
          <w:p w14:paraId="6E5DD6CE" w14:textId="7F57E81C" w:rsidR="00AF1E0C" w:rsidRPr="00467E47" w:rsidRDefault="00AF1E0C"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w:t>
            </w:r>
            <w:r w:rsidR="009162D7" w:rsidRPr="00467E47">
              <w:rPr>
                <w:rFonts w:ascii="Times New Roman" w:eastAsia="Times New Roman" w:hAnsi="Times New Roman"/>
                <w:lang w:val="en-US"/>
              </w:rPr>
              <w:t xml:space="preserve"> 11 27</w:t>
            </w:r>
          </w:p>
        </w:tc>
        <w:tc>
          <w:tcPr>
            <w:tcW w:w="5812" w:type="dxa"/>
            <w:tcMar>
              <w:top w:w="29" w:type="dxa"/>
              <w:left w:w="115" w:type="dxa"/>
              <w:bottom w:w="29" w:type="dxa"/>
              <w:right w:w="115" w:type="dxa"/>
            </w:tcMar>
          </w:tcPr>
          <w:p w14:paraId="21068DC1" w14:textId="25224162" w:rsidR="00AF1E0C" w:rsidRPr="00467E47" w:rsidRDefault="00AF1E0C" w:rsidP="00467E47">
            <w:pPr>
              <w:spacing w:before="120" w:after="120" w:line="240" w:lineRule="auto"/>
              <w:rPr>
                <w:rFonts w:ascii="Times New Roman" w:eastAsia="Times New Roman" w:hAnsi="Times New Roman"/>
                <w:bCs/>
              </w:rPr>
            </w:pPr>
            <w:r w:rsidRPr="00467E47">
              <w:rPr>
                <w:rFonts w:ascii="Times New Roman" w:eastAsia="Times New Roman" w:hAnsi="Times New Roman"/>
              </w:rPr>
              <w:t xml:space="preserve">Automobilių gamintojas STELLANTIS trečiadienį, lapkričio 26 d., patvirtino išlaikysiantis veiklą ir, svarbiausia, darbo vietas </w:t>
            </w:r>
            <w:proofErr w:type="spellStart"/>
            <w:r w:rsidRPr="00467E47">
              <w:rPr>
                <w:rFonts w:ascii="Times New Roman" w:eastAsia="Times New Roman" w:hAnsi="Times New Roman"/>
              </w:rPr>
              <w:t>Yvelines</w:t>
            </w:r>
            <w:proofErr w:type="spellEnd"/>
            <w:r w:rsidRPr="00467E47">
              <w:rPr>
                <w:rFonts w:ascii="Times New Roman" w:eastAsia="Times New Roman" w:hAnsi="Times New Roman"/>
              </w:rPr>
              <w:t xml:space="preserve"> padalinyje, kuris artimiausiu metu specializuosis naudotų transporto priemonių atnaujinime.</w:t>
            </w:r>
          </w:p>
        </w:tc>
        <w:tc>
          <w:tcPr>
            <w:tcW w:w="2268" w:type="dxa"/>
            <w:tcMar>
              <w:top w:w="29" w:type="dxa"/>
              <w:left w:w="115" w:type="dxa"/>
              <w:bottom w:w="29" w:type="dxa"/>
              <w:right w:w="115" w:type="dxa"/>
            </w:tcMar>
          </w:tcPr>
          <w:p w14:paraId="1378F4C4" w14:textId="3AFC0AA5" w:rsidR="00AF1E0C" w:rsidRPr="00467E47" w:rsidRDefault="00AF1E0C" w:rsidP="00467E47">
            <w:pPr>
              <w:spacing w:before="120" w:after="120" w:line="240" w:lineRule="auto"/>
              <w:rPr>
                <w:rFonts w:ascii="Times New Roman" w:hAnsi="Times New Roman"/>
              </w:rPr>
            </w:pPr>
            <w:hyperlink r:id="rId14" w:history="1">
              <w:proofErr w:type="spellStart"/>
              <w:r w:rsidRPr="00467E47">
                <w:rPr>
                  <w:rStyle w:val="Hyperlink"/>
                  <w:rFonts w:ascii="Times New Roman" w:eastAsia="Times New Roman" w:hAnsi="Times New Roman"/>
                </w:rPr>
                <w:t>Stellantis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s’engage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sur</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un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avenir</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industriel</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pour</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l’usine</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t>Poissy</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2252B9E7" w14:textId="26525AA1" w:rsidR="00AF1E0C" w:rsidRPr="00467E47" w:rsidRDefault="00AF1E0C" w:rsidP="00467E47">
            <w:pPr>
              <w:spacing w:before="120" w:after="120" w:line="240" w:lineRule="auto"/>
              <w:rPr>
                <w:rFonts w:ascii="Times New Roman" w:eastAsia="Times New Roman" w:hAnsi="Times New Roman"/>
              </w:rPr>
            </w:pPr>
            <w:r w:rsidRPr="00467E47">
              <w:rPr>
                <w:rFonts w:ascii="Times New Roman" w:hAnsi="Times New Roman"/>
              </w:rPr>
              <w:t xml:space="preserve">Automobilių pramonė: </w:t>
            </w:r>
            <w:r w:rsidR="00B22CA8" w:rsidRPr="00467E47">
              <w:rPr>
                <w:rFonts w:ascii="Times New Roman" w:hAnsi="Times New Roman"/>
              </w:rPr>
              <w:t>„</w:t>
            </w:r>
            <w:proofErr w:type="spellStart"/>
            <w:r w:rsidR="00B22CA8" w:rsidRPr="00467E47">
              <w:rPr>
                <w:rFonts w:ascii="Times New Roman" w:hAnsi="Times New Roman"/>
              </w:rPr>
              <w:t>Stellantis</w:t>
            </w:r>
            <w:proofErr w:type="spellEnd"/>
            <w:r w:rsidR="00B22CA8" w:rsidRPr="00467E47">
              <w:rPr>
                <w:rFonts w:ascii="Times New Roman" w:hAnsi="Times New Roman"/>
              </w:rPr>
              <w:t>“ modernizuoja gamyklą</w:t>
            </w:r>
          </w:p>
        </w:tc>
      </w:tr>
      <w:tr w:rsidR="00AF1E0C" w:rsidRPr="00467E47" w14:paraId="7B818B43" w14:textId="77777777" w:rsidTr="00090377">
        <w:trPr>
          <w:trHeight w:val="216"/>
        </w:trPr>
        <w:tc>
          <w:tcPr>
            <w:tcW w:w="10945" w:type="dxa"/>
            <w:gridSpan w:val="5"/>
            <w:tcMar>
              <w:top w:w="29" w:type="dxa"/>
              <w:left w:w="115" w:type="dxa"/>
              <w:bottom w:w="29" w:type="dxa"/>
              <w:right w:w="115" w:type="dxa"/>
            </w:tcMar>
          </w:tcPr>
          <w:p w14:paraId="66D10389" w14:textId="77777777" w:rsidR="00AF1E0C" w:rsidRPr="00467E47" w:rsidRDefault="00AF1E0C" w:rsidP="00467E47">
            <w:pPr>
              <w:spacing w:before="120" w:after="120" w:line="240" w:lineRule="auto"/>
              <w:rPr>
                <w:rFonts w:ascii="Times New Roman" w:eastAsia="Times New Roman" w:hAnsi="Times New Roman"/>
                <w:b/>
              </w:rPr>
            </w:pPr>
            <w:r w:rsidRPr="00467E47">
              <w:rPr>
                <w:rFonts w:ascii="Times New Roman" w:eastAsia="Times New Roman" w:hAnsi="Times New Roman"/>
                <w:b/>
              </w:rPr>
              <w:t>Investicijoms pritraukti į Lietuvą aktuali informacija</w:t>
            </w:r>
          </w:p>
        </w:tc>
      </w:tr>
      <w:tr w:rsidR="00AF1E0C" w:rsidRPr="00467E47" w14:paraId="44284F26" w14:textId="77777777" w:rsidTr="00B869D6">
        <w:trPr>
          <w:gridAfter w:val="1"/>
          <w:wAfter w:w="11" w:type="dxa"/>
          <w:trHeight w:val="216"/>
        </w:trPr>
        <w:tc>
          <w:tcPr>
            <w:tcW w:w="1418" w:type="dxa"/>
            <w:tcMar>
              <w:top w:w="29" w:type="dxa"/>
              <w:left w:w="115" w:type="dxa"/>
              <w:bottom w:w="29" w:type="dxa"/>
              <w:right w:w="115" w:type="dxa"/>
            </w:tcMar>
          </w:tcPr>
          <w:p w14:paraId="24524D50" w14:textId="0685CFF6" w:rsidR="00AF1E0C" w:rsidRPr="00CA4B98" w:rsidRDefault="00AF1E0C"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fr-FR"/>
              </w:rPr>
              <w:t>2025</w:t>
            </w:r>
            <w:r w:rsidR="00CA4B98">
              <w:rPr>
                <w:rFonts w:ascii="Times New Roman" w:eastAsia="Times New Roman" w:hAnsi="Times New Roman"/>
                <w:lang w:val="fr-FR"/>
              </w:rPr>
              <w:t xml:space="preserve"> </w:t>
            </w:r>
            <w:r w:rsidR="00CA4B98">
              <w:rPr>
                <w:rFonts w:ascii="Times New Roman" w:eastAsia="Times New Roman" w:hAnsi="Times New Roman"/>
                <w:lang w:val="en-US"/>
              </w:rPr>
              <w:t>11 06</w:t>
            </w:r>
          </w:p>
        </w:tc>
        <w:tc>
          <w:tcPr>
            <w:tcW w:w="5812" w:type="dxa"/>
            <w:tcMar>
              <w:top w:w="29" w:type="dxa"/>
              <w:left w:w="115" w:type="dxa"/>
              <w:bottom w:w="29" w:type="dxa"/>
              <w:right w:w="115" w:type="dxa"/>
            </w:tcMar>
          </w:tcPr>
          <w:p w14:paraId="046CAAF7" w14:textId="5FD33A8E" w:rsidR="00AF1E0C" w:rsidRPr="00467E47" w:rsidRDefault="00AF1E0C" w:rsidP="00467E47">
            <w:pPr>
              <w:spacing w:before="120" w:after="120" w:line="240" w:lineRule="auto"/>
              <w:rPr>
                <w:rFonts w:ascii="Times New Roman" w:eastAsia="Times New Roman" w:hAnsi="Times New Roman"/>
                <w:bCs/>
              </w:rPr>
            </w:pPr>
            <w:r w:rsidRPr="00467E47">
              <w:rPr>
                <w:rFonts w:ascii="Times New Roman" w:eastAsia="Times New Roman" w:hAnsi="Times New Roman"/>
                <w:bCs/>
              </w:rPr>
              <w:t xml:space="preserve">2026 m. pavasarį rinkoje pasirodysianti naujoji elektrinė „Renault </w:t>
            </w:r>
            <w:proofErr w:type="spellStart"/>
            <w:r w:rsidRPr="00467E47">
              <w:rPr>
                <w:rFonts w:ascii="Times New Roman" w:eastAsia="Times New Roman" w:hAnsi="Times New Roman"/>
                <w:bCs/>
              </w:rPr>
              <w:t>Twingo</w:t>
            </w:r>
            <w:proofErr w:type="spellEnd"/>
            <w:r w:rsidRPr="00467E47">
              <w:rPr>
                <w:rFonts w:ascii="Times New Roman" w:eastAsia="Times New Roman" w:hAnsi="Times New Roman"/>
                <w:bCs/>
              </w:rPr>
              <w:t xml:space="preserve">“ bus siūloma už mažesnę nei 20 tūkst. eurų kainą, taip tapdama vienu </w:t>
            </w:r>
            <w:proofErr w:type="spellStart"/>
            <w:r w:rsidRPr="00467E47">
              <w:rPr>
                <w:rFonts w:ascii="Times New Roman" w:eastAsia="Times New Roman" w:hAnsi="Times New Roman"/>
                <w:bCs/>
              </w:rPr>
              <w:t>prieinamiausių</w:t>
            </w:r>
            <w:proofErr w:type="spellEnd"/>
            <w:r w:rsidRPr="00467E47">
              <w:rPr>
                <w:rFonts w:ascii="Times New Roman" w:eastAsia="Times New Roman" w:hAnsi="Times New Roman"/>
                <w:bCs/>
              </w:rPr>
              <w:t xml:space="preserve"> miesto elektromobilių Europoje. Gamintojas akcentuoja sumažintą automobilio svorį ir optimizuotą konstrukciją. Vis dėlto, priešingai nei anksčiau skelbta, modelio gamyba nebus visiškai perkelta į Prancūziją: automobilis iš dalies kurtas Kinijoje, o galutinė surinkimo linija įsikurs Slovėnijoje. Tai rodo, kad „Renault“ pavyko pasiūlyti prieinamą elektrinį modelį, tačiau visiškos gamybos </w:t>
            </w:r>
            <w:proofErr w:type="spellStart"/>
            <w:r w:rsidRPr="00467E47">
              <w:rPr>
                <w:rFonts w:ascii="Times New Roman" w:eastAsia="Times New Roman" w:hAnsi="Times New Roman"/>
                <w:bCs/>
              </w:rPr>
              <w:t>relokalizacijos</w:t>
            </w:r>
            <w:proofErr w:type="spellEnd"/>
            <w:r w:rsidRPr="00467E47">
              <w:rPr>
                <w:rFonts w:ascii="Times New Roman" w:eastAsia="Times New Roman" w:hAnsi="Times New Roman"/>
                <w:bCs/>
              </w:rPr>
              <w:t xml:space="preserve"> į Prancūziją kol kas nepavyko įgyvendinti.</w:t>
            </w:r>
          </w:p>
        </w:tc>
        <w:tc>
          <w:tcPr>
            <w:tcW w:w="2268" w:type="dxa"/>
            <w:tcMar>
              <w:top w:w="29" w:type="dxa"/>
              <w:left w:w="115" w:type="dxa"/>
              <w:bottom w:w="29" w:type="dxa"/>
              <w:right w:w="115" w:type="dxa"/>
            </w:tcMar>
          </w:tcPr>
          <w:p w14:paraId="57E78259" w14:textId="38650075" w:rsidR="00AF1E0C" w:rsidRPr="00467E47" w:rsidRDefault="00AF1E0C" w:rsidP="00467E47">
            <w:pPr>
              <w:spacing w:before="120" w:after="120" w:line="240" w:lineRule="auto"/>
              <w:rPr>
                <w:rFonts w:ascii="Times New Roman" w:eastAsia="Times New Roman" w:hAnsi="Times New Roman"/>
              </w:rPr>
            </w:pPr>
            <w:hyperlink r:id="rId15" w:history="1">
              <w:proofErr w:type="spellStart"/>
              <w:r w:rsidRPr="00467E47">
                <w:rPr>
                  <w:rStyle w:val="Hyperlink"/>
                  <w:rFonts w:ascii="Times New Roman" w:eastAsia="Times New Roman" w:hAnsi="Times New Roman"/>
                </w:rPr>
                <w:t>Nouvelle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Twingo</w:t>
              </w:r>
              <w:proofErr w:type="spellEnd"/>
              <w:r w:rsidRPr="00467E47">
                <w:rPr>
                  <w:rStyle w:val="Hyperlink"/>
                  <w:rFonts w:ascii="Times New Roman" w:eastAsia="Times New Roman" w:hAnsi="Times New Roman"/>
                </w:rPr>
                <w:t xml:space="preserve"> : Renault </w:t>
              </w:r>
              <w:proofErr w:type="spellStart"/>
              <w:r w:rsidRPr="00467E47">
                <w:rPr>
                  <w:rStyle w:val="Hyperlink"/>
                  <w:rFonts w:ascii="Times New Roman" w:eastAsia="Times New Roman" w:hAnsi="Times New Roman"/>
                </w:rPr>
                <w:t>réussit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l’électrique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abordable</w:t>
              </w:r>
              <w:proofErr w:type="spellEnd"/>
              <w:r w:rsidRPr="00467E47">
                <w:rPr>
                  <w:rStyle w:val="Hyperlink"/>
                  <w:rFonts w:ascii="Times New Roman" w:eastAsia="Times New Roman" w:hAnsi="Times New Roman"/>
                </w:rPr>
                <w:t xml:space="preserve">, pas </w:t>
              </w:r>
              <w:proofErr w:type="spellStart"/>
              <w:r w:rsidRPr="00467E47">
                <w:rPr>
                  <w:rStyle w:val="Hyperlink"/>
                  <w:rFonts w:ascii="Times New Roman" w:eastAsia="Times New Roman" w:hAnsi="Times New Roman"/>
                </w:rPr>
                <w:t>la</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relocalisation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complète</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t>sa</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production</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67806825" w14:textId="654AA1FC" w:rsidR="00AF1E0C" w:rsidRPr="00467E47" w:rsidRDefault="00B22CA8" w:rsidP="00467E47">
            <w:pPr>
              <w:spacing w:before="120" w:after="120" w:line="240" w:lineRule="auto"/>
              <w:rPr>
                <w:rFonts w:ascii="Times New Roman" w:hAnsi="Times New Roman"/>
              </w:rPr>
            </w:pPr>
            <w:r w:rsidRPr="00467E47">
              <w:rPr>
                <w:rFonts w:ascii="Times New Roman" w:hAnsi="Times New Roman"/>
              </w:rPr>
              <w:t>„Renault“ pristato pigų elektrinį „</w:t>
            </w:r>
            <w:proofErr w:type="spellStart"/>
            <w:r w:rsidRPr="00467E47">
              <w:rPr>
                <w:rFonts w:ascii="Times New Roman" w:hAnsi="Times New Roman"/>
              </w:rPr>
              <w:t>Twingo</w:t>
            </w:r>
            <w:proofErr w:type="spellEnd"/>
            <w:r w:rsidRPr="00467E47">
              <w:rPr>
                <w:rFonts w:ascii="Times New Roman" w:hAnsi="Times New Roman"/>
              </w:rPr>
              <w:t xml:space="preserve">“ </w:t>
            </w:r>
          </w:p>
        </w:tc>
      </w:tr>
      <w:tr w:rsidR="00AF1E0C" w:rsidRPr="00467E47"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AF1E0C" w:rsidRPr="00467E47" w:rsidRDefault="00AF1E0C" w:rsidP="00467E47">
            <w:pPr>
              <w:spacing w:before="120" w:after="120" w:line="240" w:lineRule="auto"/>
              <w:rPr>
                <w:rFonts w:ascii="Times New Roman" w:eastAsia="Times New Roman" w:hAnsi="Times New Roman"/>
                <w:b/>
              </w:rPr>
            </w:pPr>
            <w:r w:rsidRPr="00467E47">
              <w:rPr>
                <w:rFonts w:ascii="Times New Roman" w:eastAsia="Times New Roman" w:hAnsi="Times New Roman"/>
                <w:b/>
              </w:rPr>
              <w:t>Lietuvos verslo plėtrai aktuali informacija</w:t>
            </w:r>
          </w:p>
        </w:tc>
      </w:tr>
      <w:tr w:rsidR="000B52A7" w:rsidRPr="00467E47" w14:paraId="1B4C1E1C" w14:textId="77777777" w:rsidTr="00B869D6">
        <w:trPr>
          <w:gridAfter w:val="1"/>
          <w:wAfter w:w="11" w:type="dxa"/>
          <w:trHeight w:val="216"/>
        </w:trPr>
        <w:tc>
          <w:tcPr>
            <w:tcW w:w="1418" w:type="dxa"/>
            <w:tcMar>
              <w:top w:w="29" w:type="dxa"/>
              <w:left w:w="115" w:type="dxa"/>
              <w:bottom w:w="29" w:type="dxa"/>
              <w:right w:w="115" w:type="dxa"/>
            </w:tcMar>
          </w:tcPr>
          <w:p w14:paraId="1E4F9400" w14:textId="454D862C" w:rsidR="000B52A7" w:rsidRPr="00467E47" w:rsidRDefault="000B52A7"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2025 11 07</w:t>
            </w:r>
          </w:p>
        </w:tc>
        <w:tc>
          <w:tcPr>
            <w:tcW w:w="5812" w:type="dxa"/>
            <w:tcMar>
              <w:top w:w="29" w:type="dxa"/>
              <w:left w:w="115" w:type="dxa"/>
              <w:bottom w:w="29" w:type="dxa"/>
              <w:right w:w="115" w:type="dxa"/>
            </w:tcMar>
          </w:tcPr>
          <w:p w14:paraId="6DED9405" w14:textId="20A24333" w:rsidR="000B52A7" w:rsidRPr="00467E47" w:rsidRDefault="000B52A7"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Azijos prekės ženklai pastaraisiais metais sparčiai plečiasi Prancūzijos mažmeninėje rinkoje ir tampa vis reikšmingesne konkurencine jėga. Nuo 2023 m. jie sudaro 17 % visų naujų užsienio prekės ženklų parduotuvių atidarymų, taip aplenkdami Š. Amerikos įmones (15 %). Net 31 % visų šiuo metu Prancūzijoje veikiančių Azijos prekės ženklų į rinką atėjo per pastaruosius trejus metus. Dominuojantis sektorius – maitinimas ir maisto prekyba (43 %), tačiau sparčiai plečiasi ir mados bei aksesuarų segmentai. Rinkoje pirmauja Kinijos ir Japonijos kilmės prekių ženklai (po 36 %), Taivanas ir Pietų Korėja sudaro po 11 %. Iš 600 didžiausių tarptautinių prekės ženklų, kurie aktyviai veikia Prancūzijos mažmeninėje rinkoje, </w:t>
            </w:r>
            <w:r w:rsidRPr="00467E47">
              <w:rPr>
                <w:rFonts w:ascii="Times New Roman" w:eastAsia="Times New Roman" w:hAnsi="Times New Roman"/>
              </w:rPr>
              <w:lastRenderedPageBreak/>
              <w:t>132 yra Azijos kilmės, o tai rodo didelį šio regiono verslų plėtros potencialą Europoje.</w:t>
            </w:r>
          </w:p>
        </w:tc>
        <w:tc>
          <w:tcPr>
            <w:tcW w:w="2268" w:type="dxa"/>
            <w:tcMar>
              <w:top w:w="29" w:type="dxa"/>
              <w:left w:w="115" w:type="dxa"/>
              <w:bottom w:w="29" w:type="dxa"/>
              <w:right w:w="115" w:type="dxa"/>
            </w:tcMar>
          </w:tcPr>
          <w:p w14:paraId="4E5483B8" w14:textId="499D8ECD" w:rsidR="000B52A7" w:rsidRPr="00467E47" w:rsidRDefault="000B52A7" w:rsidP="00467E47">
            <w:pPr>
              <w:spacing w:before="120" w:after="120" w:line="240" w:lineRule="auto"/>
              <w:rPr>
                <w:rFonts w:ascii="Times New Roman" w:hAnsi="Times New Roman"/>
              </w:rPr>
            </w:pPr>
            <w:hyperlink r:id="rId16" w:history="1">
              <w:r w:rsidRPr="00467E47">
                <w:rPr>
                  <w:rFonts w:ascii="Times New Roman" w:hAnsi="Times New Roman"/>
                  <w:color w:val="0000FF"/>
                  <w:u w:val="single"/>
                </w:rPr>
                <w:t xml:space="preserve">Les </w:t>
              </w:r>
              <w:proofErr w:type="spellStart"/>
              <w:r w:rsidRPr="00467E47">
                <w:rPr>
                  <w:rFonts w:ascii="Times New Roman" w:hAnsi="Times New Roman"/>
                  <w:color w:val="0000FF"/>
                  <w:u w:val="single"/>
                </w:rPr>
                <w:t>magasins</w:t>
              </w:r>
              <w:proofErr w:type="spellEnd"/>
              <w:r w:rsidRPr="00467E47">
                <w:rPr>
                  <w:rFonts w:ascii="Times New Roman" w:hAnsi="Times New Roman"/>
                  <w:color w:val="0000FF"/>
                  <w:u w:val="single"/>
                </w:rPr>
                <w:t xml:space="preserve"> de </w:t>
              </w:r>
              <w:proofErr w:type="spellStart"/>
              <w:r w:rsidRPr="00467E47">
                <w:rPr>
                  <w:rFonts w:ascii="Times New Roman" w:hAnsi="Times New Roman"/>
                  <w:color w:val="0000FF"/>
                  <w:u w:val="single"/>
                </w:rPr>
                <w:t>marques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asiatiques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font</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une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percée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en</w:t>
              </w:r>
              <w:proofErr w:type="spellEnd"/>
              <w:r w:rsidRPr="00467E47">
                <w:rPr>
                  <w:rFonts w:ascii="Times New Roman" w:hAnsi="Times New Roman"/>
                  <w:color w:val="0000FF"/>
                  <w:u w:val="single"/>
                </w:rPr>
                <w:t xml:space="preserve"> France | Les </w:t>
              </w:r>
              <w:proofErr w:type="spellStart"/>
              <w:r w:rsidRPr="00467E47">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1B4E0615" w14:textId="2901537E" w:rsidR="000B52A7" w:rsidRPr="00467E47" w:rsidRDefault="000B52A7" w:rsidP="00467E47">
            <w:pPr>
              <w:spacing w:before="120" w:after="120" w:line="240" w:lineRule="auto"/>
              <w:jc w:val="center"/>
              <w:rPr>
                <w:rFonts w:ascii="Times New Roman" w:eastAsia="Times New Roman" w:hAnsi="Times New Roman"/>
              </w:rPr>
            </w:pPr>
            <w:r w:rsidRPr="00467E47">
              <w:rPr>
                <w:rFonts w:ascii="Times New Roman" w:eastAsia="Times New Roman" w:hAnsi="Times New Roman"/>
              </w:rPr>
              <w:t>Azijos prekės ženklų plėtra Prancūzijos mažmeninėje rinkoje</w:t>
            </w:r>
          </w:p>
        </w:tc>
      </w:tr>
      <w:tr w:rsidR="006B57A8" w:rsidRPr="00467E47" w14:paraId="79907D47" w14:textId="77777777" w:rsidTr="00B869D6">
        <w:trPr>
          <w:gridAfter w:val="1"/>
          <w:wAfter w:w="11" w:type="dxa"/>
          <w:trHeight w:val="216"/>
        </w:trPr>
        <w:tc>
          <w:tcPr>
            <w:tcW w:w="1418" w:type="dxa"/>
            <w:tcMar>
              <w:top w:w="29" w:type="dxa"/>
              <w:left w:w="115" w:type="dxa"/>
              <w:bottom w:w="29" w:type="dxa"/>
              <w:right w:w="115" w:type="dxa"/>
            </w:tcMar>
          </w:tcPr>
          <w:p w14:paraId="5D9AE41B" w14:textId="437ED2FD" w:rsidR="006B57A8" w:rsidRPr="00467E47" w:rsidRDefault="006B57A8"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fr-FR"/>
              </w:rPr>
              <w:t>2025</w:t>
            </w:r>
            <w:r w:rsidR="00EC1EFA" w:rsidRPr="00467E47">
              <w:rPr>
                <w:rFonts w:ascii="Times New Roman" w:eastAsia="Times New Roman" w:hAnsi="Times New Roman"/>
                <w:lang w:val="fr-FR"/>
              </w:rPr>
              <w:t xml:space="preserve"> </w:t>
            </w:r>
            <w:r w:rsidR="00EC1EFA" w:rsidRPr="00467E47">
              <w:rPr>
                <w:rFonts w:ascii="Times New Roman" w:eastAsia="Times New Roman" w:hAnsi="Times New Roman"/>
                <w:lang w:val="en-US"/>
              </w:rPr>
              <w:t>11 11</w:t>
            </w:r>
          </w:p>
        </w:tc>
        <w:tc>
          <w:tcPr>
            <w:tcW w:w="5812" w:type="dxa"/>
            <w:tcMar>
              <w:top w:w="29" w:type="dxa"/>
              <w:left w:w="115" w:type="dxa"/>
              <w:bottom w:w="29" w:type="dxa"/>
              <w:right w:w="115" w:type="dxa"/>
            </w:tcMar>
          </w:tcPr>
          <w:p w14:paraId="1A2DC018" w14:textId="7C9CC2C4" w:rsidR="006B57A8" w:rsidRPr="00467E47" w:rsidRDefault="006B57A8" w:rsidP="00467E47">
            <w:pPr>
              <w:spacing w:before="120" w:after="120" w:line="240" w:lineRule="auto"/>
              <w:rPr>
                <w:rFonts w:ascii="Times New Roman" w:eastAsia="Times New Roman" w:hAnsi="Times New Roman"/>
              </w:rPr>
            </w:pPr>
            <w:r w:rsidRPr="00467E47">
              <w:rPr>
                <w:rFonts w:ascii="Times New Roman" w:eastAsia="Times New Roman" w:hAnsi="Times New Roman"/>
              </w:rPr>
              <w:t>„</w:t>
            </w:r>
            <w:proofErr w:type="spellStart"/>
            <w:r w:rsidRPr="00467E47">
              <w:rPr>
                <w:rFonts w:ascii="Times New Roman" w:eastAsia="Times New Roman" w:hAnsi="Times New Roman"/>
              </w:rPr>
              <w:t>Urgo</w:t>
            </w:r>
            <w:proofErr w:type="spellEnd"/>
            <w:r w:rsidRPr="00467E47">
              <w:rPr>
                <w:rFonts w:ascii="Times New Roman" w:eastAsia="Times New Roman" w:hAnsi="Times New Roman"/>
              </w:rPr>
              <w:t xml:space="preserve">“ laboratorija, garsus pleistrų prekės ženklas, statys naują gamyklą Prancūzijoje Luaros departamente, netoli Sen </w:t>
            </w:r>
            <w:proofErr w:type="spellStart"/>
            <w:r w:rsidRPr="00467E47">
              <w:rPr>
                <w:rFonts w:ascii="Times New Roman" w:eastAsia="Times New Roman" w:hAnsi="Times New Roman"/>
              </w:rPr>
              <w:t>Etjeno</w:t>
            </w:r>
            <w:proofErr w:type="spellEnd"/>
            <w:r w:rsidRPr="00467E47">
              <w:rPr>
                <w:rFonts w:ascii="Times New Roman" w:eastAsia="Times New Roman" w:hAnsi="Times New Roman"/>
              </w:rPr>
              <w:t xml:space="preserve">, siekdama tapti didžiausia medicininių </w:t>
            </w:r>
            <w:proofErr w:type="spellStart"/>
            <w:r w:rsidRPr="00467E47">
              <w:rPr>
                <w:rFonts w:ascii="Times New Roman" w:eastAsia="Times New Roman" w:hAnsi="Times New Roman"/>
              </w:rPr>
              <w:t>kompresinių</w:t>
            </w:r>
            <w:proofErr w:type="spellEnd"/>
            <w:r w:rsidRPr="00467E47">
              <w:rPr>
                <w:rFonts w:ascii="Times New Roman" w:eastAsia="Times New Roman" w:hAnsi="Times New Roman"/>
              </w:rPr>
              <w:t xml:space="preserve"> tvarsčių gamintoja pasaulyje. Tai – 60 mln. eurų investicija iki 2029 m., kuri, kaip nurodoma šeimos įmonės pranešime, per dešimt metų regione turėtų sukurti „200 tiesioginių ir 115 netiesioginių darbo vietų“.</w:t>
            </w:r>
          </w:p>
        </w:tc>
        <w:tc>
          <w:tcPr>
            <w:tcW w:w="2268" w:type="dxa"/>
            <w:tcMar>
              <w:top w:w="29" w:type="dxa"/>
              <w:left w:w="115" w:type="dxa"/>
              <w:bottom w:w="29" w:type="dxa"/>
              <w:right w:w="115" w:type="dxa"/>
            </w:tcMar>
          </w:tcPr>
          <w:p w14:paraId="682F1BDA" w14:textId="24E8C5DA" w:rsidR="006B57A8" w:rsidRPr="00467E47" w:rsidRDefault="006B57A8" w:rsidP="00467E47">
            <w:pPr>
              <w:spacing w:before="120" w:after="120" w:line="240" w:lineRule="auto"/>
              <w:rPr>
                <w:rFonts w:ascii="Times New Roman" w:hAnsi="Times New Roman"/>
              </w:rPr>
            </w:pPr>
            <w:hyperlink r:id="rId17" w:history="1">
              <w:proofErr w:type="spellStart"/>
              <w:r w:rsidRPr="00467E47">
                <w:rPr>
                  <w:rStyle w:val="Hyperlink"/>
                  <w:rFonts w:ascii="Times New Roman" w:eastAsia="Times New Roman" w:hAnsi="Times New Roman"/>
                </w:rPr>
                <w:t>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laboratoire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Urgo</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marque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emblématique</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t>pansements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construit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une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nouvelle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usine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en</w:t>
              </w:r>
              <w:proofErr w:type="spellEnd"/>
              <w:r w:rsidRPr="00467E47">
                <w:rPr>
                  <w:rStyle w:val="Hyperlink"/>
                  <w:rFonts w:ascii="Times New Roman" w:eastAsia="Times New Roman" w:hAnsi="Times New Roman"/>
                </w:rPr>
                <w:t xml:space="preserve"> France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724C70CE" w14:textId="1B3E0841" w:rsidR="006B57A8" w:rsidRPr="00467E47" w:rsidRDefault="006B57A8" w:rsidP="00467E47">
            <w:pPr>
              <w:spacing w:before="120" w:after="120" w:line="240" w:lineRule="auto"/>
              <w:jc w:val="center"/>
              <w:rPr>
                <w:rFonts w:ascii="Times New Roman" w:hAnsi="Times New Roman"/>
              </w:rPr>
            </w:pPr>
            <w:r w:rsidRPr="00467E47">
              <w:rPr>
                <w:rFonts w:ascii="Times New Roman" w:eastAsia="Times New Roman" w:hAnsi="Times New Roman"/>
              </w:rPr>
              <w:t>Farmacijos pramonės plėtra</w:t>
            </w:r>
          </w:p>
        </w:tc>
      </w:tr>
      <w:tr w:rsidR="006B57A8" w:rsidRPr="00467E47" w14:paraId="45F8EBA2" w14:textId="77777777" w:rsidTr="00B869D6">
        <w:trPr>
          <w:gridAfter w:val="1"/>
          <w:wAfter w:w="11" w:type="dxa"/>
          <w:trHeight w:val="216"/>
        </w:trPr>
        <w:tc>
          <w:tcPr>
            <w:tcW w:w="1418" w:type="dxa"/>
            <w:tcMar>
              <w:top w:w="29" w:type="dxa"/>
              <w:left w:w="115" w:type="dxa"/>
              <w:bottom w:w="29" w:type="dxa"/>
              <w:right w:w="115" w:type="dxa"/>
            </w:tcMar>
          </w:tcPr>
          <w:p w14:paraId="48A3BC5C" w14:textId="3D2FF0CB" w:rsidR="006B57A8" w:rsidRPr="00467E47" w:rsidRDefault="006B57A8"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w:t>
            </w:r>
            <w:r w:rsidR="00EC1EFA" w:rsidRPr="00467E47">
              <w:rPr>
                <w:rFonts w:ascii="Times New Roman" w:eastAsia="Times New Roman" w:hAnsi="Times New Roman"/>
                <w:lang w:val="en-US"/>
              </w:rPr>
              <w:t xml:space="preserve"> 11 13</w:t>
            </w:r>
          </w:p>
        </w:tc>
        <w:tc>
          <w:tcPr>
            <w:tcW w:w="5812" w:type="dxa"/>
            <w:tcMar>
              <w:top w:w="29" w:type="dxa"/>
              <w:left w:w="115" w:type="dxa"/>
              <w:bottom w:w="29" w:type="dxa"/>
              <w:right w:w="115" w:type="dxa"/>
            </w:tcMar>
          </w:tcPr>
          <w:p w14:paraId="4C7DE7C5" w14:textId="537192EA" w:rsidR="006B57A8" w:rsidRPr="00467E47" w:rsidRDefault="006B57A8"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Transporto bendrovės CMA CGM savininkas plečia veiklą mažmeninės prekybos sektoriuje, tapdamas antruoju pagal dydį prekybos tinklo </w:t>
            </w:r>
            <w:proofErr w:type="spellStart"/>
            <w:r w:rsidRPr="00467E47">
              <w:rPr>
                <w:rFonts w:ascii="Times New Roman" w:eastAsia="Times New Roman" w:hAnsi="Times New Roman"/>
              </w:rPr>
              <w:t>Carrefour</w:t>
            </w:r>
            <w:proofErr w:type="spellEnd"/>
            <w:r w:rsidRPr="00467E47">
              <w:rPr>
                <w:rFonts w:ascii="Times New Roman" w:eastAsia="Times New Roman" w:hAnsi="Times New Roman"/>
              </w:rPr>
              <w:t xml:space="preserve"> akcininku, ir netrukus galėtų dar labiau padidinti savo turimą dalį.</w:t>
            </w:r>
            <w:r w:rsidRPr="00467E47">
              <w:rPr>
                <w:rFonts w:ascii="Times New Roman" w:hAnsi="Times New Roman"/>
              </w:rPr>
              <w:t xml:space="preserve"> </w:t>
            </w:r>
            <w:r w:rsidRPr="00467E47">
              <w:rPr>
                <w:rFonts w:ascii="Times New Roman" w:eastAsia="Times New Roman" w:hAnsi="Times New Roman"/>
              </w:rPr>
              <w:t xml:space="preserve">Po geležinkelių krovinių, žiniasklaidos ir kino – metas žengti į mažmeninės prekybos sektorių. </w:t>
            </w:r>
            <w:proofErr w:type="spellStart"/>
            <w:r w:rsidRPr="00467E47">
              <w:rPr>
                <w:rFonts w:ascii="Times New Roman" w:eastAsia="Times New Roman" w:hAnsi="Times New Roman"/>
              </w:rPr>
              <w:t>Saadé</w:t>
            </w:r>
            <w:proofErr w:type="spellEnd"/>
            <w:r w:rsidRPr="00467E47">
              <w:rPr>
                <w:rFonts w:ascii="Times New Roman" w:eastAsia="Times New Roman" w:hAnsi="Times New Roman"/>
              </w:rPr>
              <w:t xml:space="preserve"> šeima, kuriai priklauso trečias pagal dydį jūrų transporto vežėjas pasaulyje, įsigijo dalį antro pagal dydį Prancūzijos maisto prekybos tinklo „</w:t>
            </w:r>
            <w:proofErr w:type="spellStart"/>
            <w:r w:rsidRPr="00467E47">
              <w:rPr>
                <w:rFonts w:ascii="Times New Roman" w:eastAsia="Times New Roman" w:hAnsi="Times New Roman"/>
              </w:rPr>
              <w:t>Carrefour</w:t>
            </w:r>
            <w:proofErr w:type="spellEnd"/>
            <w:r w:rsidRPr="00467E47">
              <w:rPr>
                <w:rFonts w:ascii="Times New Roman" w:eastAsia="Times New Roman" w:hAnsi="Times New Roman"/>
              </w:rPr>
              <w:t>“, kurio apyvarta 2024 m. siekė 94,5 mlrd. eurų. Ji biržoje nupirko 4 % „</w:t>
            </w:r>
            <w:proofErr w:type="spellStart"/>
            <w:r w:rsidRPr="00467E47">
              <w:rPr>
                <w:rFonts w:ascii="Times New Roman" w:eastAsia="Times New Roman" w:hAnsi="Times New Roman"/>
              </w:rPr>
              <w:t>Carrefour</w:t>
            </w:r>
            <w:proofErr w:type="spellEnd"/>
            <w:r w:rsidRPr="00467E47">
              <w:rPr>
                <w:rFonts w:ascii="Times New Roman" w:eastAsia="Times New Roman" w:hAnsi="Times New Roman"/>
              </w:rPr>
              <w:t>“ kapitalo už gana kuklią sumą – 400 mln. eurų. Prekybos tinklo akcijos, jau kelerius metus prastos vertės, šiuo metu kainuoja 13,50 euro.</w:t>
            </w:r>
          </w:p>
        </w:tc>
        <w:tc>
          <w:tcPr>
            <w:tcW w:w="2268" w:type="dxa"/>
            <w:tcMar>
              <w:top w:w="29" w:type="dxa"/>
              <w:left w:w="115" w:type="dxa"/>
              <w:bottom w:w="29" w:type="dxa"/>
              <w:right w:w="115" w:type="dxa"/>
            </w:tcMar>
          </w:tcPr>
          <w:p w14:paraId="15313BF2" w14:textId="180836A2" w:rsidR="006B57A8" w:rsidRPr="00467E47" w:rsidRDefault="006B57A8" w:rsidP="00467E47">
            <w:pPr>
              <w:spacing w:before="120" w:after="120" w:line="240" w:lineRule="auto"/>
              <w:rPr>
                <w:rFonts w:ascii="Times New Roman" w:hAnsi="Times New Roman"/>
              </w:rPr>
            </w:pPr>
            <w:hyperlink r:id="rId18" w:history="1">
              <w:proofErr w:type="spellStart"/>
              <w:r w:rsidRPr="00467E47">
                <w:rPr>
                  <w:rStyle w:val="Hyperlink"/>
                  <w:rFonts w:ascii="Times New Roman" w:eastAsia="Times New Roman" w:hAnsi="Times New Roman"/>
                </w:rPr>
                <w:t>Capital</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t>Carrefour</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la</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famille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Saadé</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entre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dans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la</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course</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78B1A239" w14:textId="77777777" w:rsidR="00B22CA8" w:rsidRPr="00467E47" w:rsidRDefault="00B22CA8" w:rsidP="00467E47">
            <w:pPr>
              <w:spacing w:before="120" w:after="120" w:line="240" w:lineRule="auto"/>
              <w:jc w:val="center"/>
              <w:rPr>
                <w:rFonts w:ascii="Times New Roman" w:hAnsi="Times New Roman"/>
              </w:rPr>
            </w:pPr>
          </w:p>
          <w:p w14:paraId="1CD5826A" w14:textId="51A94EF4" w:rsidR="006B57A8" w:rsidRPr="00467E47" w:rsidRDefault="00B22CA8" w:rsidP="00467E47">
            <w:pPr>
              <w:spacing w:before="120" w:after="120" w:line="240" w:lineRule="auto"/>
              <w:jc w:val="center"/>
              <w:rPr>
                <w:rFonts w:ascii="Times New Roman" w:hAnsi="Times New Roman"/>
              </w:rPr>
            </w:pPr>
            <w:r w:rsidRPr="00467E47">
              <w:rPr>
                <w:rFonts w:ascii="Times New Roman" w:hAnsi="Times New Roman"/>
              </w:rPr>
              <w:t>l</w:t>
            </w:r>
            <w:r w:rsidR="006B57A8" w:rsidRPr="00467E47">
              <w:rPr>
                <w:rFonts w:ascii="Times New Roman" w:hAnsi="Times New Roman"/>
              </w:rPr>
              <w:t>ogistikos milžinės savininkai investuoja į prekybos tinklą „</w:t>
            </w:r>
            <w:proofErr w:type="spellStart"/>
            <w:r w:rsidR="006B57A8" w:rsidRPr="00467E47">
              <w:rPr>
                <w:rFonts w:ascii="Times New Roman" w:hAnsi="Times New Roman"/>
              </w:rPr>
              <w:t>Carrefour</w:t>
            </w:r>
            <w:proofErr w:type="spellEnd"/>
            <w:r w:rsidR="006B57A8" w:rsidRPr="00467E47">
              <w:rPr>
                <w:rFonts w:ascii="Times New Roman" w:hAnsi="Times New Roman"/>
              </w:rPr>
              <w:t>“</w:t>
            </w:r>
          </w:p>
        </w:tc>
      </w:tr>
      <w:tr w:rsidR="006B57A8" w:rsidRPr="00467E47" w14:paraId="2D5574A1" w14:textId="77777777" w:rsidTr="00B869D6">
        <w:trPr>
          <w:gridAfter w:val="1"/>
          <w:wAfter w:w="11" w:type="dxa"/>
          <w:trHeight w:val="216"/>
        </w:trPr>
        <w:tc>
          <w:tcPr>
            <w:tcW w:w="1418" w:type="dxa"/>
            <w:tcMar>
              <w:top w:w="29" w:type="dxa"/>
              <w:left w:w="115" w:type="dxa"/>
              <w:bottom w:w="29" w:type="dxa"/>
              <w:right w:w="115" w:type="dxa"/>
            </w:tcMar>
          </w:tcPr>
          <w:p w14:paraId="5A568042" w14:textId="451FE1F8" w:rsidR="006B57A8" w:rsidRPr="00467E47" w:rsidRDefault="006B57A8" w:rsidP="00467E47">
            <w:pPr>
              <w:spacing w:before="120" w:after="120" w:line="240" w:lineRule="auto"/>
              <w:rPr>
                <w:rFonts w:ascii="Times New Roman" w:eastAsia="Times New Roman" w:hAnsi="Times New Roman"/>
              </w:rPr>
            </w:pPr>
            <w:r w:rsidRPr="00467E47">
              <w:rPr>
                <w:rFonts w:ascii="Times New Roman" w:eastAsia="Times New Roman" w:hAnsi="Times New Roman"/>
                <w:lang w:val="en-US"/>
              </w:rPr>
              <w:t>2025</w:t>
            </w:r>
            <w:r w:rsidR="00B22CA8" w:rsidRPr="00467E47">
              <w:rPr>
                <w:rFonts w:ascii="Times New Roman" w:eastAsia="Times New Roman" w:hAnsi="Times New Roman"/>
                <w:lang w:val="en-US"/>
              </w:rPr>
              <w:t xml:space="preserve"> 11 17</w:t>
            </w:r>
          </w:p>
        </w:tc>
        <w:tc>
          <w:tcPr>
            <w:tcW w:w="5812" w:type="dxa"/>
            <w:tcMar>
              <w:top w:w="29" w:type="dxa"/>
              <w:left w:w="115" w:type="dxa"/>
              <w:bottom w:w="29" w:type="dxa"/>
              <w:right w:w="115" w:type="dxa"/>
            </w:tcMar>
          </w:tcPr>
          <w:p w14:paraId="1370CDEF" w14:textId="77777777" w:rsidR="006B57A8" w:rsidRPr="00467E47" w:rsidRDefault="006B57A8"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Danielis </w:t>
            </w:r>
            <w:proofErr w:type="spellStart"/>
            <w:r w:rsidRPr="00467E47">
              <w:rPr>
                <w:rFonts w:ascii="Times New Roman" w:eastAsia="Times New Roman" w:hAnsi="Times New Roman"/>
              </w:rPr>
              <w:t>Křetinskis</w:t>
            </w:r>
            <w:proofErr w:type="spellEnd"/>
            <w:r w:rsidRPr="00467E47">
              <w:rPr>
                <w:rFonts w:ascii="Times New Roman" w:eastAsia="Times New Roman" w:hAnsi="Times New Roman"/>
              </w:rPr>
              <w:t xml:space="preserve"> (pagrindinis „</w:t>
            </w:r>
            <w:proofErr w:type="spellStart"/>
            <w:r w:rsidRPr="00467E47">
              <w:rPr>
                <w:rFonts w:ascii="Times New Roman" w:eastAsia="Times New Roman" w:hAnsi="Times New Roman"/>
              </w:rPr>
              <w:t>Libération</w:t>
            </w:r>
            <w:proofErr w:type="spellEnd"/>
            <w:r w:rsidRPr="00467E47">
              <w:rPr>
                <w:rFonts w:ascii="Times New Roman" w:eastAsia="Times New Roman" w:hAnsi="Times New Roman"/>
              </w:rPr>
              <w:t>“ kreditorius) ir „</w:t>
            </w:r>
            <w:proofErr w:type="spellStart"/>
            <w:r w:rsidRPr="00467E47">
              <w:rPr>
                <w:rFonts w:ascii="Times New Roman" w:eastAsia="Times New Roman" w:hAnsi="Times New Roman"/>
              </w:rPr>
              <w:t>TotalEnergies</w:t>
            </w:r>
            <w:proofErr w:type="spellEnd"/>
            <w:r w:rsidRPr="00467E47">
              <w:rPr>
                <w:rFonts w:ascii="Times New Roman" w:eastAsia="Times New Roman" w:hAnsi="Times New Roman"/>
              </w:rPr>
              <w:t>“ kartu atliko įspūdingą ėjimą Europos elektros gamybos rinkoje. Čekijos milijardieriui priklausantis energetikos koncernas EPH (55 % akcijų) ir Prancūzijos naftos bei dujų milžinė šį pirmadienį, lapkričio 17 d., paskelbė pasirašę susitarimą, pagal kurį EPH perduos „</w:t>
            </w:r>
            <w:proofErr w:type="spellStart"/>
            <w:r w:rsidRPr="00467E47">
              <w:rPr>
                <w:rFonts w:ascii="Times New Roman" w:eastAsia="Times New Roman" w:hAnsi="Times New Roman"/>
              </w:rPr>
              <w:t>TotalEnergies</w:t>
            </w:r>
            <w:proofErr w:type="spellEnd"/>
            <w:r w:rsidRPr="00467E47">
              <w:rPr>
                <w:rFonts w:ascii="Times New Roman" w:eastAsia="Times New Roman" w:hAnsi="Times New Roman"/>
              </w:rPr>
              <w:t>“ savo dujų ir biomasės elektrines Vakarų Europoje.</w:t>
            </w:r>
          </w:p>
          <w:p w14:paraId="43833C51" w14:textId="744FFDAF" w:rsidR="006B57A8" w:rsidRPr="00467E47" w:rsidRDefault="006B57A8" w:rsidP="00467E47">
            <w:pPr>
              <w:spacing w:before="120" w:after="120" w:line="240" w:lineRule="auto"/>
              <w:rPr>
                <w:rFonts w:ascii="Times New Roman" w:eastAsia="Times New Roman" w:hAnsi="Times New Roman"/>
              </w:rPr>
            </w:pPr>
            <w:r w:rsidRPr="00467E47">
              <w:rPr>
                <w:rFonts w:ascii="Times New Roman" w:eastAsia="Times New Roman" w:hAnsi="Times New Roman"/>
              </w:rPr>
              <w:t>Abi šalys įkurs bendrą įmonę, kuriai priklausys ši elektros gamybos platforma, apimanti dvidešimt penkias vadinamąsias „</w:t>
            </w:r>
            <w:proofErr w:type="spellStart"/>
            <w:r w:rsidRPr="00467E47">
              <w:rPr>
                <w:rFonts w:ascii="Times New Roman" w:eastAsia="Times New Roman" w:hAnsi="Times New Roman"/>
              </w:rPr>
              <w:t>gas</w:t>
            </w:r>
            <w:proofErr w:type="spellEnd"/>
            <w:r w:rsidRPr="00467E47">
              <w:rPr>
                <w:rFonts w:ascii="Times New Roman" w:eastAsia="Times New Roman" w:hAnsi="Times New Roman"/>
              </w:rPr>
              <w:t>-to-</w:t>
            </w:r>
            <w:proofErr w:type="spellStart"/>
            <w:r w:rsidRPr="00467E47">
              <w:rPr>
                <w:rFonts w:ascii="Times New Roman" w:eastAsia="Times New Roman" w:hAnsi="Times New Roman"/>
              </w:rPr>
              <w:t>power</w:t>
            </w:r>
            <w:proofErr w:type="spellEnd"/>
            <w:r w:rsidRPr="00467E47">
              <w:rPr>
                <w:rFonts w:ascii="Times New Roman" w:eastAsia="Times New Roman" w:hAnsi="Times New Roman"/>
              </w:rPr>
              <w:t xml:space="preserve">“ elektrines (taip pat kaupimo baterijas Italijoje, Jungtinėje Karalystėje, Airijoje, Nyderlanduose ir Prancūzijoje). Viso komplekso lankstaus generavimo pajėgumas siekia 14 GW, tiek veikiančių, tiek statomų įrenginių. Tai prilygsta keturiolikai branduolinių reaktorių ir sudaro apie 15 </w:t>
            </w:r>
            <w:proofErr w:type="spellStart"/>
            <w:r w:rsidRPr="00467E47">
              <w:rPr>
                <w:rFonts w:ascii="Times New Roman" w:eastAsia="Times New Roman" w:hAnsi="Times New Roman"/>
              </w:rPr>
              <w:t>TWh</w:t>
            </w:r>
            <w:proofErr w:type="spellEnd"/>
            <w:r w:rsidRPr="00467E47">
              <w:rPr>
                <w:rFonts w:ascii="Times New Roman" w:eastAsia="Times New Roman" w:hAnsi="Times New Roman"/>
              </w:rPr>
              <w:t xml:space="preserve"> metinės grynosios elektros gamybos.</w:t>
            </w:r>
          </w:p>
        </w:tc>
        <w:tc>
          <w:tcPr>
            <w:tcW w:w="2268" w:type="dxa"/>
            <w:tcMar>
              <w:top w:w="29" w:type="dxa"/>
              <w:left w:w="115" w:type="dxa"/>
              <w:bottom w:w="29" w:type="dxa"/>
              <w:right w:w="115" w:type="dxa"/>
            </w:tcMar>
          </w:tcPr>
          <w:p w14:paraId="1CADCF30" w14:textId="2DC9FE2E" w:rsidR="006B57A8" w:rsidRPr="00467E47" w:rsidRDefault="006B57A8" w:rsidP="00467E47">
            <w:pPr>
              <w:spacing w:before="120" w:after="120" w:line="240" w:lineRule="auto"/>
              <w:rPr>
                <w:rFonts w:ascii="Times New Roman" w:hAnsi="Times New Roman"/>
              </w:rPr>
            </w:pPr>
            <w:hyperlink r:id="rId19" w:history="1">
              <w:proofErr w:type="spellStart"/>
              <w:r w:rsidRPr="00467E47">
                <w:rPr>
                  <w:rStyle w:val="Hyperlink"/>
                  <w:rFonts w:ascii="Times New Roman" w:eastAsia="Times New Roman" w:hAnsi="Times New Roman"/>
                </w:rPr>
                <w:t>TotalEnergies</w:t>
              </w:r>
              <w:proofErr w:type="spellEnd"/>
              <w:r w:rsidRPr="00467E47">
                <w:rPr>
                  <w:rStyle w:val="Hyperlink"/>
                  <w:rFonts w:ascii="Times New Roman" w:eastAsia="Times New Roman" w:hAnsi="Times New Roman"/>
                </w:rPr>
                <w:t xml:space="preserve"> et </w:t>
              </w:r>
              <w:proofErr w:type="spellStart"/>
              <w:r w:rsidRPr="00467E47">
                <w:rPr>
                  <w:rStyle w:val="Hyperlink"/>
                  <w:rFonts w:ascii="Times New Roman" w:eastAsia="Times New Roman" w:hAnsi="Times New Roman"/>
                </w:rPr>
                <w:t>Daniel</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Kretinsky</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nouent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une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alliance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pour</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produire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davantage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d’électricité</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52F21D28" w14:textId="02ED0D30" w:rsidR="006B57A8" w:rsidRPr="00467E47" w:rsidRDefault="006B57A8" w:rsidP="00467E47">
            <w:pPr>
              <w:spacing w:before="120" w:after="120" w:line="240" w:lineRule="auto"/>
              <w:jc w:val="center"/>
              <w:rPr>
                <w:rFonts w:ascii="Times New Roman" w:hAnsi="Times New Roman"/>
              </w:rPr>
            </w:pPr>
            <w:r w:rsidRPr="00467E47">
              <w:rPr>
                <w:rFonts w:ascii="Times New Roman" w:hAnsi="Times New Roman"/>
              </w:rPr>
              <w:t>Naujas elektros gamybos milžinas Europoje: „</w:t>
            </w:r>
            <w:proofErr w:type="spellStart"/>
            <w:r w:rsidRPr="00467E47">
              <w:rPr>
                <w:rFonts w:ascii="Times New Roman" w:hAnsi="Times New Roman"/>
              </w:rPr>
              <w:t>TotalEnergies</w:t>
            </w:r>
            <w:proofErr w:type="spellEnd"/>
            <w:r w:rsidRPr="00467E47">
              <w:rPr>
                <w:rFonts w:ascii="Times New Roman" w:hAnsi="Times New Roman"/>
              </w:rPr>
              <w:t>“ ir EPH bendra įmonė</w:t>
            </w:r>
          </w:p>
        </w:tc>
      </w:tr>
      <w:tr w:rsidR="003A2D44" w:rsidRPr="00467E47" w14:paraId="006D92F6" w14:textId="77777777" w:rsidTr="00B869D6">
        <w:trPr>
          <w:gridAfter w:val="1"/>
          <w:wAfter w:w="11" w:type="dxa"/>
          <w:trHeight w:val="216"/>
        </w:trPr>
        <w:tc>
          <w:tcPr>
            <w:tcW w:w="1418" w:type="dxa"/>
            <w:tcMar>
              <w:top w:w="29" w:type="dxa"/>
              <w:left w:w="115" w:type="dxa"/>
              <w:bottom w:w="29" w:type="dxa"/>
              <w:right w:w="115" w:type="dxa"/>
            </w:tcMar>
          </w:tcPr>
          <w:p w14:paraId="6C9A6CBB" w14:textId="2C5ABBE2" w:rsidR="003A2D44" w:rsidRPr="00467E47" w:rsidRDefault="003A2D44" w:rsidP="00467E47">
            <w:pPr>
              <w:spacing w:before="120" w:after="120" w:line="240" w:lineRule="auto"/>
              <w:rPr>
                <w:rFonts w:ascii="Times New Roman" w:eastAsia="Times New Roman" w:hAnsi="Times New Roman"/>
              </w:rPr>
            </w:pPr>
            <w:r w:rsidRPr="00467E47">
              <w:rPr>
                <w:rFonts w:ascii="Times New Roman" w:eastAsia="Times New Roman" w:hAnsi="Times New Roman"/>
              </w:rPr>
              <w:t>2025 11 17</w:t>
            </w:r>
          </w:p>
        </w:tc>
        <w:tc>
          <w:tcPr>
            <w:tcW w:w="5812" w:type="dxa"/>
            <w:tcMar>
              <w:top w:w="29" w:type="dxa"/>
              <w:left w:w="115" w:type="dxa"/>
              <w:bottom w:w="29" w:type="dxa"/>
              <w:right w:w="115" w:type="dxa"/>
            </w:tcMar>
          </w:tcPr>
          <w:p w14:paraId="180CDB4D" w14:textId="25ECF06B" w:rsidR="00295B25" w:rsidRPr="00467E47" w:rsidRDefault="00757C2A" w:rsidP="00467E47">
            <w:pPr>
              <w:spacing w:before="120" w:after="120" w:line="240" w:lineRule="auto"/>
              <w:rPr>
                <w:rFonts w:ascii="Times New Roman" w:eastAsia="Times New Roman" w:hAnsi="Times New Roman"/>
              </w:rPr>
            </w:pPr>
            <w:r w:rsidRPr="00467E47">
              <w:rPr>
                <w:rFonts w:ascii="Times New Roman" w:eastAsia="Times New Roman" w:hAnsi="Times New Roman"/>
              </w:rPr>
              <w:t>Prancūzijos vyriausybė „</w:t>
            </w:r>
            <w:proofErr w:type="spellStart"/>
            <w:r w:rsidRPr="00467E47">
              <w:rPr>
                <w:rFonts w:ascii="Times New Roman" w:eastAsia="Times New Roman" w:hAnsi="Times New Roman"/>
              </w:rPr>
              <w:t>Choose</w:t>
            </w:r>
            <w:proofErr w:type="spellEnd"/>
            <w:r w:rsidRPr="00467E47">
              <w:rPr>
                <w:rFonts w:ascii="Times New Roman" w:eastAsia="Times New Roman" w:hAnsi="Times New Roman"/>
              </w:rPr>
              <w:t xml:space="preserve"> France“ renginio su vietos verslu </w:t>
            </w:r>
            <w:r w:rsidR="00295B25" w:rsidRPr="00467E47">
              <w:rPr>
                <w:rFonts w:ascii="Times New Roman" w:eastAsia="Times New Roman" w:hAnsi="Times New Roman"/>
              </w:rPr>
              <w:t xml:space="preserve">metu </w:t>
            </w:r>
            <w:r w:rsidRPr="00467E47">
              <w:rPr>
                <w:rFonts w:ascii="Times New Roman" w:eastAsia="Times New Roman" w:hAnsi="Times New Roman"/>
              </w:rPr>
              <w:t xml:space="preserve">paskelbė apie 30,4 mlrd. eurų investicijas į 151 projektą šalies teritorijoje, siekdama skatinti pramonės atsigavimą. Tačiau šiuos planus temdo politinis nestabilumas (nuo 2024 m. pasikeitė keturi </w:t>
            </w:r>
            <w:r w:rsidR="00295B25" w:rsidRPr="00467E47">
              <w:rPr>
                <w:rFonts w:ascii="Times New Roman" w:eastAsia="Times New Roman" w:hAnsi="Times New Roman"/>
              </w:rPr>
              <w:t>M</w:t>
            </w:r>
            <w:r w:rsidRPr="00467E47">
              <w:rPr>
                <w:rFonts w:ascii="Times New Roman" w:eastAsia="Times New Roman" w:hAnsi="Times New Roman"/>
              </w:rPr>
              <w:t>inistrai pirmininkai), stringantys teisės aktai ir silpstanti investuotojų pasitikėjimo aplinka. Užsienio investicijos 2024 m. sumažėjo 7 %, o Prancūzijos patrauklumas pasauliniame reitinge smuktelėjo į 7 vietą pasaulyje. Verslas nerimauja ir dėl mokesčių politikos bei svarbių reformų (ypač pensijų), kurios laikomos esminiu stabilumo signalų rinkoms elementu.</w:t>
            </w:r>
            <w:r w:rsidR="00295B25" w:rsidRPr="00467E47">
              <w:rPr>
                <w:rFonts w:ascii="Times New Roman" w:eastAsia="Times New Roman" w:hAnsi="Times New Roman"/>
              </w:rPr>
              <w:t xml:space="preserve"> </w:t>
            </w:r>
          </w:p>
          <w:p w14:paraId="7B4A3A57" w14:textId="2CFE7754" w:rsidR="003A2D44" w:rsidRPr="00467E47" w:rsidRDefault="00757C2A"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Tuo pat metu pramonės padėtis sparčiai blogėja: 2025 m. pirmąjį pusmetį Prancūzijoje uždarytos 82 gamyklos, o atidarytos tik 44, pramoninių vietų skaičius toliau mažėja. Profesinės sąjungos fiksuoja šimtus </w:t>
            </w:r>
            <w:proofErr w:type="spellStart"/>
            <w:r w:rsidRPr="00467E47">
              <w:rPr>
                <w:rFonts w:ascii="Times New Roman" w:eastAsia="Times New Roman" w:hAnsi="Times New Roman"/>
              </w:rPr>
              <w:t>restruktūrizacijų</w:t>
            </w:r>
            <w:proofErr w:type="spellEnd"/>
            <w:r w:rsidRPr="00467E47">
              <w:rPr>
                <w:rFonts w:ascii="Times New Roman" w:eastAsia="Times New Roman" w:hAnsi="Times New Roman"/>
              </w:rPr>
              <w:t xml:space="preserve">, o </w:t>
            </w:r>
            <w:r w:rsidRPr="00467E47">
              <w:rPr>
                <w:rFonts w:ascii="Times New Roman" w:eastAsia="Times New Roman" w:hAnsi="Times New Roman"/>
              </w:rPr>
              <w:lastRenderedPageBreak/>
              <w:t xml:space="preserve">ilgalaikėje perspektyvoje gali būti prarasta daugiau nei 300 tūkst. darbo vietų. </w:t>
            </w:r>
            <w:r w:rsidR="00295B25" w:rsidRPr="00467E47">
              <w:rPr>
                <w:rFonts w:ascii="Times New Roman" w:eastAsia="Times New Roman" w:hAnsi="Times New Roman"/>
              </w:rPr>
              <w:t>Labiausiai situacija prastėja šiuose sektoriuose:</w:t>
            </w:r>
            <w:r w:rsidRPr="00467E47">
              <w:rPr>
                <w:rFonts w:ascii="Times New Roman" w:eastAsia="Times New Roman" w:hAnsi="Times New Roman"/>
              </w:rPr>
              <w:t xml:space="preserve"> automobilių pramonė</w:t>
            </w:r>
            <w:r w:rsidR="00295B25" w:rsidRPr="00467E47">
              <w:rPr>
                <w:rFonts w:ascii="Times New Roman" w:eastAsia="Times New Roman" w:hAnsi="Times New Roman"/>
              </w:rPr>
              <w:t>je</w:t>
            </w:r>
            <w:r w:rsidRPr="00467E47">
              <w:rPr>
                <w:rFonts w:ascii="Times New Roman" w:eastAsia="Times New Roman" w:hAnsi="Times New Roman"/>
              </w:rPr>
              <w:t>, metalurgij</w:t>
            </w:r>
            <w:r w:rsidR="00295B25" w:rsidRPr="00467E47">
              <w:rPr>
                <w:rFonts w:ascii="Times New Roman" w:eastAsia="Times New Roman" w:hAnsi="Times New Roman"/>
              </w:rPr>
              <w:t>oje</w:t>
            </w:r>
            <w:r w:rsidRPr="00467E47">
              <w:rPr>
                <w:rFonts w:ascii="Times New Roman" w:eastAsia="Times New Roman" w:hAnsi="Times New Roman"/>
              </w:rPr>
              <w:t>, chemij</w:t>
            </w:r>
            <w:r w:rsidR="00295B25" w:rsidRPr="00467E47">
              <w:rPr>
                <w:rFonts w:ascii="Times New Roman" w:eastAsia="Times New Roman" w:hAnsi="Times New Roman"/>
              </w:rPr>
              <w:t>oje</w:t>
            </w:r>
            <w:r w:rsidRPr="00467E47">
              <w:rPr>
                <w:rFonts w:ascii="Times New Roman" w:eastAsia="Times New Roman" w:hAnsi="Times New Roman"/>
              </w:rPr>
              <w:t xml:space="preserve">, kuriuos papildomai veikia Kinijos konkurencija, aukštos energijos kainos ir JAV prekybos politika. Nors Prancūzijos valdžia siekia stiprinti „pagaminta Europoje“ politiką, visuomenės ir inžinierių pasitikėjimas </w:t>
            </w:r>
            <w:proofErr w:type="spellStart"/>
            <w:r w:rsidRPr="00467E47">
              <w:rPr>
                <w:rFonts w:ascii="Times New Roman" w:eastAsia="Times New Roman" w:hAnsi="Times New Roman"/>
              </w:rPr>
              <w:t>reindustrializacija</w:t>
            </w:r>
            <w:proofErr w:type="spellEnd"/>
            <w:r w:rsidRPr="00467E47">
              <w:rPr>
                <w:rFonts w:ascii="Times New Roman" w:eastAsia="Times New Roman" w:hAnsi="Times New Roman"/>
              </w:rPr>
              <w:t xml:space="preserve"> pasiekė žemiausią lygį per 15 metų.</w:t>
            </w:r>
          </w:p>
        </w:tc>
        <w:tc>
          <w:tcPr>
            <w:tcW w:w="2268" w:type="dxa"/>
            <w:tcMar>
              <w:top w:w="29" w:type="dxa"/>
              <w:left w:w="115" w:type="dxa"/>
              <w:bottom w:w="29" w:type="dxa"/>
              <w:right w:w="115" w:type="dxa"/>
            </w:tcMar>
          </w:tcPr>
          <w:p w14:paraId="69AD17E9" w14:textId="2B3067DA" w:rsidR="003A2D44" w:rsidRPr="00467E47" w:rsidRDefault="003A2D44" w:rsidP="00467E47">
            <w:pPr>
              <w:spacing w:before="120" w:after="120" w:line="240" w:lineRule="auto"/>
              <w:rPr>
                <w:rFonts w:ascii="Times New Roman" w:hAnsi="Times New Roman"/>
              </w:rPr>
            </w:pPr>
            <w:hyperlink r:id="rId20" w:history="1">
              <w:proofErr w:type="spellStart"/>
              <w:r w:rsidRPr="00467E47">
                <w:rPr>
                  <w:rFonts w:ascii="Times New Roman" w:hAnsi="Times New Roman"/>
                  <w:color w:val="0000FF"/>
                  <w:u w:val="single"/>
                </w:rPr>
                <w:t>Sommet</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Choose</w:t>
              </w:r>
              <w:proofErr w:type="spellEnd"/>
              <w:r w:rsidRPr="00467E47">
                <w:rPr>
                  <w:rFonts w:ascii="Times New Roman" w:hAnsi="Times New Roman"/>
                  <w:color w:val="0000FF"/>
                  <w:u w:val="single"/>
                </w:rPr>
                <w:t xml:space="preserve"> France : </w:t>
              </w:r>
              <w:proofErr w:type="spellStart"/>
              <w:r w:rsidRPr="00467E47">
                <w:rPr>
                  <w:rFonts w:ascii="Times New Roman" w:hAnsi="Times New Roman"/>
                  <w:color w:val="0000FF"/>
                  <w:u w:val="single"/>
                </w:rPr>
                <w:t>la</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crainte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d’une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réindustrialisation</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avortée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malgré</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l’annonce</w:t>
              </w:r>
              <w:proofErr w:type="spellEnd"/>
              <w:r w:rsidRPr="00467E47">
                <w:rPr>
                  <w:rFonts w:ascii="Times New Roman" w:hAnsi="Times New Roman"/>
                  <w:color w:val="0000FF"/>
                  <w:u w:val="single"/>
                </w:rPr>
                <w:t xml:space="preserve"> de 30 </w:t>
              </w:r>
              <w:proofErr w:type="spellStart"/>
              <w:r w:rsidRPr="00467E47">
                <w:rPr>
                  <w:rFonts w:ascii="Times New Roman" w:hAnsi="Times New Roman"/>
                  <w:color w:val="0000FF"/>
                  <w:u w:val="single"/>
                </w:rPr>
                <w:t>milliards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d’euros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d’investissements</w:t>
              </w:r>
              <w:proofErr w:type="spellEnd"/>
            </w:hyperlink>
          </w:p>
        </w:tc>
        <w:tc>
          <w:tcPr>
            <w:tcW w:w="1436" w:type="dxa"/>
            <w:tcMar>
              <w:top w:w="29" w:type="dxa"/>
              <w:left w:w="115" w:type="dxa"/>
              <w:bottom w:w="29" w:type="dxa"/>
              <w:right w:w="115" w:type="dxa"/>
            </w:tcMar>
          </w:tcPr>
          <w:p w14:paraId="307B2CAC" w14:textId="7B0CD009" w:rsidR="003A2D44" w:rsidRPr="00467E47" w:rsidRDefault="003A2D44" w:rsidP="00467E47">
            <w:pPr>
              <w:spacing w:before="120" w:after="120" w:line="240" w:lineRule="auto"/>
              <w:jc w:val="center"/>
              <w:rPr>
                <w:rFonts w:ascii="Times New Roman" w:hAnsi="Times New Roman"/>
              </w:rPr>
            </w:pPr>
            <w:r w:rsidRPr="00467E47">
              <w:rPr>
                <w:rFonts w:ascii="Times New Roman" w:hAnsi="Times New Roman"/>
              </w:rPr>
              <w:t xml:space="preserve">Pramonės investicijų skatinimo renginys </w:t>
            </w:r>
            <w:proofErr w:type="spellStart"/>
            <w:r w:rsidRPr="00467E47">
              <w:rPr>
                <w:rFonts w:ascii="Times New Roman" w:hAnsi="Times New Roman"/>
              </w:rPr>
              <w:t>Choose</w:t>
            </w:r>
            <w:proofErr w:type="spellEnd"/>
            <w:r w:rsidRPr="00467E47">
              <w:rPr>
                <w:rFonts w:ascii="Times New Roman" w:hAnsi="Times New Roman"/>
              </w:rPr>
              <w:t xml:space="preserve"> France</w:t>
            </w:r>
          </w:p>
        </w:tc>
      </w:tr>
      <w:tr w:rsidR="00EC1EFA" w:rsidRPr="00467E47" w14:paraId="4B5FA96F" w14:textId="77777777" w:rsidTr="00B869D6">
        <w:trPr>
          <w:gridAfter w:val="1"/>
          <w:wAfter w:w="11" w:type="dxa"/>
          <w:trHeight w:val="216"/>
        </w:trPr>
        <w:tc>
          <w:tcPr>
            <w:tcW w:w="1418" w:type="dxa"/>
            <w:tcMar>
              <w:top w:w="29" w:type="dxa"/>
              <w:left w:w="115" w:type="dxa"/>
              <w:bottom w:w="29" w:type="dxa"/>
              <w:right w:w="115" w:type="dxa"/>
            </w:tcMar>
          </w:tcPr>
          <w:p w14:paraId="000EBADF" w14:textId="7BFDEC93" w:rsidR="00EC1EFA" w:rsidRPr="00467E47" w:rsidRDefault="00EC1EFA" w:rsidP="00467E47">
            <w:pPr>
              <w:spacing w:before="120" w:after="120" w:line="240" w:lineRule="auto"/>
              <w:rPr>
                <w:rFonts w:ascii="Times New Roman" w:eastAsia="Times New Roman" w:hAnsi="Times New Roman"/>
              </w:rPr>
            </w:pPr>
            <w:r w:rsidRPr="00467E47">
              <w:rPr>
                <w:rFonts w:ascii="Times New Roman" w:eastAsia="Times New Roman" w:hAnsi="Times New Roman"/>
              </w:rPr>
              <w:t>2025</w:t>
            </w:r>
            <w:r w:rsidR="00B22CA8" w:rsidRPr="00467E47">
              <w:rPr>
                <w:rFonts w:ascii="Times New Roman" w:eastAsia="Times New Roman" w:hAnsi="Times New Roman"/>
              </w:rPr>
              <w:t xml:space="preserve"> 11 25</w:t>
            </w:r>
          </w:p>
        </w:tc>
        <w:tc>
          <w:tcPr>
            <w:tcW w:w="5812" w:type="dxa"/>
            <w:tcMar>
              <w:top w:w="29" w:type="dxa"/>
              <w:left w:w="115" w:type="dxa"/>
              <w:bottom w:w="29" w:type="dxa"/>
              <w:right w:w="115" w:type="dxa"/>
            </w:tcMar>
          </w:tcPr>
          <w:p w14:paraId="04D7E139" w14:textId="327F3AFC" w:rsidR="00EC1EFA" w:rsidRPr="00467E47" w:rsidRDefault="00B22CA8"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Premjeras </w:t>
            </w:r>
            <w:proofErr w:type="spellStart"/>
            <w:r w:rsidR="00EC1EFA" w:rsidRPr="00467E47">
              <w:rPr>
                <w:rFonts w:ascii="Times New Roman" w:eastAsia="Times New Roman" w:hAnsi="Times New Roman"/>
              </w:rPr>
              <w:t>Sébastien</w:t>
            </w:r>
            <w:proofErr w:type="spellEnd"/>
            <w:r w:rsidR="00EC1EFA" w:rsidRPr="00467E47">
              <w:rPr>
                <w:rFonts w:ascii="Times New Roman" w:eastAsia="Times New Roman" w:hAnsi="Times New Roman"/>
              </w:rPr>
              <w:t xml:space="preserve"> </w:t>
            </w:r>
            <w:proofErr w:type="spellStart"/>
            <w:r w:rsidR="00EC1EFA" w:rsidRPr="00467E47">
              <w:rPr>
                <w:rFonts w:ascii="Times New Roman" w:eastAsia="Times New Roman" w:hAnsi="Times New Roman"/>
              </w:rPr>
              <w:t>Lecornu</w:t>
            </w:r>
            <w:proofErr w:type="spellEnd"/>
            <w:r w:rsidR="00EC1EFA" w:rsidRPr="00467E47">
              <w:rPr>
                <w:rFonts w:ascii="Times New Roman" w:eastAsia="Times New Roman" w:hAnsi="Times New Roman"/>
              </w:rPr>
              <w:t xml:space="preserve"> paprašė </w:t>
            </w:r>
            <w:r w:rsidRPr="00467E47">
              <w:rPr>
                <w:rFonts w:ascii="Times New Roman" w:eastAsia="Times New Roman" w:hAnsi="Times New Roman"/>
              </w:rPr>
              <w:t>E</w:t>
            </w:r>
            <w:r w:rsidR="00EC1EFA" w:rsidRPr="00467E47">
              <w:rPr>
                <w:rFonts w:ascii="Times New Roman" w:eastAsia="Times New Roman" w:hAnsi="Times New Roman"/>
              </w:rPr>
              <w:t xml:space="preserve">konomikos ir energetikos ministro Rolando </w:t>
            </w:r>
            <w:proofErr w:type="spellStart"/>
            <w:r w:rsidR="00EC1EFA" w:rsidRPr="00467E47">
              <w:rPr>
                <w:rFonts w:ascii="Times New Roman" w:eastAsia="Times New Roman" w:hAnsi="Times New Roman"/>
              </w:rPr>
              <w:t>Lescure</w:t>
            </w:r>
            <w:proofErr w:type="spellEnd"/>
            <w:r w:rsidR="00EC1EFA" w:rsidRPr="00467E47">
              <w:rPr>
                <w:rFonts w:ascii="Times New Roman" w:eastAsia="Times New Roman" w:hAnsi="Times New Roman"/>
              </w:rPr>
              <w:t xml:space="preserve"> parengti elektros kainų sumažinimo prancūzams scenarijus“, – AFP pranešė ministro pirmininko aplinka, patikslindama, kad šis siekis įtrauktas į „didį ekologinį elektros ir energijos </w:t>
            </w:r>
            <w:proofErr w:type="spellStart"/>
            <w:r w:rsidR="00EC1EFA" w:rsidRPr="00467E47">
              <w:rPr>
                <w:rFonts w:ascii="Times New Roman" w:eastAsia="Times New Roman" w:hAnsi="Times New Roman"/>
              </w:rPr>
              <w:t>dekarbonizacijos</w:t>
            </w:r>
            <w:proofErr w:type="spellEnd"/>
            <w:r w:rsidR="00EC1EFA" w:rsidRPr="00467E47">
              <w:rPr>
                <w:rFonts w:ascii="Times New Roman" w:eastAsia="Times New Roman" w:hAnsi="Times New Roman"/>
              </w:rPr>
              <w:t xml:space="preserve"> planą“.</w:t>
            </w:r>
          </w:p>
          <w:p w14:paraId="5023AE9D" w14:textId="3934AE47" w:rsidR="00EC1EFA" w:rsidRPr="00467E47" w:rsidRDefault="00B22CA8" w:rsidP="00467E47">
            <w:pPr>
              <w:spacing w:before="120" w:after="120" w:line="240" w:lineRule="auto"/>
              <w:rPr>
                <w:rFonts w:ascii="Times New Roman" w:eastAsia="Times New Roman" w:hAnsi="Times New Roman"/>
              </w:rPr>
            </w:pPr>
            <w:r w:rsidRPr="00467E47">
              <w:rPr>
                <w:rFonts w:ascii="Times New Roman" w:eastAsia="Times New Roman" w:hAnsi="Times New Roman"/>
              </w:rPr>
              <w:t>R</w:t>
            </w:r>
            <w:r w:rsidR="00EC1EFA" w:rsidRPr="00467E47">
              <w:rPr>
                <w:rFonts w:ascii="Times New Roman" w:eastAsia="Times New Roman" w:hAnsi="Times New Roman"/>
              </w:rPr>
              <w:t xml:space="preserve">eikšmingas elektros kainų sumažėjimas būtų ne tik gera žinia perkamajai galiai ir „energijos </w:t>
            </w:r>
            <w:proofErr w:type="spellStart"/>
            <w:r w:rsidR="00EC1EFA" w:rsidRPr="00467E47">
              <w:rPr>
                <w:rFonts w:ascii="Times New Roman" w:eastAsia="Times New Roman" w:hAnsi="Times New Roman"/>
              </w:rPr>
              <w:t>dekarbonizacijai</w:t>
            </w:r>
            <w:proofErr w:type="spellEnd"/>
            <w:r w:rsidR="00EC1EFA" w:rsidRPr="00467E47">
              <w:rPr>
                <w:rFonts w:ascii="Times New Roman" w:eastAsia="Times New Roman" w:hAnsi="Times New Roman"/>
              </w:rPr>
              <w:t xml:space="preserve">“, sektoriui, kuris Prancūzijoje jau dabar yra ekologiškesnis nei kitur. Šis sumažinimas, svarbiausia, būtų kainų signalas, paskatinantis pagaliau spartinti būtino energijos vartojimo elektrifikavimo procesą – sąlygą, be kurios neįmanoma reali ir veiksminga visos ekonomikos </w:t>
            </w:r>
            <w:proofErr w:type="spellStart"/>
            <w:r w:rsidR="00EC1EFA" w:rsidRPr="00467E47">
              <w:rPr>
                <w:rFonts w:ascii="Times New Roman" w:eastAsia="Times New Roman" w:hAnsi="Times New Roman"/>
              </w:rPr>
              <w:t>dekarbonizacija</w:t>
            </w:r>
            <w:proofErr w:type="spellEnd"/>
            <w:r w:rsidR="00EC1EFA" w:rsidRPr="00467E47">
              <w:rPr>
                <w:rFonts w:ascii="Times New Roman" w:eastAsia="Times New Roman" w:hAnsi="Times New Roman"/>
              </w:rPr>
              <w:t>.</w:t>
            </w:r>
          </w:p>
        </w:tc>
        <w:tc>
          <w:tcPr>
            <w:tcW w:w="2268" w:type="dxa"/>
            <w:tcMar>
              <w:top w:w="29" w:type="dxa"/>
              <w:left w:w="115" w:type="dxa"/>
              <w:bottom w:w="29" w:type="dxa"/>
              <w:right w:w="115" w:type="dxa"/>
            </w:tcMar>
          </w:tcPr>
          <w:p w14:paraId="03EEA052" w14:textId="28DAF1E2" w:rsidR="00EC1EFA" w:rsidRPr="00467E47" w:rsidRDefault="00EC1EFA" w:rsidP="00467E47">
            <w:pPr>
              <w:spacing w:before="120" w:after="120" w:line="240" w:lineRule="auto"/>
              <w:rPr>
                <w:rFonts w:ascii="Times New Roman" w:eastAsia="Times New Roman" w:hAnsi="Times New Roman"/>
              </w:rPr>
            </w:pPr>
            <w:hyperlink r:id="rId21" w:history="1">
              <w:proofErr w:type="spellStart"/>
              <w:r w:rsidRPr="00467E47">
                <w:rPr>
                  <w:rStyle w:val="Hyperlink"/>
                  <w:rFonts w:ascii="Times New Roman" w:eastAsia="Times New Roman" w:hAnsi="Times New Roman"/>
                </w:rPr>
                <w:t>Baisse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des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prix</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t>l’électricité</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gouvernement</w:t>
              </w:r>
              <w:proofErr w:type="spellEnd"/>
              <w:r w:rsidRPr="00467E47">
                <w:rPr>
                  <w:rStyle w:val="Hyperlink"/>
                  <w:rFonts w:ascii="Times New Roman" w:eastAsia="Times New Roman" w:hAnsi="Times New Roman"/>
                </w:rPr>
                <w:t xml:space="preserve"> a </w:t>
              </w:r>
              <w:proofErr w:type="spellStart"/>
              <w:r w:rsidRPr="00467E47">
                <w:rPr>
                  <w:rStyle w:val="Hyperlink"/>
                  <w:rFonts w:ascii="Times New Roman" w:eastAsia="Times New Roman" w:hAnsi="Times New Roman"/>
                </w:rPr>
                <w:t>enfin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une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chance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d’être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ambitieux</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74891E63" w14:textId="4A2A91B7" w:rsidR="00EC1EFA" w:rsidRPr="00467E47" w:rsidRDefault="00FF2840" w:rsidP="00467E47">
            <w:pPr>
              <w:spacing w:before="120" w:after="120" w:line="240" w:lineRule="auto"/>
              <w:jc w:val="center"/>
              <w:rPr>
                <w:rFonts w:ascii="Times New Roman" w:hAnsi="Times New Roman"/>
              </w:rPr>
            </w:pPr>
            <w:r w:rsidRPr="00467E47">
              <w:rPr>
                <w:rFonts w:ascii="Times New Roman" w:eastAsia="Times New Roman" w:hAnsi="Times New Roman"/>
              </w:rPr>
              <w:t>Vyriausybė rengia elektros kainų mažinimo planą</w:t>
            </w:r>
          </w:p>
        </w:tc>
      </w:tr>
      <w:tr w:rsidR="00EC1EFA" w:rsidRPr="00467E47" w14:paraId="3C3F80D7" w14:textId="77777777" w:rsidTr="00090377">
        <w:trPr>
          <w:trHeight w:val="234"/>
        </w:trPr>
        <w:tc>
          <w:tcPr>
            <w:tcW w:w="10945" w:type="dxa"/>
            <w:gridSpan w:val="5"/>
            <w:tcMar>
              <w:top w:w="29" w:type="dxa"/>
              <w:left w:w="115" w:type="dxa"/>
              <w:bottom w:w="29" w:type="dxa"/>
              <w:right w:w="115" w:type="dxa"/>
            </w:tcMar>
          </w:tcPr>
          <w:p w14:paraId="2FF3EFB3" w14:textId="77777777" w:rsidR="00EC1EFA" w:rsidRPr="00467E47" w:rsidRDefault="00EC1EFA" w:rsidP="00467E47">
            <w:pPr>
              <w:spacing w:before="120" w:after="120" w:line="240" w:lineRule="auto"/>
              <w:rPr>
                <w:rFonts w:ascii="Times New Roman" w:eastAsia="Times New Roman" w:hAnsi="Times New Roman"/>
                <w:b/>
              </w:rPr>
            </w:pPr>
            <w:r w:rsidRPr="00467E47">
              <w:rPr>
                <w:rFonts w:ascii="Times New Roman" w:eastAsia="Times New Roman" w:hAnsi="Times New Roman"/>
                <w:b/>
              </w:rPr>
              <w:t>Lietuvos turizmo sektoriui aktuali informacija</w:t>
            </w:r>
          </w:p>
        </w:tc>
      </w:tr>
      <w:tr w:rsidR="00EC1EFA" w:rsidRPr="00467E47" w14:paraId="16AE9719" w14:textId="77777777" w:rsidTr="00B869D6">
        <w:trPr>
          <w:gridAfter w:val="1"/>
          <w:wAfter w:w="11" w:type="dxa"/>
          <w:trHeight w:val="216"/>
        </w:trPr>
        <w:tc>
          <w:tcPr>
            <w:tcW w:w="1418" w:type="dxa"/>
            <w:tcMar>
              <w:top w:w="29" w:type="dxa"/>
              <w:left w:w="115" w:type="dxa"/>
              <w:bottom w:w="29" w:type="dxa"/>
              <w:right w:w="115" w:type="dxa"/>
            </w:tcMar>
          </w:tcPr>
          <w:p w14:paraId="6B3E97A3" w14:textId="4C9A2880" w:rsidR="00EC1EFA" w:rsidRPr="00467E47" w:rsidRDefault="00F914C8" w:rsidP="00467E47">
            <w:pPr>
              <w:pBdr>
                <w:top w:val="nil"/>
                <w:left w:val="nil"/>
                <w:bottom w:val="nil"/>
                <w:right w:val="nil"/>
                <w:between w:val="nil"/>
              </w:pBd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2025 11 13</w:t>
            </w:r>
          </w:p>
        </w:tc>
        <w:tc>
          <w:tcPr>
            <w:tcW w:w="5812" w:type="dxa"/>
            <w:tcMar>
              <w:top w:w="29" w:type="dxa"/>
              <w:left w:w="115" w:type="dxa"/>
              <w:bottom w:w="29" w:type="dxa"/>
              <w:right w:w="115" w:type="dxa"/>
            </w:tcMar>
          </w:tcPr>
          <w:p w14:paraId="5B4C38C1" w14:textId="3C396C74" w:rsidR="00EC1EFA" w:rsidRPr="00467E47" w:rsidRDefault="00F914C8"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Nepaisant 2024 m. Prancūzijoje įsigaliojusio įstatymo, sustiprinusio savivaldybių teises riboti trumpalaikę (pvz., </w:t>
            </w:r>
            <w:proofErr w:type="spellStart"/>
            <w:r w:rsidRPr="00467E47">
              <w:rPr>
                <w:rFonts w:ascii="Times New Roman" w:eastAsia="Times New Roman" w:hAnsi="Times New Roman"/>
              </w:rPr>
              <w:t>Airbnb</w:t>
            </w:r>
            <w:proofErr w:type="spellEnd"/>
            <w:r w:rsidRPr="00467E47">
              <w:rPr>
                <w:rFonts w:ascii="Times New Roman" w:eastAsia="Times New Roman" w:hAnsi="Times New Roman"/>
              </w:rPr>
              <w:t>) nuomą, turistinės nuomos rinka toliau auga, o ilgalaikės nuomos pasiūla neatsigauna ir kai kur net mažėja. Griežtesnės būsto nuomos reguliavimo priemonės jau taikomos Paryžiuje ir Prancūzijos Baskų krašto pakrantės miestuose (</w:t>
            </w:r>
            <w:proofErr w:type="spellStart"/>
            <w:r w:rsidRPr="00467E47">
              <w:rPr>
                <w:rFonts w:ascii="Times New Roman" w:eastAsia="Times New Roman" w:hAnsi="Times New Roman"/>
              </w:rPr>
              <w:t>Biarritz</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Bayonne</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Saint</w:t>
            </w:r>
            <w:proofErr w:type="spellEnd"/>
            <w:r w:rsidRPr="00467E47">
              <w:rPr>
                <w:rFonts w:ascii="Times New Roman" w:eastAsia="Times New Roman" w:hAnsi="Times New Roman"/>
              </w:rPr>
              <w:t>-</w:t>
            </w:r>
            <w:proofErr w:type="spellStart"/>
            <w:r w:rsidRPr="00467E47">
              <w:rPr>
                <w:rFonts w:ascii="Times New Roman" w:eastAsia="Times New Roman" w:hAnsi="Times New Roman"/>
              </w:rPr>
              <w:t>Jean</w:t>
            </w:r>
            <w:proofErr w:type="spellEnd"/>
            <w:r w:rsidRPr="00467E47">
              <w:rPr>
                <w:rFonts w:ascii="Times New Roman" w:eastAsia="Times New Roman" w:hAnsi="Times New Roman"/>
              </w:rPr>
              <w:t>-de-</w:t>
            </w:r>
            <w:proofErr w:type="spellStart"/>
            <w:r w:rsidRPr="00467E47">
              <w:rPr>
                <w:rFonts w:ascii="Times New Roman" w:eastAsia="Times New Roman" w:hAnsi="Times New Roman"/>
              </w:rPr>
              <w:t>Luz</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Bidart</w:t>
            </w:r>
            <w:proofErr w:type="spellEnd"/>
            <w:r w:rsidRPr="00467E47">
              <w:rPr>
                <w:rFonts w:ascii="Times New Roman" w:eastAsia="Times New Roman" w:hAnsi="Times New Roman"/>
              </w:rPr>
              <w:t xml:space="preserve"> ir </w:t>
            </w:r>
            <w:proofErr w:type="spellStart"/>
            <w:r w:rsidRPr="00467E47">
              <w:rPr>
                <w:rFonts w:ascii="Times New Roman" w:eastAsia="Times New Roman" w:hAnsi="Times New Roman"/>
              </w:rPr>
              <w:t>Hendaye</w:t>
            </w:r>
            <w:proofErr w:type="spellEnd"/>
            <w:r w:rsidRPr="00467E47">
              <w:rPr>
                <w:rFonts w:ascii="Times New Roman" w:eastAsia="Times New Roman" w:hAnsi="Times New Roman"/>
              </w:rPr>
              <w:t>), tačiau būsto prieinamumo problema išlieka sisteminė ir kol kas nėra išspręsta.</w:t>
            </w:r>
          </w:p>
        </w:tc>
        <w:tc>
          <w:tcPr>
            <w:tcW w:w="2268" w:type="dxa"/>
            <w:tcMar>
              <w:top w:w="29" w:type="dxa"/>
              <w:left w:w="115" w:type="dxa"/>
              <w:bottom w:w="29" w:type="dxa"/>
              <w:right w:w="115" w:type="dxa"/>
            </w:tcMar>
          </w:tcPr>
          <w:p w14:paraId="162A3DBA" w14:textId="2F31E335" w:rsidR="00EC1EFA" w:rsidRPr="00467E47" w:rsidRDefault="00F914C8" w:rsidP="00467E47">
            <w:pPr>
              <w:pBdr>
                <w:top w:val="nil"/>
                <w:left w:val="nil"/>
                <w:bottom w:val="nil"/>
                <w:right w:val="nil"/>
                <w:between w:val="nil"/>
              </w:pBdr>
              <w:spacing w:before="120" w:after="120" w:line="240" w:lineRule="auto"/>
              <w:ind w:left="52"/>
              <w:rPr>
                <w:rFonts w:ascii="Times New Roman" w:eastAsia="Times New Roman" w:hAnsi="Times New Roman"/>
              </w:rPr>
            </w:pPr>
            <w:hyperlink r:id="rId22" w:history="1">
              <w:proofErr w:type="spellStart"/>
              <w:r w:rsidRPr="00467E47">
                <w:rPr>
                  <w:rFonts w:ascii="Times New Roman" w:hAnsi="Times New Roman"/>
                  <w:color w:val="0000FF"/>
                  <w:u w:val="single"/>
                </w:rPr>
                <w:t>Airbnb</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résiste</w:t>
              </w:r>
              <w:proofErr w:type="spellEnd"/>
              <w:r w:rsidRPr="00467E47">
                <w:rPr>
                  <w:rFonts w:ascii="Times New Roman" w:hAnsi="Times New Roman"/>
                  <w:color w:val="0000FF"/>
                  <w:u w:val="single"/>
                </w:rPr>
                <w:t xml:space="preserve"> à </w:t>
              </w:r>
              <w:proofErr w:type="spellStart"/>
              <w:r w:rsidRPr="00467E47">
                <w:rPr>
                  <w:rFonts w:ascii="Times New Roman" w:hAnsi="Times New Roman"/>
                  <w:color w:val="0000FF"/>
                  <w:u w:val="single"/>
                </w:rPr>
                <w:t>la</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régulation</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des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meublés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touristiques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en</w:t>
              </w:r>
              <w:proofErr w:type="spellEnd"/>
              <w:r w:rsidRPr="00467E47">
                <w:rPr>
                  <w:rFonts w:ascii="Times New Roman" w:hAnsi="Times New Roman"/>
                  <w:color w:val="0000FF"/>
                  <w:u w:val="single"/>
                </w:rPr>
                <w:t xml:space="preserve"> France | Les </w:t>
              </w:r>
              <w:proofErr w:type="spellStart"/>
              <w:r w:rsidRPr="00467E47">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D8EB47A" w14:textId="42F17968" w:rsidR="00EC1EFA" w:rsidRPr="00467E47" w:rsidRDefault="00F914C8" w:rsidP="00467E47">
            <w:pPr>
              <w:pBdr>
                <w:top w:val="nil"/>
                <w:left w:val="nil"/>
                <w:bottom w:val="nil"/>
                <w:right w:val="nil"/>
                <w:between w:val="nil"/>
              </w:pBdr>
              <w:spacing w:before="120" w:after="120" w:line="240" w:lineRule="auto"/>
              <w:rPr>
                <w:rFonts w:ascii="Times New Roman" w:eastAsia="Times New Roman" w:hAnsi="Times New Roman"/>
              </w:rPr>
            </w:pPr>
            <w:r w:rsidRPr="00467E47">
              <w:rPr>
                <w:rFonts w:ascii="Times New Roman" w:eastAsia="Times New Roman" w:hAnsi="Times New Roman"/>
              </w:rPr>
              <w:t>„</w:t>
            </w:r>
            <w:proofErr w:type="spellStart"/>
            <w:r w:rsidRPr="00467E47">
              <w:rPr>
                <w:rFonts w:ascii="Times New Roman" w:eastAsia="Times New Roman" w:hAnsi="Times New Roman"/>
              </w:rPr>
              <w:t>Airbnb</w:t>
            </w:r>
            <w:proofErr w:type="spellEnd"/>
            <w:r w:rsidRPr="00467E47">
              <w:rPr>
                <w:rFonts w:ascii="Times New Roman" w:eastAsia="Times New Roman" w:hAnsi="Times New Roman"/>
              </w:rPr>
              <w:t>“ augimas tęsiasi nepaisant reguliavimo</w:t>
            </w:r>
          </w:p>
        </w:tc>
      </w:tr>
      <w:tr w:rsidR="00EC1EFA" w:rsidRPr="00467E47" w14:paraId="3DAB833A" w14:textId="77777777" w:rsidTr="00090377">
        <w:trPr>
          <w:trHeight w:val="234"/>
        </w:trPr>
        <w:tc>
          <w:tcPr>
            <w:tcW w:w="10945" w:type="dxa"/>
            <w:gridSpan w:val="5"/>
            <w:tcMar>
              <w:top w:w="29" w:type="dxa"/>
              <w:left w:w="115" w:type="dxa"/>
              <w:bottom w:w="29" w:type="dxa"/>
              <w:right w:w="115" w:type="dxa"/>
            </w:tcMar>
          </w:tcPr>
          <w:p w14:paraId="42E7476A" w14:textId="77777777" w:rsidR="00EC1EFA" w:rsidRPr="00467E47" w:rsidRDefault="00EC1EFA" w:rsidP="00467E47">
            <w:pPr>
              <w:spacing w:before="120" w:after="120" w:line="240" w:lineRule="auto"/>
              <w:rPr>
                <w:rFonts w:ascii="Times New Roman" w:eastAsia="Times New Roman" w:hAnsi="Times New Roman"/>
                <w:b/>
              </w:rPr>
            </w:pPr>
            <w:r w:rsidRPr="00467E47">
              <w:rPr>
                <w:rFonts w:ascii="Times New Roman" w:eastAsia="Times New Roman" w:hAnsi="Times New Roman"/>
                <w:b/>
              </w:rPr>
              <w:t>Bendradarbiavimui MTEPI</w:t>
            </w:r>
            <w:r w:rsidRPr="00467E47">
              <w:rPr>
                <w:rFonts w:ascii="Times New Roman" w:eastAsia="Times New Roman" w:hAnsi="Times New Roman"/>
                <w:b/>
                <w:vertAlign w:val="superscript"/>
              </w:rPr>
              <w:footnoteReference w:id="1"/>
            </w:r>
            <w:r w:rsidRPr="00467E47">
              <w:rPr>
                <w:rFonts w:ascii="Times New Roman" w:eastAsia="Times New Roman" w:hAnsi="Times New Roman"/>
                <w:b/>
              </w:rPr>
              <w:t xml:space="preserve"> srityse aktuali informacija</w:t>
            </w:r>
          </w:p>
        </w:tc>
      </w:tr>
      <w:tr w:rsidR="00EC1EFA" w:rsidRPr="00467E47" w14:paraId="52A2F232"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77D61A1D" w14:textId="5647693B" w:rsidR="00EC1EFA" w:rsidRPr="00467E47" w:rsidRDefault="00225E9E" w:rsidP="00467E47">
            <w:pPr>
              <w:spacing w:before="120" w:after="120" w:line="240" w:lineRule="auto"/>
              <w:rPr>
                <w:rFonts w:ascii="Times New Roman" w:eastAsia="Times New Roman" w:hAnsi="Times New Roman"/>
              </w:rPr>
            </w:pPr>
            <w:r w:rsidRPr="00467E47">
              <w:rPr>
                <w:rFonts w:ascii="Times New Roman" w:eastAsia="Times New Roman" w:hAnsi="Times New Roman"/>
                <w:lang w:val="en-US"/>
              </w:rPr>
              <w:t>2025 11 28</w:t>
            </w:r>
          </w:p>
        </w:tc>
        <w:tc>
          <w:tcPr>
            <w:tcW w:w="5812" w:type="dxa"/>
            <w:tcMar>
              <w:top w:w="29" w:type="dxa"/>
              <w:left w:w="115" w:type="dxa"/>
              <w:bottom w:w="29" w:type="dxa"/>
              <w:right w:w="115" w:type="dxa"/>
            </w:tcMar>
          </w:tcPr>
          <w:p w14:paraId="6BB4C6C4" w14:textId="26694E48" w:rsidR="00EC1EFA" w:rsidRPr="00467E47" w:rsidRDefault="002B08C8" w:rsidP="00467E47">
            <w:pPr>
              <w:pBdr>
                <w:top w:val="nil"/>
                <w:left w:val="nil"/>
                <w:bottom w:val="nil"/>
                <w:right w:val="nil"/>
                <w:between w:val="nil"/>
              </w:pBdr>
              <w:spacing w:before="120" w:after="120" w:line="240" w:lineRule="auto"/>
              <w:rPr>
                <w:rFonts w:ascii="Times New Roman" w:eastAsia="Times New Roman" w:hAnsi="Times New Roman"/>
              </w:rPr>
            </w:pPr>
            <w:r w:rsidRPr="00467E47">
              <w:rPr>
                <w:rFonts w:ascii="Times New Roman" w:eastAsia="Times New Roman" w:hAnsi="Times New Roman"/>
              </w:rPr>
              <w:t xml:space="preserve">2025 m. Prancūzijos vyriausybė paskelbė skirianti 300 mln. eurų penkiolikai naujų tyrimų programų, skirtų stiprinti šalies mokslinį ir technologinį suverenumą. Investicijos bus nukreiptos į sveikatos, dirbtinio intelekto, kibernetinio saugumo, biologinės įvairovės, žemės ūkio </w:t>
            </w:r>
            <w:proofErr w:type="spellStart"/>
            <w:r w:rsidRPr="00467E47">
              <w:rPr>
                <w:rFonts w:ascii="Times New Roman" w:eastAsia="Times New Roman" w:hAnsi="Times New Roman"/>
              </w:rPr>
              <w:t>dekarbonizacijos</w:t>
            </w:r>
            <w:proofErr w:type="spellEnd"/>
            <w:r w:rsidRPr="00467E47">
              <w:rPr>
                <w:rFonts w:ascii="Times New Roman" w:eastAsia="Times New Roman" w:hAnsi="Times New Roman"/>
              </w:rPr>
              <w:t>, puslaidininkių ir branduolinės energetikos sritis. Programos finansuojamos iš 2025 m. biudžeto ir įgyvendinamos per specializuotas agentūras, siekiant skatinti tarpdisciplininius tyrimus. Kartu pabrėžiama būtinybė aktyviau įtraukti privatų sektorių, kurio investicijos šiuo metu nepasiekia anksčiau numatytų tikslų, o tai laikoma esmine sąlyga Prancūzijos inovacijų ir ekonomikos konkurencingumui stiprinti.</w:t>
            </w:r>
          </w:p>
        </w:tc>
        <w:tc>
          <w:tcPr>
            <w:tcW w:w="2268" w:type="dxa"/>
            <w:tcBorders>
              <w:bottom w:val="single" w:sz="4" w:space="0" w:color="000000"/>
            </w:tcBorders>
            <w:tcMar>
              <w:top w:w="29" w:type="dxa"/>
              <w:left w:w="115" w:type="dxa"/>
              <w:bottom w:w="29" w:type="dxa"/>
              <w:right w:w="115" w:type="dxa"/>
            </w:tcMar>
          </w:tcPr>
          <w:p w14:paraId="113A2D57" w14:textId="34F567DD" w:rsidR="00EC1EFA" w:rsidRPr="00467E47" w:rsidRDefault="00225E9E" w:rsidP="00467E47">
            <w:pPr>
              <w:spacing w:before="120" w:after="120" w:line="240" w:lineRule="auto"/>
              <w:rPr>
                <w:rFonts w:ascii="Times New Roman" w:eastAsia="Times New Roman" w:hAnsi="Times New Roman"/>
              </w:rPr>
            </w:pPr>
            <w:hyperlink r:id="rId23" w:history="1">
              <w:proofErr w:type="spellStart"/>
              <w:r w:rsidRPr="00467E47">
                <w:rPr>
                  <w:rFonts w:ascii="Times New Roman" w:hAnsi="Times New Roman"/>
                  <w:color w:val="0000FF"/>
                  <w:u w:val="single"/>
                </w:rPr>
                <w:t>Recherche</w:t>
              </w:r>
              <w:proofErr w:type="spellEnd"/>
              <w:r w:rsidRPr="00467E47">
                <w:rPr>
                  <w:rFonts w:ascii="Times New Roman" w:hAnsi="Times New Roman"/>
                  <w:color w:val="0000FF"/>
                  <w:u w:val="single"/>
                </w:rPr>
                <w:t xml:space="preserve"> : </w:t>
              </w:r>
              <w:proofErr w:type="spellStart"/>
              <w:r w:rsidRPr="00467E47">
                <w:rPr>
                  <w:rFonts w:ascii="Times New Roman" w:hAnsi="Times New Roman"/>
                  <w:color w:val="0000FF"/>
                  <w:u w:val="single"/>
                </w:rPr>
                <w:t>le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plan</w:t>
              </w:r>
              <w:proofErr w:type="spellEnd"/>
              <w:r w:rsidRPr="00467E47">
                <w:rPr>
                  <w:rFonts w:ascii="Times New Roman" w:hAnsi="Times New Roman"/>
                  <w:color w:val="0000FF"/>
                  <w:u w:val="single"/>
                </w:rPr>
                <w:t xml:space="preserve"> à 300 </w:t>
              </w:r>
              <w:proofErr w:type="spellStart"/>
              <w:r w:rsidRPr="00467E47">
                <w:rPr>
                  <w:rFonts w:ascii="Times New Roman" w:hAnsi="Times New Roman"/>
                  <w:color w:val="0000FF"/>
                  <w:u w:val="single"/>
                </w:rPr>
                <w:t>millions</w:t>
              </w:r>
              <w:proofErr w:type="spellEnd"/>
              <w:r w:rsidRPr="00467E47">
                <w:rPr>
                  <w:rFonts w:ascii="Times New Roman" w:hAnsi="Times New Roman"/>
                  <w:color w:val="0000FF"/>
                  <w:u w:val="single"/>
                </w:rPr>
                <w:t xml:space="preserve"> du </w:t>
              </w:r>
              <w:proofErr w:type="spellStart"/>
              <w:r w:rsidRPr="00467E47">
                <w:rPr>
                  <w:rFonts w:ascii="Times New Roman" w:hAnsi="Times New Roman"/>
                  <w:color w:val="0000FF"/>
                  <w:u w:val="single"/>
                </w:rPr>
                <w:t>gouvernement</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pour</w:t>
              </w:r>
              <w:proofErr w:type="spellEnd"/>
              <w:r w:rsidRPr="00467E47">
                <w:rPr>
                  <w:rFonts w:ascii="Times New Roman" w:hAnsi="Times New Roman"/>
                  <w:color w:val="0000FF"/>
                  <w:u w:val="single"/>
                </w:rPr>
                <w:t xml:space="preserve"> « </w:t>
              </w:r>
              <w:proofErr w:type="spellStart"/>
              <w:r w:rsidRPr="00467E47">
                <w:rPr>
                  <w:rFonts w:ascii="Times New Roman" w:hAnsi="Times New Roman"/>
                  <w:color w:val="0000FF"/>
                  <w:u w:val="single"/>
                </w:rPr>
                <w:t>renforcer</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la</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souveraineté</w:t>
              </w:r>
              <w:proofErr w:type="spellEnd"/>
              <w:r w:rsidRPr="00467E47">
                <w:rPr>
                  <w:rFonts w:ascii="Times New Roman" w:hAnsi="Times New Roman"/>
                  <w:color w:val="0000FF"/>
                  <w:u w:val="single"/>
                </w:rPr>
                <w:t xml:space="preserve"> » | Les </w:t>
              </w:r>
              <w:proofErr w:type="spellStart"/>
              <w:r w:rsidRPr="00467E47">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7FEA17E0" w14:textId="3DA5E9BA" w:rsidR="00EC1EFA" w:rsidRPr="00467E47" w:rsidRDefault="00225E9E" w:rsidP="00467E47">
            <w:pPr>
              <w:spacing w:before="120" w:after="120" w:line="240" w:lineRule="auto"/>
              <w:rPr>
                <w:rFonts w:ascii="Times New Roman" w:eastAsia="Times New Roman" w:hAnsi="Times New Roman"/>
              </w:rPr>
            </w:pPr>
            <w:r w:rsidRPr="00467E47">
              <w:rPr>
                <w:rFonts w:ascii="Times New Roman" w:eastAsia="Times New Roman" w:hAnsi="Times New Roman"/>
              </w:rPr>
              <w:t>300 mln. eurų planas mokslo ir technologijų suverenumui</w:t>
            </w:r>
          </w:p>
        </w:tc>
      </w:tr>
      <w:tr w:rsidR="00EC1EFA" w:rsidRPr="00467E47" w14:paraId="27BCF2BE"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503251E3" w14:textId="26428AD7" w:rsidR="00EC1EFA" w:rsidRPr="00467E47" w:rsidRDefault="002B08C8"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2025 11 28</w:t>
            </w:r>
          </w:p>
        </w:tc>
        <w:tc>
          <w:tcPr>
            <w:tcW w:w="5812" w:type="dxa"/>
            <w:tcMar>
              <w:top w:w="29" w:type="dxa"/>
              <w:left w:w="115" w:type="dxa"/>
              <w:bottom w:w="29" w:type="dxa"/>
              <w:right w:w="115" w:type="dxa"/>
            </w:tcMar>
          </w:tcPr>
          <w:p w14:paraId="357C569E" w14:textId="3BEBC50A" w:rsidR="00EC1EFA" w:rsidRPr="00467E47" w:rsidRDefault="002B08C8" w:rsidP="00467E47">
            <w:pPr>
              <w:pBdr>
                <w:top w:val="nil"/>
                <w:left w:val="nil"/>
                <w:bottom w:val="nil"/>
                <w:right w:val="nil"/>
                <w:between w:val="nil"/>
              </w:pBdr>
              <w:spacing w:before="120" w:after="120" w:line="240" w:lineRule="auto"/>
              <w:rPr>
                <w:rFonts w:ascii="Times New Roman" w:eastAsia="Times New Roman" w:hAnsi="Times New Roman"/>
              </w:rPr>
            </w:pPr>
            <w:r w:rsidRPr="00467E47">
              <w:rPr>
                <w:rFonts w:ascii="Times New Roman" w:eastAsia="Times New Roman" w:hAnsi="Times New Roman"/>
              </w:rPr>
              <w:t>2025 m. Šanchajaus teminiame reitinge, kuriame pirmą kartą buvo įtraukta atskira dirbtinio intelekto (DI) sritis, Paryžiaus-</w:t>
            </w:r>
            <w:proofErr w:type="spellStart"/>
            <w:r w:rsidRPr="00467E47">
              <w:rPr>
                <w:rFonts w:ascii="Times New Roman" w:eastAsia="Times New Roman" w:hAnsi="Times New Roman"/>
              </w:rPr>
              <w:t>Saklė</w:t>
            </w:r>
            <w:proofErr w:type="spellEnd"/>
            <w:r w:rsidRPr="00467E47">
              <w:rPr>
                <w:rFonts w:ascii="Times New Roman" w:eastAsia="Times New Roman" w:hAnsi="Times New Roman"/>
              </w:rPr>
              <w:t xml:space="preserve"> universitetas užėmė 1-ąją vietą Prancūzijoje, o pasauliniu mastu pateko į 51–75 vietų grupę. Šis įvertinimas </w:t>
            </w:r>
            <w:r w:rsidRPr="00467E47">
              <w:rPr>
                <w:rFonts w:ascii="Times New Roman" w:eastAsia="Times New Roman" w:hAnsi="Times New Roman"/>
              </w:rPr>
              <w:lastRenderedPageBreak/>
              <w:t xml:space="preserve">atspindi daugiau nei dešimtmetį nuosekliai plėtotą tarpdisciplininę DI strategiją, apimančią matematiką, informatiką, inžineriją, mediciną ir fiziką, bei stiprų </w:t>
            </w:r>
            <w:proofErr w:type="spellStart"/>
            <w:r w:rsidRPr="00467E47">
              <w:rPr>
                <w:rFonts w:ascii="Times New Roman" w:eastAsia="Times New Roman" w:hAnsi="Times New Roman"/>
              </w:rPr>
              <w:t>DataIA</w:t>
            </w:r>
            <w:proofErr w:type="spellEnd"/>
            <w:r w:rsidRPr="00467E47">
              <w:rPr>
                <w:rFonts w:ascii="Times New Roman" w:eastAsia="Times New Roman" w:hAnsi="Times New Roman"/>
              </w:rPr>
              <w:t xml:space="preserve"> instituto tyrimų tinklą su daugiau nei 800 mokslininkų. Nors tiksli vieta tarp Europos universitetų reitinge atskirai nenurodoma, šis rezultatas patvirtina Paryžiaus-</w:t>
            </w:r>
            <w:proofErr w:type="spellStart"/>
            <w:r w:rsidRPr="00467E47">
              <w:rPr>
                <w:rFonts w:ascii="Times New Roman" w:eastAsia="Times New Roman" w:hAnsi="Times New Roman"/>
              </w:rPr>
              <w:t>Saklė</w:t>
            </w:r>
            <w:proofErr w:type="spellEnd"/>
            <w:r w:rsidRPr="00467E47">
              <w:rPr>
                <w:rFonts w:ascii="Times New Roman" w:eastAsia="Times New Roman" w:hAnsi="Times New Roman"/>
              </w:rPr>
              <w:t xml:space="preserve"> pozicijas kaip vieną iš lyderiaujančių DI centrų Europoje.</w:t>
            </w:r>
          </w:p>
        </w:tc>
        <w:tc>
          <w:tcPr>
            <w:tcW w:w="2268" w:type="dxa"/>
            <w:tcBorders>
              <w:bottom w:val="single" w:sz="4" w:space="0" w:color="000000"/>
            </w:tcBorders>
            <w:tcMar>
              <w:top w:w="29" w:type="dxa"/>
              <w:left w:w="115" w:type="dxa"/>
              <w:bottom w:w="29" w:type="dxa"/>
              <w:right w:w="115" w:type="dxa"/>
            </w:tcMar>
          </w:tcPr>
          <w:p w14:paraId="7E13CD7A" w14:textId="159BE9BD" w:rsidR="00EC1EFA" w:rsidRPr="00467E47" w:rsidRDefault="002B08C8" w:rsidP="00467E47">
            <w:pPr>
              <w:spacing w:before="120" w:after="120" w:line="240" w:lineRule="auto"/>
              <w:rPr>
                <w:rFonts w:ascii="Times New Roman" w:eastAsia="Times New Roman" w:hAnsi="Times New Roman"/>
              </w:rPr>
            </w:pPr>
            <w:hyperlink r:id="rId24" w:history="1">
              <w:r w:rsidRPr="00467E47">
                <w:rPr>
                  <w:rFonts w:ascii="Times New Roman" w:hAnsi="Times New Roman"/>
                  <w:color w:val="0000FF"/>
                  <w:u w:val="single"/>
                </w:rPr>
                <w:t>Paris-</w:t>
              </w:r>
              <w:proofErr w:type="spellStart"/>
              <w:r w:rsidRPr="00467E47">
                <w:rPr>
                  <w:rFonts w:ascii="Times New Roman" w:hAnsi="Times New Roman"/>
                  <w:color w:val="0000FF"/>
                  <w:u w:val="single"/>
                </w:rPr>
                <w:t>Saclay</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première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université</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française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en</w:t>
              </w:r>
              <w:proofErr w:type="spellEnd"/>
              <w:r w:rsidRPr="00467E47">
                <w:rPr>
                  <w:rFonts w:ascii="Times New Roman" w:hAnsi="Times New Roman"/>
                  <w:color w:val="0000FF"/>
                  <w:u w:val="single"/>
                </w:rPr>
                <w:t xml:space="preserve"> </w:t>
              </w:r>
              <w:r w:rsidRPr="00467E47">
                <w:rPr>
                  <w:rFonts w:ascii="Times New Roman" w:hAnsi="Times New Roman"/>
                  <w:color w:val="0000FF"/>
                  <w:u w:val="single"/>
                </w:rPr>
                <w:lastRenderedPageBreak/>
                <w:t>IA </w:t>
              </w:r>
              <w:proofErr w:type="spellStart"/>
              <w:r w:rsidRPr="00467E47">
                <w:rPr>
                  <w:rFonts w:ascii="Times New Roman" w:hAnsi="Times New Roman"/>
                  <w:color w:val="0000FF"/>
                  <w:u w:val="single"/>
                </w:rPr>
                <w:t>au</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classement</w:t>
              </w:r>
              <w:proofErr w:type="spellEnd"/>
              <w:r w:rsidRPr="00467E47">
                <w:rPr>
                  <w:rFonts w:ascii="Times New Roman" w:hAnsi="Times New Roman"/>
                  <w:color w:val="0000FF"/>
                  <w:u w:val="single"/>
                </w:rPr>
                <w:t xml:space="preserve"> de </w:t>
              </w:r>
              <w:proofErr w:type="spellStart"/>
              <w:r w:rsidRPr="00467E47">
                <w:rPr>
                  <w:rFonts w:ascii="Times New Roman" w:hAnsi="Times New Roman"/>
                  <w:color w:val="0000FF"/>
                  <w:u w:val="single"/>
                </w:rPr>
                <w:t>Shanghai</w:t>
              </w:r>
              <w:proofErr w:type="spellEnd"/>
              <w:r w:rsidRPr="00467E47">
                <w:rPr>
                  <w:rFonts w:ascii="Times New Roman" w:hAnsi="Times New Roman"/>
                  <w:color w:val="0000FF"/>
                  <w:u w:val="single"/>
                </w:rPr>
                <w:t xml:space="preserve"> | Les </w:t>
              </w:r>
              <w:proofErr w:type="spellStart"/>
              <w:r w:rsidRPr="00467E47">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58BEB89B" w14:textId="7DBEC863" w:rsidR="00EC1EFA" w:rsidRPr="00467E47" w:rsidRDefault="002B08C8" w:rsidP="00467E47">
            <w:pPr>
              <w:spacing w:before="120" w:after="120" w:line="240" w:lineRule="auto"/>
              <w:rPr>
                <w:rFonts w:ascii="Times New Roman" w:eastAsia="Times New Roman" w:hAnsi="Times New Roman"/>
              </w:rPr>
            </w:pPr>
            <w:r w:rsidRPr="00467E47">
              <w:rPr>
                <w:rFonts w:ascii="Times New Roman" w:eastAsia="Times New Roman" w:hAnsi="Times New Roman"/>
              </w:rPr>
              <w:lastRenderedPageBreak/>
              <w:t>Paryžiaus-</w:t>
            </w:r>
            <w:proofErr w:type="spellStart"/>
            <w:r w:rsidRPr="00467E47">
              <w:rPr>
                <w:rFonts w:ascii="Times New Roman" w:eastAsia="Times New Roman" w:hAnsi="Times New Roman"/>
              </w:rPr>
              <w:t>Saklė</w:t>
            </w:r>
            <w:proofErr w:type="spellEnd"/>
            <w:r w:rsidRPr="00467E47">
              <w:rPr>
                <w:rFonts w:ascii="Times New Roman" w:eastAsia="Times New Roman" w:hAnsi="Times New Roman"/>
              </w:rPr>
              <w:t xml:space="preserve"> universitetas – Prancūzijos </w:t>
            </w:r>
            <w:r w:rsidRPr="00467E47">
              <w:rPr>
                <w:rFonts w:ascii="Times New Roman" w:eastAsia="Times New Roman" w:hAnsi="Times New Roman"/>
              </w:rPr>
              <w:lastRenderedPageBreak/>
              <w:t>lyderis DI srityje</w:t>
            </w:r>
          </w:p>
        </w:tc>
      </w:tr>
      <w:tr w:rsidR="00EC1EFA" w:rsidRPr="00467E47" w14:paraId="05D39CDE" w14:textId="77777777" w:rsidTr="00090377">
        <w:trPr>
          <w:trHeight w:val="234"/>
        </w:trPr>
        <w:tc>
          <w:tcPr>
            <w:tcW w:w="10945" w:type="dxa"/>
            <w:gridSpan w:val="5"/>
            <w:tcMar>
              <w:top w:w="29" w:type="dxa"/>
              <w:left w:w="115" w:type="dxa"/>
              <w:bottom w:w="29" w:type="dxa"/>
              <w:right w:w="115" w:type="dxa"/>
            </w:tcMar>
          </w:tcPr>
          <w:p w14:paraId="41376968" w14:textId="77777777" w:rsidR="00EC1EFA" w:rsidRPr="00467E47" w:rsidRDefault="00EC1EFA" w:rsidP="00467E47">
            <w:pPr>
              <w:spacing w:before="120" w:after="120" w:line="240" w:lineRule="auto"/>
              <w:rPr>
                <w:rFonts w:ascii="Times New Roman" w:eastAsia="Times New Roman" w:hAnsi="Times New Roman"/>
                <w:b/>
              </w:rPr>
            </w:pPr>
            <w:r w:rsidRPr="00467E47">
              <w:rPr>
                <w:rFonts w:ascii="Times New Roman" w:eastAsia="Times New Roman" w:hAnsi="Times New Roman"/>
                <w:b/>
              </w:rPr>
              <w:lastRenderedPageBreak/>
              <w:t xml:space="preserve">Lietuvos ekonominiam saugumui aktuali informacija </w:t>
            </w:r>
          </w:p>
        </w:tc>
      </w:tr>
      <w:tr w:rsidR="00EC1EFA" w:rsidRPr="00467E47" w14:paraId="2269CFA8" w14:textId="77777777" w:rsidTr="00B869D6">
        <w:trPr>
          <w:gridAfter w:val="1"/>
          <w:wAfter w:w="11" w:type="dxa"/>
          <w:trHeight w:val="234"/>
        </w:trPr>
        <w:tc>
          <w:tcPr>
            <w:tcW w:w="1418" w:type="dxa"/>
            <w:tcMar>
              <w:top w:w="29" w:type="dxa"/>
              <w:left w:w="115" w:type="dxa"/>
              <w:bottom w:w="29" w:type="dxa"/>
              <w:right w:w="115" w:type="dxa"/>
            </w:tcMar>
          </w:tcPr>
          <w:p w14:paraId="22359B36" w14:textId="1F3CF400" w:rsidR="00EC1EFA" w:rsidRPr="00467E47" w:rsidRDefault="00EC1EFA"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2025 11 14</w:t>
            </w:r>
          </w:p>
        </w:tc>
        <w:tc>
          <w:tcPr>
            <w:tcW w:w="5812" w:type="dxa"/>
            <w:tcMar>
              <w:top w:w="29" w:type="dxa"/>
              <w:left w:w="115" w:type="dxa"/>
              <w:bottom w:w="29" w:type="dxa"/>
              <w:right w:w="115" w:type="dxa"/>
            </w:tcMar>
          </w:tcPr>
          <w:p w14:paraId="43CBF7AC" w14:textId="0EA46E2D" w:rsidR="00EC1EFA" w:rsidRPr="00467E47" w:rsidRDefault="00EC1EFA"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Griežtinama kova su didžiosiomis elektroninės prekybos platformomis. Po to, kai paaiškėjo, kad viena iš didžiausių e. prekybos platformų Prancūzijoje platino neteisėtas ir pavojingas prekes, 2025 11 14 Prancūzijos prekybos ministras </w:t>
            </w:r>
            <w:proofErr w:type="spellStart"/>
            <w:r w:rsidRPr="00467E47">
              <w:rPr>
                <w:rFonts w:ascii="Times New Roman" w:eastAsia="Times New Roman" w:hAnsi="Times New Roman"/>
              </w:rPr>
              <w:t>Serge</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Papin</w:t>
            </w:r>
            <w:proofErr w:type="spellEnd"/>
            <w:r w:rsidRPr="00467E47">
              <w:rPr>
                <w:rFonts w:ascii="Times New Roman" w:eastAsia="Times New Roman" w:hAnsi="Times New Roman"/>
              </w:rPr>
              <w:t xml:space="preserve"> paskelbė apie išplėstą vyriausybės tyrimą prieš kitas penkias plačiai naudojamas tarptautines platformas. Tyrimo metu nustatyta, kad </w:t>
            </w:r>
            <w:proofErr w:type="spellStart"/>
            <w:r w:rsidRPr="00467E47">
              <w:rPr>
                <w:rFonts w:ascii="Times New Roman" w:eastAsia="Times New Roman" w:hAnsi="Times New Roman"/>
              </w:rPr>
              <w:t>AliExpress</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Joom</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Wish</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Temu</w:t>
            </w:r>
            <w:proofErr w:type="spellEnd"/>
            <w:r w:rsidRPr="00467E47">
              <w:rPr>
                <w:rFonts w:ascii="Times New Roman" w:eastAsia="Times New Roman" w:hAnsi="Times New Roman"/>
              </w:rPr>
              <w:t xml:space="preserve"> ir </w:t>
            </w:r>
            <w:proofErr w:type="spellStart"/>
            <w:r w:rsidRPr="00467E47">
              <w:rPr>
                <w:rFonts w:ascii="Times New Roman" w:eastAsia="Times New Roman" w:hAnsi="Times New Roman"/>
              </w:rPr>
              <w:t>eBay</w:t>
            </w:r>
            <w:proofErr w:type="spellEnd"/>
            <w:r w:rsidRPr="00467E47">
              <w:rPr>
                <w:rFonts w:ascii="Times New Roman" w:eastAsia="Times New Roman" w:hAnsi="Times New Roman"/>
              </w:rPr>
              <w:t xml:space="preserve"> platino draudžiamus gaminius, tarp jų – pornografinio pobūdžio žaislus ir A kategorijos ginklus, tokius kaip </w:t>
            </w:r>
            <w:proofErr w:type="spellStart"/>
            <w:r w:rsidRPr="00467E47">
              <w:rPr>
                <w:rFonts w:ascii="Times New Roman" w:eastAsia="Times New Roman" w:hAnsi="Times New Roman"/>
              </w:rPr>
              <w:t>kastetai</w:t>
            </w:r>
            <w:proofErr w:type="spellEnd"/>
            <w:r w:rsidRPr="00467E47">
              <w:rPr>
                <w:rFonts w:ascii="Times New Roman" w:eastAsia="Times New Roman" w:hAnsi="Times New Roman"/>
              </w:rPr>
              <w:t xml:space="preserve"> ir mačetės. </w:t>
            </w:r>
            <w:proofErr w:type="spellStart"/>
            <w:r w:rsidRPr="00467E47">
              <w:rPr>
                <w:rFonts w:ascii="Times New Roman" w:eastAsia="Times New Roman" w:hAnsi="Times New Roman"/>
              </w:rPr>
              <w:t>Papinas</w:t>
            </w:r>
            <w:proofErr w:type="spellEnd"/>
            <w:r w:rsidRPr="00467E47">
              <w:rPr>
                <w:rFonts w:ascii="Times New Roman" w:eastAsia="Times New Roman" w:hAnsi="Times New Roman"/>
              </w:rPr>
              <w:t xml:space="preserve"> taip pat informavo, kad vyriausybė kreipėsi į teismą dėl </w:t>
            </w:r>
            <w:proofErr w:type="spellStart"/>
            <w:r w:rsidRPr="00467E47">
              <w:rPr>
                <w:rFonts w:ascii="Times New Roman" w:eastAsia="Times New Roman" w:hAnsi="Times New Roman"/>
              </w:rPr>
              <w:t>Shein</w:t>
            </w:r>
            <w:proofErr w:type="spellEnd"/>
            <w:r w:rsidRPr="00467E47">
              <w:rPr>
                <w:rFonts w:ascii="Times New Roman" w:eastAsia="Times New Roman" w:hAnsi="Times New Roman"/>
              </w:rPr>
              <w:t xml:space="preserve"> veiklos sustabdymo Prancūzijoje, nes ši platforma anksčiau nevykdė saugumo reikalavimų, susijusių su savo prekyvietės turiniu. </w:t>
            </w:r>
          </w:p>
          <w:p w14:paraId="7D9020AF" w14:textId="789D8069" w:rsidR="00EC1EFA" w:rsidRPr="00467E47" w:rsidRDefault="00EC1EFA" w:rsidP="00467E47">
            <w:pPr>
              <w:spacing w:before="120" w:after="120" w:line="240" w:lineRule="auto"/>
              <w:rPr>
                <w:rFonts w:ascii="Times New Roman" w:eastAsia="Times New Roman" w:hAnsi="Times New Roman"/>
              </w:rPr>
            </w:pPr>
            <w:r w:rsidRPr="00467E47">
              <w:rPr>
                <w:rFonts w:ascii="Times New Roman" w:eastAsia="Times New Roman" w:hAnsi="Times New Roman"/>
              </w:rPr>
              <w:t>Priežiūros institucija, atsakinga už vartotojų saugą ir rinkos kontrolę, šiuo metu stebi apie trisdešimt skirtingų platformų, o didelio masto patikrinimai parodė, kad apie 80 % į šalį siunčiamų smulkių siuntų neatitinka Europos reglamentų. Reaguodama į tai, Prancūzijos Vyriausybė inicijavo bendrą ES šalių prekybos ministrų susitikimą, kuris vyks 2025 11 27 Paryžiuje. Tikslas – suderinti griežtesnes sankcijas platformoms, kurios vykdo nesąžiningą prekybą ir nepaiso saugumo standartų. Be to, ES lygiu jau sutarta nuo 2026 m. apmokestinti visas mažas siuntas, siekiant sumažinti nelegalių ir nesaugių prekių patekimą į Europos rinką.</w:t>
            </w:r>
          </w:p>
        </w:tc>
        <w:tc>
          <w:tcPr>
            <w:tcW w:w="2268" w:type="dxa"/>
            <w:tcMar>
              <w:top w:w="29" w:type="dxa"/>
              <w:left w:w="115" w:type="dxa"/>
              <w:bottom w:w="29" w:type="dxa"/>
              <w:right w:w="115" w:type="dxa"/>
            </w:tcMar>
          </w:tcPr>
          <w:p w14:paraId="2B249362" w14:textId="77777777" w:rsidR="00EC1EFA" w:rsidRPr="00467E47" w:rsidRDefault="00EC1EFA" w:rsidP="00467E47">
            <w:pPr>
              <w:spacing w:before="120" w:after="120" w:line="240" w:lineRule="auto"/>
              <w:rPr>
                <w:rFonts w:ascii="Times New Roman" w:hAnsi="Times New Roman"/>
              </w:rPr>
            </w:pPr>
            <w:hyperlink r:id="rId25" w:history="1">
              <w:proofErr w:type="spellStart"/>
              <w:r w:rsidRPr="00467E47">
                <w:rPr>
                  <w:rStyle w:val="Hyperlink"/>
                  <w:rFonts w:ascii="Times New Roman" w:hAnsi="Times New Roman"/>
                </w:rPr>
                <w:t>AliExpress</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Joom</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Temu</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Bercy</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élargit</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son</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offensive</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contre</w:t>
              </w:r>
              <w:proofErr w:type="spellEnd"/>
              <w:r w:rsidRPr="00467E47">
                <w:rPr>
                  <w:rStyle w:val="Hyperlink"/>
                  <w:rFonts w:ascii="Times New Roman" w:hAnsi="Times New Roman"/>
                </w:rPr>
                <w:t xml:space="preserve"> les </w:t>
              </w:r>
              <w:proofErr w:type="spellStart"/>
              <w:r w:rsidRPr="00467E47">
                <w:rPr>
                  <w:rStyle w:val="Hyperlink"/>
                  <w:rFonts w:ascii="Times New Roman" w:hAnsi="Times New Roman"/>
                </w:rPr>
                <w:t>plateformes</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d'e-commerce</w:t>
              </w:r>
              <w:proofErr w:type="spellEnd"/>
              <w:r w:rsidRPr="00467E47">
                <w:rPr>
                  <w:rStyle w:val="Hyperlink"/>
                  <w:rFonts w:ascii="Times New Roman" w:hAnsi="Times New Roman"/>
                </w:rPr>
                <w:t xml:space="preserve"> | Les </w:t>
              </w:r>
              <w:proofErr w:type="spellStart"/>
              <w:r w:rsidRPr="00467E47">
                <w:rPr>
                  <w:rStyle w:val="Hyperlink"/>
                  <w:rFonts w:ascii="Times New Roman" w:hAnsi="Times New Roman"/>
                </w:rPr>
                <w:t>Echos</w:t>
              </w:r>
              <w:proofErr w:type="spellEnd"/>
            </w:hyperlink>
          </w:p>
          <w:p w14:paraId="1D42D103" w14:textId="77777777" w:rsidR="00EC1EFA" w:rsidRPr="00467E47" w:rsidRDefault="00EC1EFA" w:rsidP="00467E47">
            <w:pPr>
              <w:spacing w:before="120"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66BA990E" w14:textId="77777777" w:rsidR="00EC1EFA" w:rsidRPr="00467E47" w:rsidRDefault="00EC1EFA" w:rsidP="00467E47">
            <w:pPr>
              <w:spacing w:before="120" w:after="120" w:line="240" w:lineRule="auto"/>
              <w:rPr>
                <w:rFonts w:ascii="Times New Roman" w:eastAsia="Times New Roman" w:hAnsi="Times New Roman"/>
              </w:rPr>
            </w:pPr>
            <w:r w:rsidRPr="00467E47">
              <w:rPr>
                <w:rFonts w:ascii="Times New Roman" w:eastAsia="Times New Roman" w:hAnsi="Times New Roman"/>
              </w:rPr>
              <w:t>Griežtinama kova su didžiosiomis elektroninės prekybos platformomis</w:t>
            </w:r>
          </w:p>
          <w:p w14:paraId="2759283F" w14:textId="77777777" w:rsidR="00EC1EFA" w:rsidRPr="00467E47" w:rsidRDefault="00EC1EFA" w:rsidP="00467E47">
            <w:pPr>
              <w:spacing w:before="120" w:after="120" w:line="240" w:lineRule="auto"/>
              <w:rPr>
                <w:rFonts w:ascii="Times New Roman" w:eastAsia="Times New Roman" w:hAnsi="Times New Roman"/>
              </w:rPr>
            </w:pPr>
          </w:p>
        </w:tc>
      </w:tr>
      <w:tr w:rsidR="00EC1EFA" w:rsidRPr="00467E47" w14:paraId="4C1FEC09" w14:textId="77777777" w:rsidTr="00B869D6">
        <w:trPr>
          <w:gridAfter w:val="1"/>
          <w:wAfter w:w="11" w:type="dxa"/>
          <w:trHeight w:val="234"/>
        </w:trPr>
        <w:tc>
          <w:tcPr>
            <w:tcW w:w="1418" w:type="dxa"/>
            <w:tcMar>
              <w:top w:w="29" w:type="dxa"/>
              <w:left w:w="115" w:type="dxa"/>
              <w:bottom w:w="29" w:type="dxa"/>
              <w:right w:w="115" w:type="dxa"/>
            </w:tcMar>
          </w:tcPr>
          <w:p w14:paraId="5050208B" w14:textId="0EB7D04D" w:rsidR="00EC1EFA"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2025 11 14</w:t>
            </w:r>
          </w:p>
        </w:tc>
        <w:tc>
          <w:tcPr>
            <w:tcW w:w="5812" w:type="dxa"/>
            <w:tcMar>
              <w:top w:w="29" w:type="dxa"/>
              <w:left w:w="115" w:type="dxa"/>
              <w:bottom w:w="29" w:type="dxa"/>
              <w:right w:w="115" w:type="dxa"/>
            </w:tcMar>
          </w:tcPr>
          <w:p w14:paraId="2CFD5D66" w14:textId="5529E94D" w:rsidR="00EC1EFA" w:rsidRPr="00467E47" w:rsidRDefault="00EC1EFA"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Vaistų pramonės politika: vietinė gamyba ir tiekimo saugumo stiprinimas. Prancūzijoje ryškėja tendencija susigrąžinti svarbiausių vaistų gamybą į šalį, siekiant mažinti priklausomybę nuo užsienio tiekėjų ir suvaldyti dažnėjančius tiekimo sutrikimus. Farmacijos bendrovė </w:t>
            </w:r>
            <w:proofErr w:type="spellStart"/>
            <w:r w:rsidRPr="00467E47">
              <w:rPr>
                <w:rFonts w:ascii="Times New Roman" w:eastAsia="Times New Roman" w:hAnsi="Times New Roman"/>
              </w:rPr>
              <w:t>Mayoly</w:t>
            </w:r>
            <w:proofErr w:type="spellEnd"/>
            <w:r w:rsidRPr="00467E47">
              <w:rPr>
                <w:rFonts w:ascii="Times New Roman" w:eastAsia="Times New Roman" w:hAnsi="Times New Roman"/>
              </w:rPr>
              <w:t xml:space="preserve"> nusprendė vėl pradėti vaisto </w:t>
            </w:r>
            <w:proofErr w:type="spellStart"/>
            <w:r w:rsidRPr="00467E47">
              <w:rPr>
                <w:rFonts w:ascii="Times New Roman" w:eastAsia="Times New Roman" w:hAnsi="Times New Roman"/>
              </w:rPr>
              <w:t>Colchicine</w:t>
            </w:r>
            <w:proofErr w:type="spellEnd"/>
            <w:r w:rsidRPr="00467E47">
              <w:rPr>
                <w:rFonts w:ascii="Times New Roman" w:eastAsia="Times New Roman" w:hAnsi="Times New Roman"/>
              </w:rPr>
              <w:t xml:space="preserve"> gamybą Prancūzijoje po to, kai ankstesnis subrangovas rytų Europoje nutraukė veiklą. Nors sprendimas priimtas įmonės iniciatyva, jis dera su Prancūzijos nacionaline politika stiprinti farmacijos suverenitetą ir geriau kontroliuoti strateginių medikamentų tiekimą, ypač tais atvejais, kai reikalinga aukštos kokybės ir saugos gamybos kontrolė. Vis dėlto gamybos perkėlimas į šalies teritoriją kelia reikšmingų ekonominių iššūkių: </w:t>
            </w:r>
            <w:proofErr w:type="spellStart"/>
            <w:r w:rsidRPr="00467E47">
              <w:rPr>
                <w:rFonts w:ascii="Times New Roman" w:eastAsia="Times New Roman" w:hAnsi="Times New Roman"/>
              </w:rPr>
              <w:t>Mayoly</w:t>
            </w:r>
            <w:proofErr w:type="spellEnd"/>
            <w:r w:rsidRPr="00467E47">
              <w:rPr>
                <w:rFonts w:ascii="Times New Roman" w:eastAsia="Times New Roman" w:hAnsi="Times New Roman"/>
              </w:rPr>
              <w:t xml:space="preserve"> vertinimu, </w:t>
            </w:r>
            <w:proofErr w:type="spellStart"/>
            <w:r w:rsidRPr="00467E47">
              <w:rPr>
                <w:rFonts w:ascii="Times New Roman" w:eastAsia="Times New Roman" w:hAnsi="Times New Roman"/>
              </w:rPr>
              <w:t>Colchicine</w:t>
            </w:r>
            <w:proofErr w:type="spellEnd"/>
            <w:r w:rsidRPr="00467E47">
              <w:rPr>
                <w:rFonts w:ascii="Times New Roman" w:eastAsia="Times New Roman" w:hAnsi="Times New Roman"/>
              </w:rPr>
              <w:t xml:space="preserve"> gamyba Prancūzijoje bus maždaug du kartus brangesnė, o reguliuojama vaisto kaina apsunkina sąnaudų kompensavimą. Nepaisant to, tiek </w:t>
            </w:r>
            <w:proofErr w:type="spellStart"/>
            <w:r w:rsidRPr="00467E47">
              <w:rPr>
                <w:rFonts w:ascii="Times New Roman" w:eastAsia="Times New Roman" w:hAnsi="Times New Roman"/>
              </w:rPr>
              <w:t>Mayoly</w:t>
            </w:r>
            <w:proofErr w:type="spellEnd"/>
            <w:r w:rsidRPr="00467E47">
              <w:rPr>
                <w:rFonts w:ascii="Times New Roman" w:eastAsia="Times New Roman" w:hAnsi="Times New Roman"/>
              </w:rPr>
              <w:t xml:space="preserve">, tiek kitos farmacijos įmonės, tokios kaip </w:t>
            </w:r>
            <w:proofErr w:type="spellStart"/>
            <w:r w:rsidRPr="00467E47">
              <w:rPr>
                <w:rFonts w:ascii="Times New Roman" w:eastAsia="Times New Roman" w:hAnsi="Times New Roman"/>
              </w:rPr>
              <w:t>Urgo</w:t>
            </w:r>
            <w:proofErr w:type="spellEnd"/>
            <w:r w:rsidRPr="00467E47">
              <w:rPr>
                <w:rFonts w:ascii="Times New Roman" w:eastAsia="Times New Roman" w:hAnsi="Times New Roman"/>
              </w:rPr>
              <w:t xml:space="preserve">, pasirenka vietinę gamybą dėl didesnio tiekimo saugumo ir ilgalaikės ekonominės naudos. Tai rodo, kad gamybos grąžinimas į Prancūziją tampa reikšminga pramonės </w:t>
            </w:r>
            <w:r w:rsidRPr="00467E47">
              <w:rPr>
                <w:rFonts w:ascii="Times New Roman" w:eastAsia="Times New Roman" w:hAnsi="Times New Roman"/>
              </w:rPr>
              <w:lastRenderedPageBreak/>
              <w:t>strategijos dalimi, siekiant užtikrinti patikimą vaistų prieinamumą ir stiprinti vietinį pramonės potencialą.</w:t>
            </w:r>
          </w:p>
        </w:tc>
        <w:tc>
          <w:tcPr>
            <w:tcW w:w="2268" w:type="dxa"/>
            <w:tcMar>
              <w:top w:w="29" w:type="dxa"/>
              <w:left w:w="115" w:type="dxa"/>
              <w:bottom w:w="29" w:type="dxa"/>
              <w:right w:w="115" w:type="dxa"/>
            </w:tcMar>
          </w:tcPr>
          <w:p w14:paraId="0EF4D0EC" w14:textId="16E9D42E" w:rsidR="00EC1EFA" w:rsidRPr="00467E47" w:rsidRDefault="00FF2840" w:rsidP="00467E47">
            <w:pPr>
              <w:spacing w:before="120" w:after="120" w:line="240" w:lineRule="auto"/>
              <w:rPr>
                <w:rFonts w:ascii="Times New Roman" w:eastAsia="Times New Roman" w:hAnsi="Times New Roman"/>
              </w:rPr>
            </w:pPr>
            <w:hyperlink r:id="rId26" w:history="1">
              <w:r w:rsidRPr="00467E47">
                <w:rPr>
                  <w:rStyle w:val="Hyperlink"/>
                  <w:rFonts w:ascii="Times New Roman" w:eastAsia="Times New Roman" w:hAnsi="Times New Roman"/>
                </w:rPr>
                <w:t>https://www.lesechos.fr/industrie-services/pharmacie-sante/produire-en-france-va-nous-couter-environ-deux-fois-plus-cher-le-laboratoire-mayoly-relocalise-la-production-dun-medicament-essentiel-2198530</w:t>
              </w:r>
            </w:hyperlink>
            <w:r w:rsidRPr="00467E47">
              <w:rPr>
                <w:rFonts w:ascii="Times New Roman" w:eastAsia="Times New Roman" w:hAnsi="Times New Roman"/>
              </w:rPr>
              <w:t xml:space="preserve"> </w:t>
            </w:r>
          </w:p>
        </w:tc>
        <w:tc>
          <w:tcPr>
            <w:tcW w:w="1436" w:type="dxa"/>
            <w:tcMar>
              <w:top w:w="29" w:type="dxa"/>
              <w:left w:w="115" w:type="dxa"/>
              <w:bottom w:w="29" w:type="dxa"/>
              <w:right w:w="115" w:type="dxa"/>
            </w:tcMar>
          </w:tcPr>
          <w:p w14:paraId="60FFB06B" w14:textId="1B6DD642" w:rsidR="00EC1EFA" w:rsidRPr="00467E47" w:rsidRDefault="00EC1EFA" w:rsidP="00467E47">
            <w:pPr>
              <w:spacing w:before="120" w:after="120" w:line="240" w:lineRule="auto"/>
              <w:rPr>
                <w:rFonts w:ascii="Times New Roman" w:eastAsia="Times New Roman" w:hAnsi="Times New Roman"/>
              </w:rPr>
            </w:pPr>
            <w:r w:rsidRPr="00467E47">
              <w:rPr>
                <w:rFonts w:ascii="Times New Roman" w:eastAsia="Times New Roman" w:hAnsi="Times New Roman"/>
              </w:rPr>
              <w:t>Vaistų pramonės politika:  stiprinama vietinė gamyba</w:t>
            </w:r>
          </w:p>
        </w:tc>
      </w:tr>
      <w:tr w:rsidR="00EC1EFA" w:rsidRPr="00467E47"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EC1EFA" w:rsidRPr="00467E47" w:rsidRDefault="00EC1EFA" w:rsidP="00467E47">
            <w:pPr>
              <w:spacing w:before="120" w:after="120" w:line="240" w:lineRule="auto"/>
              <w:rPr>
                <w:rFonts w:ascii="Times New Roman" w:eastAsia="Times New Roman" w:hAnsi="Times New Roman"/>
                <w:b/>
              </w:rPr>
            </w:pPr>
            <w:r w:rsidRPr="00467E47">
              <w:rPr>
                <w:rFonts w:ascii="Times New Roman" w:eastAsia="Times New Roman" w:hAnsi="Times New Roman"/>
                <w:b/>
              </w:rPr>
              <w:t>Bendra ekonominė informacija</w:t>
            </w:r>
          </w:p>
        </w:tc>
      </w:tr>
      <w:tr w:rsidR="00EC1EFA" w:rsidRPr="00467E47" w14:paraId="103217EB" w14:textId="77777777" w:rsidTr="00B869D6">
        <w:trPr>
          <w:gridAfter w:val="1"/>
          <w:wAfter w:w="11" w:type="dxa"/>
          <w:trHeight w:val="216"/>
        </w:trPr>
        <w:tc>
          <w:tcPr>
            <w:tcW w:w="1418" w:type="dxa"/>
            <w:tcMar>
              <w:top w:w="29" w:type="dxa"/>
              <w:left w:w="115" w:type="dxa"/>
              <w:bottom w:w="29" w:type="dxa"/>
              <w:right w:w="115" w:type="dxa"/>
            </w:tcMar>
          </w:tcPr>
          <w:p w14:paraId="3E2E6DC4" w14:textId="5221F123" w:rsidR="00EC1EFA" w:rsidRPr="00467E47" w:rsidRDefault="009162D7" w:rsidP="00467E47">
            <w:pPr>
              <w:spacing w:before="120" w:after="120" w:line="240" w:lineRule="auto"/>
              <w:rPr>
                <w:rFonts w:ascii="Times New Roman" w:eastAsia="Times New Roman" w:hAnsi="Times New Roman"/>
              </w:rPr>
            </w:pPr>
            <w:r w:rsidRPr="00467E47">
              <w:rPr>
                <w:rFonts w:ascii="Times New Roman" w:eastAsia="Times New Roman" w:hAnsi="Times New Roman"/>
              </w:rPr>
              <w:t>2025 11 27</w:t>
            </w:r>
          </w:p>
        </w:tc>
        <w:tc>
          <w:tcPr>
            <w:tcW w:w="5812" w:type="dxa"/>
            <w:tcMar>
              <w:top w:w="29" w:type="dxa"/>
              <w:left w:w="115" w:type="dxa"/>
              <w:bottom w:w="29" w:type="dxa"/>
              <w:right w:w="115" w:type="dxa"/>
            </w:tcMar>
          </w:tcPr>
          <w:p w14:paraId="1635C9F4" w14:textId="121C92DA" w:rsidR="00EC1EFA" w:rsidRPr="00467E47" w:rsidRDefault="009162D7" w:rsidP="00467E47">
            <w:pPr>
              <w:spacing w:before="120" w:after="120" w:line="240" w:lineRule="auto"/>
              <w:rPr>
                <w:rFonts w:ascii="Times New Roman" w:eastAsia="Times New Roman" w:hAnsi="Times New Roman"/>
              </w:rPr>
            </w:pPr>
            <w:r w:rsidRPr="00467E47">
              <w:rPr>
                <w:rFonts w:ascii="Times New Roman" w:eastAsia="Times New Roman" w:hAnsi="Times New Roman"/>
              </w:rPr>
              <w:t>EBPO teigimu, Prancūzija, nepaisant politinių diskusijų dėl 2023 m. reformos, ateityje bus priversta didinti faktinį pensinį amžių. Prognozuojama, kad iki 2055 m. pensijų sistema gali susidurti su 1,3 % BVP deficitu dėl mažėjančio dirbančiųjų skaičiaus, nors išlaidos išliks stabilios. Pagrindiniu sprendimu laikomas vyresnio amžiaus gyventojų užimtumo didinimas, kuris Prancūzijoje vis dar atsilieka nuo EBPO vidurkio. EBPO pabrėžia, kad tolesnis pensinio amžiaus didinimas, galimai siejant jį su gyvenimo trukme, yra neišvengiamas.</w:t>
            </w:r>
          </w:p>
        </w:tc>
        <w:tc>
          <w:tcPr>
            <w:tcW w:w="2268" w:type="dxa"/>
            <w:tcMar>
              <w:top w:w="29" w:type="dxa"/>
              <w:left w:w="115" w:type="dxa"/>
              <w:bottom w:w="29" w:type="dxa"/>
              <w:right w:w="115" w:type="dxa"/>
            </w:tcMar>
          </w:tcPr>
          <w:p w14:paraId="28914FA3" w14:textId="15D8AA51" w:rsidR="00EC1EFA" w:rsidRPr="00467E47" w:rsidRDefault="009162D7" w:rsidP="00467E47">
            <w:pPr>
              <w:spacing w:before="120" w:after="120" w:line="240" w:lineRule="auto"/>
              <w:rPr>
                <w:rFonts w:ascii="Times New Roman" w:eastAsia="Times New Roman" w:hAnsi="Times New Roman"/>
              </w:rPr>
            </w:pPr>
            <w:hyperlink r:id="rId27" w:history="1">
              <w:proofErr w:type="spellStart"/>
              <w:r w:rsidRPr="00467E47">
                <w:rPr>
                  <w:rFonts w:ascii="Times New Roman" w:hAnsi="Times New Roman"/>
                  <w:color w:val="0000FF"/>
                  <w:u w:val="single"/>
                </w:rPr>
                <w:t>Pour</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l'OCDE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la</w:t>
              </w:r>
              <w:proofErr w:type="spellEnd"/>
              <w:r w:rsidRPr="00467E47">
                <w:rPr>
                  <w:rFonts w:ascii="Times New Roman" w:hAnsi="Times New Roman"/>
                  <w:color w:val="0000FF"/>
                  <w:u w:val="single"/>
                </w:rPr>
                <w:t xml:space="preserve"> France </w:t>
              </w:r>
              <w:proofErr w:type="spellStart"/>
              <w:r w:rsidRPr="00467E47">
                <w:rPr>
                  <w:rFonts w:ascii="Times New Roman" w:hAnsi="Times New Roman"/>
                  <w:color w:val="0000FF"/>
                  <w:u w:val="single"/>
                </w:rPr>
                <w:t>sera</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forcée</w:t>
              </w:r>
              <w:proofErr w:type="spellEnd"/>
              <w:r w:rsidRPr="00467E47">
                <w:rPr>
                  <w:rFonts w:ascii="Times New Roman" w:hAnsi="Times New Roman"/>
                  <w:color w:val="0000FF"/>
                  <w:u w:val="single"/>
                </w:rPr>
                <w:t xml:space="preserve"> de </w:t>
              </w:r>
              <w:proofErr w:type="spellStart"/>
              <w:r w:rsidRPr="00467E47">
                <w:rPr>
                  <w:rFonts w:ascii="Times New Roman" w:hAnsi="Times New Roman"/>
                  <w:color w:val="0000FF"/>
                  <w:u w:val="single"/>
                </w:rPr>
                <w:t>relever</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sensiblement</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l'âge</w:t>
              </w:r>
              <w:proofErr w:type="spellEnd"/>
              <w:r w:rsidRPr="00467E47">
                <w:rPr>
                  <w:rFonts w:ascii="Times New Roman" w:hAnsi="Times New Roman"/>
                  <w:color w:val="0000FF"/>
                  <w:u w:val="single"/>
                </w:rPr>
                <w:t xml:space="preserve"> du </w:t>
              </w:r>
              <w:proofErr w:type="spellStart"/>
              <w:r w:rsidRPr="00467E47">
                <w:rPr>
                  <w:rFonts w:ascii="Times New Roman" w:hAnsi="Times New Roman"/>
                  <w:color w:val="0000FF"/>
                  <w:u w:val="single"/>
                </w:rPr>
                <w:t>départ</w:t>
              </w:r>
              <w:proofErr w:type="spellEnd"/>
              <w:r w:rsidRPr="00467E47">
                <w:rPr>
                  <w:rFonts w:ascii="Times New Roman" w:hAnsi="Times New Roman"/>
                  <w:color w:val="0000FF"/>
                  <w:u w:val="single"/>
                </w:rPr>
                <w:t xml:space="preserve"> à </w:t>
              </w:r>
              <w:proofErr w:type="spellStart"/>
              <w:r w:rsidRPr="00467E47">
                <w:rPr>
                  <w:rFonts w:ascii="Times New Roman" w:hAnsi="Times New Roman"/>
                  <w:color w:val="0000FF"/>
                  <w:u w:val="single"/>
                </w:rPr>
                <w:t>la</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retraite</w:t>
              </w:r>
              <w:proofErr w:type="spellEnd"/>
              <w:r w:rsidRPr="00467E47">
                <w:rPr>
                  <w:rFonts w:ascii="Times New Roman" w:hAnsi="Times New Roman"/>
                  <w:color w:val="0000FF"/>
                  <w:u w:val="single"/>
                </w:rPr>
                <w:t xml:space="preserve"> | Les </w:t>
              </w:r>
              <w:proofErr w:type="spellStart"/>
              <w:r w:rsidRPr="00467E47">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9A8EA51" w14:textId="011BDB52" w:rsidR="00EC1EFA" w:rsidRPr="00467E47" w:rsidRDefault="009162D7" w:rsidP="00467E47">
            <w:pPr>
              <w:spacing w:before="120" w:after="120" w:line="240" w:lineRule="auto"/>
              <w:rPr>
                <w:rFonts w:ascii="Times New Roman" w:eastAsia="Times New Roman" w:hAnsi="Times New Roman"/>
              </w:rPr>
            </w:pPr>
            <w:r w:rsidRPr="00467E47">
              <w:rPr>
                <w:rFonts w:ascii="Times New Roman" w:eastAsia="Times New Roman" w:hAnsi="Times New Roman"/>
              </w:rPr>
              <w:t>EBPO: Prancūzija neišvengiamai turės didinti pensinį amžių</w:t>
            </w:r>
          </w:p>
        </w:tc>
      </w:tr>
      <w:tr w:rsidR="00FF2840" w:rsidRPr="00467E47" w14:paraId="3F4EE6D4" w14:textId="77777777" w:rsidTr="00B869D6">
        <w:trPr>
          <w:gridAfter w:val="1"/>
          <w:wAfter w:w="11" w:type="dxa"/>
          <w:trHeight w:val="216"/>
        </w:trPr>
        <w:tc>
          <w:tcPr>
            <w:tcW w:w="1418" w:type="dxa"/>
            <w:tcMar>
              <w:top w:w="29" w:type="dxa"/>
              <w:left w:w="115" w:type="dxa"/>
              <w:bottom w:w="29" w:type="dxa"/>
              <w:right w:w="115" w:type="dxa"/>
            </w:tcMar>
          </w:tcPr>
          <w:p w14:paraId="6CCC5AD3" w14:textId="5B577447"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2025 11 27</w:t>
            </w:r>
          </w:p>
        </w:tc>
        <w:tc>
          <w:tcPr>
            <w:tcW w:w="5812" w:type="dxa"/>
            <w:tcMar>
              <w:top w:w="29" w:type="dxa"/>
              <w:left w:w="115" w:type="dxa"/>
              <w:bottom w:w="29" w:type="dxa"/>
              <w:right w:w="115" w:type="dxa"/>
            </w:tcMar>
          </w:tcPr>
          <w:p w14:paraId="61C33795" w14:textId="7B801775"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Prancūzijos centrinio banko teigimu, politinis neapibrėžtumas Prancūzijai šiais metais kainuos 0,2 procentinio punkto augimo. Metų pradžioje bankas prognozavo bent 0,7 % augimą 2025 metais. Prie šio neapibrėžtumo prisideda ir geopolitinė situacija: karas Ukrainoje, JAV protekcionizmas. Prancūzijos banko vertinimu, visa tai gali kainuoti Prancūzijos ekonomikai 0,5 procentinio punkto augimo, nors Prancūzijos bankas buvo numatęs bent 0,7 % augimą 2025 m. Tikslių prognozių skaičių tikimasi sulaukti gruodžio 19 d. Prancūzijos centrinio banko</w:t>
            </w:r>
          </w:p>
          <w:p w14:paraId="76C5434A" w14:textId="4D543CDF"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atstovas pabrėžė būtinybę mažinti deficitą, akcentuodamas, kad didėjanti skola mums per šį dešimtmetį kainuos dešimtis milijardų eurų papildomų palūkanų išlaidų. „2020 m. palūkanų išlaidos sudarė 30 mlrd. eurų, o dešimtmečio pabaigoje jos viršys 100 mlrd. eurų“, – prognozuoja jis, pabrėždamas, kad „tie papildomi 70 mlrd. – tai lėšos, kurių negalime skirti švietimui, kovai su klimato kaita ar gynybai. </w:t>
            </w:r>
          </w:p>
        </w:tc>
        <w:tc>
          <w:tcPr>
            <w:tcW w:w="2268" w:type="dxa"/>
            <w:tcMar>
              <w:top w:w="29" w:type="dxa"/>
              <w:left w:w="115" w:type="dxa"/>
              <w:bottom w:w="29" w:type="dxa"/>
              <w:right w:w="115" w:type="dxa"/>
            </w:tcMar>
          </w:tcPr>
          <w:p w14:paraId="08B36ACB" w14:textId="21BA1694" w:rsidR="00FF2840" w:rsidRPr="00467E47" w:rsidRDefault="00FF2840" w:rsidP="00467E47">
            <w:pPr>
              <w:spacing w:before="120" w:after="120" w:line="240" w:lineRule="auto"/>
              <w:rPr>
                <w:rFonts w:ascii="Times New Roman" w:eastAsia="Times New Roman" w:hAnsi="Times New Roman"/>
              </w:rPr>
            </w:pPr>
            <w:hyperlink r:id="rId28" w:history="1">
              <w:proofErr w:type="spellStart"/>
              <w:r w:rsidRPr="00467E47">
                <w:rPr>
                  <w:rStyle w:val="Hyperlink"/>
                  <w:rFonts w:ascii="Times New Roman" w:eastAsia="Times New Roman" w:hAnsi="Times New Roman"/>
                </w:rPr>
                <w:t>Selon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gouverneur</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t>la</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Banque</w:t>
              </w:r>
              <w:proofErr w:type="spellEnd"/>
              <w:r w:rsidRPr="00467E47">
                <w:rPr>
                  <w:rStyle w:val="Hyperlink"/>
                  <w:rFonts w:ascii="Times New Roman" w:eastAsia="Times New Roman" w:hAnsi="Times New Roman"/>
                </w:rPr>
                <w:t xml:space="preserve"> de France, </w:t>
              </w:r>
              <w:proofErr w:type="spellStart"/>
              <w:r w:rsidRPr="00467E47">
                <w:rPr>
                  <w:rStyle w:val="Hyperlink"/>
                  <w:rFonts w:ascii="Times New Roman" w:eastAsia="Times New Roman" w:hAnsi="Times New Roman"/>
                </w:rPr>
                <w:t>l’incertitude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politique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coûtera</w:t>
              </w:r>
              <w:proofErr w:type="spellEnd"/>
              <w:r w:rsidRPr="00467E47">
                <w:rPr>
                  <w:rStyle w:val="Hyperlink"/>
                  <w:rFonts w:ascii="Times New Roman" w:eastAsia="Times New Roman" w:hAnsi="Times New Roman"/>
                </w:rPr>
                <w:t xml:space="preserve"> 0,2 </w:t>
              </w:r>
              <w:proofErr w:type="spellStart"/>
              <w:r w:rsidRPr="00467E47">
                <w:rPr>
                  <w:rStyle w:val="Hyperlink"/>
                  <w:rFonts w:ascii="Times New Roman" w:eastAsia="Times New Roman" w:hAnsi="Times New Roman"/>
                </w:rPr>
                <w:t>point</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t>croissance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cette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année</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6614996D" w14:textId="125A8BD4"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Centrinis bankas perspėja apie silpnesnį ekonomikos augimą</w:t>
            </w:r>
          </w:p>
        </w:tc>
      </w:tr>
      <w:tr w:rsidR="00FF2840" w:rsidRPr="00467E47" w14:paraId="150406C0" w14:textId="77777777" w:rsidTr="00B869D6">
        <w:trPr>
          <w:gridAfter w:val="1"/>
          <w:wAfter w:w="11" w:type="dxa"/>
          <w:trHeight w:val="216"/>
        </w:trPr>
        <w:tc>
          <w:tcPr>
            <w:tcW w:w="1418" w:type="dxa"/>
            <w:tcMar>
              <w:top w:w="29" w:type="dxa"/>
              <w:left w:w="115" w:type="dxa"/>
              <w:bottom w:w="29" w:type="dxa"/>
              <w:right w:w="115" w:type="dxa"/>
            </w:tcMar>
          </w:tcPr>
          <w:p w14:paraId="50FA3300" w14:textId="5202F5F0"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2025 11 28</w:t>
            </w:r>
          </w:p>
        </w:tc>
        <w:tc>
          <w:tcPr>
            <w:tcW w:w="5812" w:type="dxa"/>
            <w:tcMar>
              <w:top w:w="29" w:type="dxa"/>
              <w:left w:w="115" w:type="dxa"/>
              <w:bottom w:w="29" w:type="dxa"/>
              <w:right w:w="115" w:type="dxa"/>
            </w:tcMar>
          </w:tcPr>
          <w:p w14:paraId="298354A1" w14:textId="1D39FA5E"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Pagal 2025 m. lapkričio 28 d. Prancūzijos nacionalinio statistikos ir ekonomikos tyrimų instituto (INSEE) paskelbtus duomenis, Prancūzijos bendrasis vidaus produktas (BVP) 2025 m. trečiąjį ketvirtį padidėjo 0,5 %, palyginti su 0,3 % antrąjį ir 0,1 % pirmąjį ketvirtį. Spartesnį ekonomikos augimą daugiausia lėmė reikšmingas eksporto padidėjimas, kuris siekė 3,2 %. Namų ūkių vartojimo išlaidos prekėms 2025 m. spalio mėn. išaugo 0,4 %, po 0,3 % augimo rugsėjį. Šį augimą daugiausia paskatino didėjantis energijos vartojimas (1,4 %) ir maisto prekių vartojimas (0,4 %). Tuo tarpu pramoninių prekių vartojimas išliko stabilus. Metinė infliacija 2025 m. lapkričio mėn., kaip ir spalį, sudarė 0,9 %. Šį stabilumą lėmė lėtesnis paslaugų kainų augimas bei spartesnis pramoninių prekių kainų mažėjimas.</w:t>
            </w:r>
          </w:p>
        </w:tc>
        <w:tc>
          <w:tcPr>
            <w:tcW w:w="2268" w:type="dxa"/>
            <w:tcMar>
              <w:top w:w="29" w:type="dxa"/>
              <w:left w:w="115" w:type="dxa"/>
              <w:bottom w:w="29" w:type="dxa"/>
              <w:right w:w="115" w:type="dxa"/>
            </w:tcMar>
          </w:tcPr>
          <w:p w14:paraId="2E525EDC" w14:textId="6A4C5F18" w:rsidR="00FF2840" w:rsidRPr="00467E47" w:rsidRDefault="00FF2840" w:rsidP="00467E47">
            <w:pPr>
              <w:spacing w:before="120" w:after="120" w:line="240" w:lineRule="auto"/>
              <w:rPr>
                <w:rFonts w:ascii="Times New Roman" w:eastAsia="Times New Roman" w:hAnsi="Times New Roman"/>
              </w:rPr>
            </w:pPr>
            <w:hyperlink r:id="rId29" w:history="1">
              <w:proofErr w:type="spellStart"/>
              <w:r w:rsidRPr="00467E47">
                <w:rPr>
                  <w:rStyle w:val="Hyperlink"/>
                  <w:rFonts w:ascii="Times New Roman" w:eastAsia="Times New Roman" w:hAnsi="Times New Roman"/>
                </w:rPr>
                <w:t>Le</w:t>
              </w:r>
              <w:proofErr w:type="spellEnd"/>
              <w:r w:rsidRPr="00467E47">
                <w:rPr>
                  <w:rStyle w:val="Hyperlink"/>
                  <w:rFonts w:ascii="Times New Roman" w:eastAsia="Times New Roman" w:hAnsi="Times New Roman"/>
                </w:rPr>
                <w:t xml:space="preserve"> PIB </w:t>
              </w:r>
              <w:proofErr w:type="spellStart"/>
              <w:r w:rsidRPr="00467E47">
                <w:rPr>
                  <w:rStyle w:val="Hyperlink"/>
                  <w:rFonts w:ascii="Times New Roman" w:eastAsia="Times New Roman" w:hAnsi="Times New Roman"/>
                </w:rPr>
                <w:t>en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hausse</w:t>
              </w:r>
              <w:proofErr w:type="spellEnd"/>
              <w:r w:rsidRPr="00467E47">
                <w:rPr>
                  <w:rStyle w:val="Hyperlink"/>
                  <w:rFonts w:ascii="Times New Roman" w:eastAsia="Times New Roman" w:hAnsi="Times New Roman"/>
                </w:rPr>
                <w:t xml:space="preserve"> de 0,5 % </w:t>
              </w:r>
              <w:proofErr w:type="spellStart"/>
              <w:r w:rsidRPr="00467E47">
                <w:rPr>
                  <w:rStyle w:val="Hyperlink"/>
                  <w:rFonts w:ascii="Times New Roman" w:eastAsia="Times New Roman" w:hAnsi="Times New Roman"/>
                </w:rPr>
                <w:t>au</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troisième</w:t>
              </w:r>
              <w:proofErr w:type="spellEnd"/>
              <w:r w:rsidRPr="00467E47">
                <w:rPr>
                  <w:rStyle w:val="Hyperlink"/>
                  <w:rFonts w:ascii="Times New Roman" w:eastAsia="Times New Roman" w:hAnsi="Times New Roman"/>
                </w:rPr>
                <w:t xml:space="preserve"> trimestre, </w:t>
              </w:r>
              <w:proofErr w:type="spellStart"/>
              <w:r w:rsidRPr="00467E47">
                <w:rPr>
                  <w:rStyle w:val="Hyperlink"/>
                  <w:rFonts w:ascii="Times New Roman" w:eastAsia="Times New Roman" w:hAnsi="Times New Roman"/>
                </w:rPr>
                <w:t>l’inflation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stable</w:t>
              </w:r>
              <w:proofErr w:type="spellEnd"/>
              <w:r w:rsidRPr="00467E47">
                <w:rPr>
                  <w:rStyle w:val="Hyperlink"/>
                  <w:rFonts w:ascii="Times New Roman" w:eastAsia="Times New Roman" w:hAnsi="Times New Roman"/>
                </w:rPr>
                <w:t xml:space="preserve"> à 0,9 % </w:t>
              </w:r>
              <w:proofErr w:type="spellStart"/>
              <w:r w:rsidRPr="00467E47">
                <w:rPr>
                  <w:rStyle w:val="Hyperlink"/>
                  <w:rFonts w:ascii="Times New Roman" w:eastAsia="Times New Roman" w:hAnsi="Times New Roman"/>
                </w:rPr>
                <w:t>en</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novembre</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290DE482" w14:textId="49C04E0A"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Prancūzijos makroekonominiai rodikliai</w:t>
            </w:r>
          </w:p>
        </w:tc>
      </w:tr>
      <w:tr w:rsidR="00FF2840" w:rsidRPr="00467E47" w14:paraId="13F8C299" w14:textId="77777777" w:rsidTr="00B869D6">
        <w:trPr>
          <w:gridAfter w:val="1"/>
          <w:wAfter w:w="11" w:type="dxa"/>
          <w:trHeight w:val="216"/>
        </w:trPr>
        <w:tc>
          <w:tcPr>
            <w:tcW w:w="1418" w:type="dxa"/>
            <w:tcMar>
              <w:top w:w="29" w:type="dxa"/>
              <w:left w:w="115" w:type="dxa"/>
              <w:bottom w:w="29" w:type="dxa"/>
              <w:right w:w="115" w:type="dxa"/>
            </w:tcMar>
          </w:tcPr>
          <w:p w14:paraId="5683BE14" w14:textId="27FD9D68" w:rsidR="00FF2840" w:rsidRPr="00467E47" w:rsidRDefault="00FF2840"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2025 11 29</w:t>
            </w:r>
          </w:p>
        </w:tc>
        <w:tc>
          <w:tcPr>
            <w:tcW w:w="5812" w:type="dxa"/>
            <w:tcMar>
              <w:top w:w="29" w:type="dxa"/>
              <w:left w:w="115" w:type="dxa"/>
              <w:bottom w:w="29" w:type="dxa"/>
              <w:right w:w="115" w:type="dxa"/>
            </w:tcMar>
          </w:tcPr>
          <w:p w14:paraId="171FE64D" w14:textId="3563D155" w:rsidR="00FF2840" w:rsidRPr="00467E47" w:rsidRDefault="00757C2A" w:rsidP="00467E47">
            <w:pPr>
              <w:spacing w:before="120" w:after="120" w:line="240" w:lineRule="auto"/>
              <w:rPr>
                <w:rFonts w:ascii="Times New Roman" w:eastAsia="Times New Roman" w:hAnsi="Times New Roman"/>
              </w:rPr>
            </w:pPr>
            <w:r w:rsidRPr="00467E47">
              <w:rPr>
                <w:rFonts w:ascii="Times New Roman" w:eastAsia="Times New Roman" w:hAnsi="Times New Roman"/>
              </w:rPr>
              <w:t xml:space="preserve">Prancūzijos Senatas, tęsdamas 2026 m. biudžeto projekto svarstymą, atmetė Vyriausybės siūlymą dėl papildomo didžiųjų įmonių pelno apmokestinimo, kuris būtų atnešęs apie 4 mlrd. eurų papildomų pajamų. Šis mokestis būtų taikomas įmonėms, kurių metinė apyvarta viršija 1 mlrd. eurų, tokių įmonių yra apie 400, tačiau Senato narių dauguma nusprendė mokesčiui nepritarti. Nors sprendimas nėra galutinis, jis atskleidžia ryškų nesutarimą tarp Senato ir Nacionalinės </w:t>
            </w:r>
            <w:r w:rsidRPr="00467E47">
              <w:rPr>
                <w:rFonts w:ascii="Times New Roman" w:eastAsia="Times New Roman" w:hAnsi="Times New Roman"/>
              </w:rPr>
              <w:lastRenderedPageBreak/>
              <w:t xml:space="preserve">Asamblėjos, kuri šiai priemonei buvo pritarusi. Senatas pritarė siūlymui pertvarkyti nekilnojamojo turto mokestį (IFI) į platesnį didelio turto mokestį, </w:t>
            </w:r>
            <w:proofErr w:type="spellStart"/>
            <w:r w:rsidRPr="00467E47">
              <w:rPr>
                <w:rFonts w:ascii="Times New Roman" w:eastAsia="Times New Roman" w:hAnsi="Times New Roman"/>
              </w:rPr>
              <w:t>t.y</w:t>
            </w:r>
            <w:proofErr w:type="spellEnd"/>
            <w:r w:rsidRPr="00467E47">
              <w:rPr>
                <w:rFonts w:ascii="Times New Roman" w:eastAsia="Times New Roman" w:hAnsi="Times New Roman"/>
              </w:rPr>
              <w:t xml:space="preserve">. mažiau apmokestinant dalį nekilnojamojo turto ir labiau – finansinius aktyvus bei prabangos prekes. Buvo siūloma padidinti neapmokestinamo turto ribą nuo 1,3 mln. iki 2,57 mln. eurų, </w:t>
            </w:r>
            <w:proofErr w:type="spellStart"/>
            <w:r w:rsidRPr="00467E47">
              <w:rPr>
                <w:rFonts w:ascii="Times New Roman" w:eastAsia="Times New Roman" w:hAnsi="Times New Roman"/>
              </w:rPr>
              <w:t>t.y</w:t>
            </w:r>
            <w:proofErr w:type="spellEnd"/>
            <w:r w:rsidRPr="00467E47">
              <w:rPr>
                <w:rFonts w:ascii="Times New Roman" w:eastAsia="Times New Roman" w:hAnsi="Times New Roman"/>
              </w:rPr>
              <w:t xml:space="preserve">. kad mokestis neatsirastų vien dėl nekilnojamojo turto kainų augimo. Iš </w:t>
            </w:r>
            <w:proofErr w:type="spellStart"/>
            <w:r w:rsidRPr="00467E47">
              <w:rPr>
                <w:rFonts w:ascii="Times New Roman" w:eastAsia="Times New Roman" w:hAnsi="Times New Roman"/>
              </w:rPr>
              <w:t>apmokestinsmo</w:t>
            </w:r>
            <w:proofErr w:type="spellEnd"/>
            <w:r w:rsidRPr="00467E47">
              <w:rPr>
                <w:rFonts w:ascii="Times New Roman" w:eastAsia="Times New Roman" w:hAnsi="Times New Roman"/>
              </w:rPr>
              <w:t xml:space="preserve"> mokesčiu sąrašo siūloma išbraukti būstus, skirtus nuomai ir gamybinius pastatus bei įtraukti finansines lėšas, prabangos daiktus ir transporto priemones bei </w:t>
            </w:r>
            <w:proofErr w:type="spellStart"/>
            <w:r w:rsidRPr="00467E47">
              <w:rPr>
                <w:rFonts w:ascii="Times New Roman" w:eastAsia="Times New Roman" w:hAnsi="Times New Roman"/>
              </w:rPr>
              <w:t>kriptovaliutą</w:t>
            </w:r>
            <w:proofErr w:type="spellEnd"/>
            <w:r w:rsidRPr="00467E47">
              <w:rPr>
                <w:rFonts w:ascii="Times New Roman" w:eastAsia="Times New Roman" w:hAnsi="Times New Roman"/>
              </w:rPr>
              <w:t>.</w:t>
            </w:r>
          </w:p>
        </w:tc>
        <w:tc>
          <w:tcPr>
            <w:tcW w:w="2268" w:type="dxa"/>
            <w:tcMar>
              <w:top w:w="29" w:type="dxa"/>
              <w:left w:w="115" w:type="dxa"/>
              <w:bottom w:w="29" w:type="dxa"/>
              <w:right w:w="115" w:type="dxa"/>
            </w:tcMar>
          </w:tcPr>
          <w:p w14:paraId="131A5D68" w14:textId="77777777" w:rsidR="00757C2A" w:rsidRPr="00467E47" w:rsidRDefault="00757C2A" w:rsidP="00467E47">
            <w:pPr>
              <w:spacing w:before="120" w:after="120" w:line="240" w:lineRule="auto"/>
              <w:rPr>
                <w:rFonts w:ascii="Times New Roman" w:hAnsi="Times New Roman"/>
              </w:rPr>
            </w:pPr>
            <w:hyperlink r:id="rId30" w:history="1">
              <w:proofErr w:type="spellStart"/>
              <w:r w:rsidRPr="00467E47">
                <w:rPr>
                  <w:rStyle w:val="Hyperlink"/>
                  <w:rFonts w:ascii="Times New Roman" w:hAnsi="Times New Roman"/>
                </w:rPr>
                <w:t>Surtaxe</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des</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entreprises</w:t>
              </w:r>
              <w:proofErr w:type="spellEnd"/>
              <w:r w:rsidRPr="00467E47">
                <w:rPr>
                  <w:rStyle w:val="Hyperlink"/>
                  <w:rFonts w:ascii="Times New Roman" w:hAnsi="Times New Roman"/>
                </w:rPr>
                <w:t xml:space="preserve">, IFI… </w:t>
              </w:r>
              <w:proofErr w:type="spellStart"/>
              <w:r w:rsidRPr="00467E47">
                <w:rPr>
                  <w:rStyle w:val="Hyperlink"/>
                  <w:rFonts w:ascii="Times New Roman" w:hAnsi="Times New Roman"/>
                </w:rPr>
                <w:t>Le</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Sénat</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continue</w:t>
              </w:r>
              <w:proofErr w:type="spellEnd"/>
              <w:r w:rsidRPr="00467E47">
                <w:rPr>
                  <w:rStyle w:val="Hyperlink"/>
                  <w:rFonts w:ascii="Times New Roman" w:hAnsi="Times New Roman"/>
                </w:rPr>
                <w:t xml:space="preserve"> de </w:t>
              </w:r>
              <w:proofErr w:type="spellStart"/>
              <w:r w:rsidRPr="00467E47">
                <w:rPr>
                  <w:rStyle w:val="Hyperlink"/>
                  <w:rFonts w:ascii="Times New Roman" w:hAnsi="Times New Roman"/>
                </w:rPr>
                <w:t>détricoter</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le</w:t>
              </w:r>
              <w:proofErr w:type="spellEnd"/>
              <w:r w:rsidRPr="00467E47">
                <w:rPr>
                  <w:rStyle w:val="Hyperlink"/>
                  <w:rFonts w:ascii="Times New Roman" w:hAnsi="Times New Roman"/>
                </w:rPr>
                <w:t xml:space="preserve"> </w:t>
              </w:r>
              <w:proofErr w:type="spellStart"/>
              <w:r w:rsidRPr="00467E47">
                <w:rPr>
                  <w:rStyle w:val="Hyperlink"/>
                  <w:rFonts w:ascii="Times New Roman" w:hAnsi="Times New Roman"/>
                </w:rPr>
                <w:t>budget</w:t>
              </w:r>
              <w:proofErr w:type="spellEnd"/>
              <w:r w:rsidRPr="00467E47">
                <w:rPr>
                  <w:rStyle w:val="Hyperlink"/>
                  <w:rFonts w:ascii="Times New Roman" w:hAnsi="Times New Roman"/>
                </w:rPr>
                <w:t xml:space="preserve"> 2026 | Les </w:t>
              </w:r>
              <w:proofErr w:type="spellStart"/>
              <w:r w:rsidRPr="00467E47">
                <w:rPr>
                  <w:rStyle w:val="Hyperlink"/>
                  <w:rFonts w:ascii="Times New Roman" w:hAnsi="Times New Roman"/>
                </w:rPr>
                <w:t>Echos</w:t>
              </w:r>
              <w:proofErr w:type="spellEnd"/>
            </w:hyperlink>
          </w:p>
          <w:p w14:paraId="3DD2D411" w14:textId="2B771982" w:rsidR="00FF2840" w:rsidRPr="00467E47" w:rsidRDefault="00FF2840" w:rsidP="00467E47">
            <w:pPr>
              <w:spacing w:before="120" w:after="120" w:line="240" w:lineRule="auto"/>
              <w:rPr>
                <w:rFonts w:ascii="Times New Roman" w:eastAsia="Times New Roman" w:hAnsi="Times New Roman"/>
              </w:rPr>
            </w:pPr>
            <w:hyperlink r:id="rId31" w:history="1">
              <w:proofErr w:type="spellStart"/>
              <w:r w:rsidRPr="00467E47">
                <w:rPr>
                  <w:rStyle w:val="Hyperlink"/>
                  <w:rFonts w:ascii="Times New Roman" w:eastAsia="Times New Roman" w:hAnsi="Times New Roman"/>
                </w:rPr>
                <w:t>Budget</w:t>
              </w:r>
              <w:proofErr w:type="spellEnd"/>
              <w:r w:rsidRPr="00467E47">
                <w:rPr>
                  <w:rStyle w:val="Hyperlink"/>
                  <w:rFonts w:ascii="Times New Roman" w:eastAsia="Times New Roman" w:hAnsi="Times New Roman"/>
                </w:rPr>
                <w:t xml:space="preserve"> 2026 : </w:t>
              </w:r>
              <w:proofErr w:type="spellStart"/>
              <w:r w:rsidRPr="00467E47">
                <w:rPr>
                  <w:rStyle w:val="Hyperlink"/>
                  <w:rFonts w:ascii="Times New Roman" w:eastAsia="Times New Roman" w:hAnsi="Times New Roman"/>
                </w:rPr>
                <w:t>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Sénat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rejette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la</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surtaxe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visant</w:t>
              </w:r>
              <w:proofErr w:type="spellEnd"/>
              <w:r w:rsidRPr="00467E47">
                <w:rPr>
                  <w:rStyle w:val="Hyperlink"/>
                  <w:rFonts w:ascii="Times New Roman" w:eastAsia="Times New Roman" w:hAnsi="Times New Roman"/>
                </w:rPr>
                <w:t xml:space="preserve"> les </w:t>
              </w:r>
              <w:proofErr w:type="spellStart"/>
              <w:r w:rsidRPr="00467E47">
                <w:rPr>
                  <w:rStyle w:val="Hyperlink"/>
                  <w:rFonts w:ascii="Times New Roman" w:eastAsia="Times New Roman" w:hAnsi="Times New Roman"/>
                </w:rPr>
                <w:t>grandes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entreprises</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lastRenderedPageBreak/>
                <w:t>votée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par</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l’Assemblée</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5C1E5D93" w14:textId="78021F24" w:rsidR="00FF2840" w:rsidRPr="00467E47" w:rsidRDefault="003138A4" w:rsidP="00467E47">
            <w:pPr>
              <w:spacing w:before="120" w:after="120" w:line="240" w:lineRule="auto"/>
              <w:rPr>
                <w:rFonts w:ascii="Times New Roman" w:eastAsia="Times New Roman" w:hAnsi="Times New Roman"/>
              </w:rPr>
            </w:pPr>
            <w:r w:rsidRPr="00467E47">
              <w:rPr>
                <w:rFonts w:ascii="Times New Roman" w:eastAsia="Times New Roman" w:hAnsi="Times New Roman"/>
              </w:rPr>
              <w:lastRenderedPageBreak/>
              <w:t xml:space="preserve">Derybos dėl </w:t>
            </w:r>
            <w:r w:rsidRPr="00467E47">
              <w:rPr>
                <w:rFonts w:ascii="Times New Roman" w:eastAsia="Times New Roman" w:hAnsi="Times New Roman"/>
                <w:lang w:val="es-ES"/>
              </w:rPr>
              <w:t xml:space="preserve">2026 m. </w:t>
            </w:r>
            <w:proofErr w:type="spellStart"/>
            <w:r w:rsidRPr="00467E47">
              <w:rPr>
                <w:rFonts w:ascii="Times New Roman" w:eastAsia="Times New Roman" w:hAnsi="Times New Roman"/>
                <w:lang w:val="es-ES"/>
              </w:rPr>
              <w:t>biud</w:t>
            </w:r>
            <w:r w:rsidRPr="00467E47">
              <w:rPr>
                <w:rFonts w:ascii="Times New Roman" w:eastAsia="Times New Roman" w:hAnsi="Times New Roman"/>
              </w:rPr>
              <w:t>žeto</w:t>
            </w:r>
            <w:proofErr w:type="spellEnd"/>
          </w:p>
        </w:tc>
      </w:tr>
      <w:tr w:rsidR="00FF2840" w:rsidRPr="00467E47" w14:paraId="53686C05" w14:textId="77777777" w:rsidTr="00090377">
        <w:trPr>
          <w:trHeight w:val="216"/>
        </w:trPr>
        <w:tc>
          <w:tcPr>
            <w:tcW w:w="10945" w:type="dxa"/>
            <w:gridSpan w:val="5"/>
            <w:tcMar>
              <w:top w:w="29" w:type="dxa"/>
              <w:left w:w="115" w:type="dxa"/>
              <w:bottom w:w="29" w:type="dxa"/>
              <w:right w:w="115" w:type="dxa"/>
            </w:tcMar>
          </w:tcPr>
          <w:p w14:paraId="494E142A" w14:textId="5EC2B793" w:rsidR="00FF2840" w:rsidRPr="00467E47" w:rsidRDefault="00FF2840" w:rsidP="00467E47">
            <w:pPr>
              <w:spacing w:before="120" w:after="120" w:line="240" w:lineRule="auto"/>
              <w:rPr>
                <w:rFonts w:ascii="Times New Roman" w:eastAsia="Times New Roman" w:hAnsi="Times New Roman"/>
                <w:b/>
              </w:rPr>
            </w:pPr>
            <w:bookmarkStart w:id="0" w:name="_heading=h.3ewnitgxijcj" w:colFirst="0" w:colLast="0"/>
            <w:bookmarkEnd w:id="0"/>
            <w:r w:rsidRPr="00467E47">
              <w:rPr>
                <w:rFonts w:ascii="Times New Roman" w:eastAsia="Times New Roman" w:hAnsi="Times New Roman"/>
                <w:b/>
              </w:rPr>
              <w:t>Kita ekonominiam bendradarbiavimui aktuali informacija</w:t>
            </w:r>
          </w:p>
        </w:tc>
      </w:tr>
      <w:tr w:rsidR="005631B4" w:rsidRPr="00467E47" w14:paraId="7FBF77F8" w14:textId="77777777" w:rsidTr="00B869D6">
        <w:trPr>
          <w:gridAfter w:val="1"/>
          <w:wAfter w:w="11" w:type="dxa"/>
          <w:trHeight w:val="216"/>
        </w:trPr>
        <w:tc>
          <w:tcPr>
            <w:tcW w:w="1418" w:type="dxa"/>
            <w:tcMar>
              <w:top w:w="29" w:type="dxa"/>
              <w:left w:w="115" w:type="dxa"/>
              <w:bottom w:w="29" w:type="dxa"/>
              <w:right w:w="115" w:type="dxa"/>
            </w:tcMar>
          </w:tcPr>
          <w:p w14:paraId="5ACD41C3" w14:textId="559091EC" w:rsidR="005631B4" w:rsidRPr="00467E47" w:rsidRDefault="005631B4" w:rsidP="00467E47">
            <w:pPr>
              <w:spacing w:before="120" w:after="120" w:line="240" w:lineRule="auto"/>
              <w:rPr>
                <w:rFonts w:ascii="Times New Roman" w:eastAsia="Times New Roman" w:hAnsi="Times New Roman"/>
                <w:lang w:val="en-US"/>
              </w:rPr>
            </w:pPr>
            <w:r w:rsidRPr="00467E47">
              <w:rPr>
                <w:rFonts w:ascii="Times New Roman" w:eastAsia="Times New Roman" w:hAnsi="Times New Roman"/>
                <w:lang w:val="en-US"/>
              </w:rPr>
              <w:t>2025 11 11</w:t>
            </w:r>
          </w:p>
        </w:tc>
        <w:tc>
          <w:tcPr>
            <w:tcW w:w="5812" w:type="dxa"/>
            <w:tcMar>
              <w:top w:w="29" w:type="dxa"/>
              <w:left w:w="115" w:type="dxa"/>
              <w:bottom w:w="29" w:type="dxa"/>
              <w:right w:w="115" w:type="dxa"/>
            </w:tcMar>
          </w:tcPr>
          <w:p w14:paraId="0F60AEEF" w14:textId="2769AB48" w:rsidR="005631B4" w:rsidRPr="00467E47" w:rsidRDefault="005631B4" w:rsidP="00467E47">
            <w:pPr>
              <w:spacing w:before="120" w:after="120" w:line="240" w:lineRule="auto"/>
              <w:rPr>
                <w:rFonts w:ascii="Times New Roman" w:eastAsia="Times New Roman" w:hAnsi="Times New Roman"/>
              </w:rPr>
            </w:pPr>
            <w:r w:rsidRPr="00467E47">
              <w:rPr>
                <w:rFonts w:ascii="Times New Roman" w:eastAsia="Times New Roman" w:hAnsi="Times New Roman"/>
              </w:rPr>
              <w:t>Naudotų drabužių prekyba sparčiai auga ir tampa rimta alternatyva itin pigiems greitosios mados gamintojams, tokiems kaip „</w:t>
            </w:r>
            <w:proofErr w:type="spellStart"/>
            <w:r w:rsidRPr="00467E47">
              <w:rPr>
                <w:rFonts w:ascii="Times New Roman" w:eastAsia="Times New Roman" w:hAnsi="Times New Roman"/>
              </w:rPr>
              <w:t>Shein</w:t>
            </w:r>
            <w:proofErr w:type="spellEnd"/>
            <w:r w:rsidRPr="00467E47">
              <w:rPr>
                <w:rFonts w:ascii="Times New Roman" w:eastAsia="Times New Roman" w:hAnsi="Times New Roman"/>
              </w:rPr>
              <w:t>“. Prancūzijoje didžiausiu drabužių pardavėju pagal parduotų vienetų skaičių tapo „</w:t>
            </w:r>
            <w:proofErr w:type="spellStart"/>
            <w:r w:rsidRPr="00467E47">
              <w:rPr>
                <w:rFonts w:ascii="Times New Roman" w:eastAsia="Times New Roman" w:hAnsi="Times New Roman"/>
              </w:rPr>
              <w:t>Vinted</w:t>
            </w:r>
            <w:proofErr w:type="spellEnd"/>
            <w:r w:rsidRPr="00467E47">
              <w:rPr>
                <w:rFonts w:ascii="Times New Roman" w:eastAsia="Times New Roman" w:hAnsi="Times New Roman"/>
              </w:rPr>
              <w:t>“ – platforma, kilusi iš Lietuvos. Ji jau pralenkė tokias parduotuves kaip „Amazon“ ir „</w:t>
            </w:r>
            <w:proofErr w:type="spellStart"/>
            <w:r w:rsidRPr="00467E47">
              <w:rPr>
                <w:rFonts w:ascii="Times New Roman" w:eastAsia="Times New Roman" w:hAnsi="Times New Roman"/>
              </w:rPr>
              <w:t>Kiabi</w:t>
            </w:r>
            <w:proofErr w:type="spellEnd"/>
            <w:r w:rsidRPr="00467E47">
              <w:rPr>
                <w:rFonts w:ascii="Times New Roman" w:eastAsia="Times New Roman" w:hAnsi="Times New Roman"/>
              </w:rPr>
              <w:t>“. Vartotojus vilioja ne tik žema kaina, bet ir mažesnė žala aplinkai. Naudotų drabužių rinka pasaulyje kasmet auga apie 10 % ir iki 2030 metų gali pasiekti labai didelę ekonominę vertę. Prancūzijoje jau daugiau kaip dešimtadalis visų drabužių parduodama iš antrų rankų, ypač aktyviai per internetą. Ši tendencija ypač populiari tarp jaunų žmonių. Tačiau naudotų drabužių verslams kyla sunkumų dėl drabužių surinkimo, valymo, taisymo ir perdirbimo kaštų. Vis dėlto naudotų drabužių prekyba plečiasi net ir prabangių prekių srityje.</w:t>
            </w:r>
          </w:p>
        </w:tc>
        <w:tc>
          <w:tcPr>
            <w:tcW w:w="2268" w:type="dxa"/>
            <w:tcMar>
              <w:top w:w="29" w:type="dxa"/>
              <w:left w:w="115" w:type="dxa"/>
              <w:bottom w:w="29" w:type="dxa"/>
              <w:right w:w="115" w:type="dxa"/>
            </w:tcMar>
          </w:tcPr>
          <w:p w14:paraId="0B23B92E" w14:textId="241F488A" w:rsidR="005631B4" w:rsidRPr="00467E47" w:rsidRDefault="005631B4" w:rsidP="00467E47">
            <w:pPr>
              <w:spacing w:before="120" w:after="120" w:line="240" w:lineRule="auto"/>
              <w:rPr>
                <w:rFonts w:ascii="Times New Roman" w:hAnsi="Times New Roman"/>
              </w:rPr>
            </w:pPr>
            <w:hyperlink r:id="rId32" w:history="1">
              <w:proofErr w:type="spellStart"/>
              <w:r w:rsidRPr="00467E47">
                <w:rPr>
                  <w:rFonts w:ascii="Times New Roman" w:hAnsi="Times New Roman"/>
                  <w:color w:val="0000FF"/>
                  <w:u w:val="single"/>
                </w:rPr>
                <w:t>Peu</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chère</w:t>
              </w:r>
              <w:proofErr w:type="spellEnd"/>
              <w:r w:rsidRPr="00467E47">
                <w:rPr>
                  <w:rFonts w:ascii="Times New Roman" w:hAnsi="Times New Roman"/>
                  <w:color w:val="0000FF"/>
                  <w:u w:val="single"/>
                </w:rPr>
                <w:t xml:space="preserve"> et </w:t>
              </w:r>
              <w:proofErr w:type="spellStart"/>
              <w:r w:rsidRPr="00467E47">
                <w:rPr>
                  <w:rFonts w:ascii="Times New Roman" w:hAnsi="Times New Roman"/>
                  <w:color w:val="0000FF"/>
                  <w:u w:val="single"/>
                </w:rPr>
                <w:t>durable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la</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seconde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main</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vrai</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bouclier</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anti-Shein</w:t>
              </w:r>
              <w:proofErr w:type="spellEnd"/>
              <w:r w:rsidRPr="00467E47">
                <w:rPr>
                  <w:rFonts w:ascii="Times New Roman" w:hAnsi="Times New Roman"/>
                  <w:color w:val="0000FF"/>
                  <w:u w:val="single"/>
                </w:rPr>
                <w:t xml:space="preserve"> | Les </w:t>
              </w:r>
              <w:proofErr w:type="spellStart"/>
              <w:r w:rsidRPr="00467E47">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7483CF95" w14:textId="495F1565" w:rsidR="005631B4" w:rsidRPr="00467E47" w:rsidRDefault="005631B4" w:rsidP="00467E47">
            <w:pPr>
              <w:spacing w:before="120" w:after="120" w:line="240" w:lineRule="auto"/>
              <w:rPr>
                <w:rFonts w:ascii="Times New Roman" w:hAnsi="Times New Roman"/>
              </w:rPr>
            </w:pPr>
            <w:r w:rsidRPr="00467E47">
              <w:rPr>
                <w:rFonts w:ascii="Times New Roman" w:hAnsi="Times New Roman"/>
              </w:rPr>
              <w:t>Naudotų drabužių rinka auga</w:t>
            </w:r>
          </w:p>
        </w:tc>
      </w:tr>
      <w:tr w:rsidR="00FF2840" w:rsidRPr="00467E47" w14:paraId="11C5CE81" w14:textId="77777777" w:rsidTr="00B869D6">
        <w:trPr>
          <w:gridAfter w:val="1"/>
          <w:wAfter w:w="11" w:type="dxa"/>
          <w:trHeight w:val="216"/>
        </w:trPr>
        <w:tc>
          <w:tcPr>
            <w:tcW w:w="1418" w:type="dxa"/>
            <w:tcMar>
              <w:top w:w="29" w:type="dxa"/>
              <w:left w:w="115" w:type="dxa"/>
              <w:bottom w:w="29" w:type="dxa"/>
              <w:right w:w="115" w:type="dxa"/>
            </w:tcMar>
          </w:tcPr>
          <w:p w14:paraId="6804D0B5" w14:textId="1E653BD8"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2025 11 17</w:t>
            </w:r>
          </w:p>
        </w:tc>
        <w:tc>
          <w:tcPr>
            <w:tcW w:w="5812" w:type="dxa"/>
            <w:tcMar>
              <w:top w:w="29" w:type="dxa"/>
              <w:left w:w="115" w:type="dxa"/>
              <w:bottom w:w="29" w:type="dxa"/>
              <w:right w:w="115" w:type="dxa"/>
            </w:tcMar>
          </w:tcPr>
          <w:p w14:paraId="163BF809" w14:textId="77777777"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Pirmojo tik prancūziškoms įmonėms skirto „</w:t>
            </w:r>
            <w:proofErr w:type="spellStart"/>
            <w:r w:rsidRPr="00467E47">
              <w:rPr>
                <w:rFonts w:ascii="Times New Roman" w:eastAsia="Times New Roman" w:hAnsi="Times New Roman"/>
              </w:rPr>
              <w:t>Choose</w:t>
            </w:r>
            <w:proofErr w:type="spellEnd"/>
            <w:r w:rsidRPr="00467E47">
              <w:rPr>
                <w:rFonts w:ascii="Times New Roman" w:eastAsia="Times New Roman" w:hAnsi="Times New Roman"/>
              </w:rPr>
              <w:t xml:space="preserve"> France“ renginio metu paskelbta, kad duomenų centrų operatorius </w:t>
            </w:r>
            <w:proofErr w:type="spellStart"/>
            <w:r w:rsidRPr="00467E47">
              <w:rPr>
                <w:rFonts w:ascii="Times New Roman" w:eastAsia="Times New Roman" w:hAnsi="Times New Roman"/>
              </w:rPr>
              <w:t>Opcore</w:t>
            </w:r>
            <w:proofErr w:type="spellEnd"/>
            <w:r w:rsidRPr="00467E47">
              <w:rPr>
                <w:rFonts w:ascii="Times New Roman" w:eastAsia="Times New Roman" w:hAnsi="Times New Roman"/>
              </w:rPr>
              <w:t xml:space="preserve"> planuoja investuoti beveik 4 mlrd. eurų į naują duomenų centrą </w:t>
            </w:r>
            <w:proofErr w:type="spellStart"/>
            <w:r w:rsidRPr="00467E47">
              <w:rPr>
                <w:rFonts w:ascii="Times New Roman" w:eastAsia="Times New Roman" w:hAnsi="Times New Roman"/>
              </w:rPr>
              <w:t>Seine</w:t>
            </w:r>
            <w:proofErr w:type="spellEnd"/>
            <w:r w:rsidRPr="00467E47">
              <w:rPr>
                <w:rFonts w:ascii="Times New Roman" w:eastAsia="Times New Roman" w:hAnsi="Times New Roman"/>
              </w:rPr>
              <w:t>-et-</w:t>
            </w:r>
            <w:proofErr w:type="spellStart"/>
            <w:r w:rsidRPr="00467E47">
              <w:rPr>
                <w:rFonts w:ascii="Times New Roman" w:eastAsia="Times New Roman" w:hAnsi="Times New Roman"/>
              </w:rPr>
              <w:t>Marne</w:t>
            </w:r>
            <w:proofErr w:type="spellEnd"/>
            <w:r w:rsidRPr="00467E47">
              <w:rPr>
                <w:rFonts w:ascii="Times New Roman" w:eastAsia="Times New Roman" w:hAnsi="Times New Roman"/>
              </w:rPr>
              <w:t xml:space="preserve"> regione, maždaug 80 km į pietryčius nuo Paryžiaus, buvusios EDF elektrinės teritorijoje. Tai didžiausia renginyje pristatyta investicija, kuri leistų sukurti kelis šimtus darbo vietų, o centro veiklos pradžia planuojama 2027 m. Projektas siejamas su Prancūzijos strategija stiprinti šalies pozicijas dirbtinio intelekto infrastruktūros srityje ir pritraukti daugiau duomenų centrų, pasitelkiant turimą branduolinės energetikos dėka gaminamos mažo anglies pėdsako elektros pranašumą. Ekonomikos ministras Rolandas </w:t>
            </w:r>
            <w:proofErr w:type="spellStart"/>
            <w:r w:rsidRPr="00467E47">
              <w:rPr>
                <w:rFonts w:ascii="Times New Roman" w:eastAsia="Times New Roman" w:hAnsi="Times New Roman"/>
              </w:rPr>
              <w:t>Lescure</w:t>
            </w:r>
            <w:proofErr w:type="spellEnd"/>
            <w:r w:rsidRPr="00467E47">
              <w:rPr>
                <w:rFonts w:ascii="Times New Roman" w:eastAsia="Times New Roman" w:hAnsi="Times New Roman"/>
              </w:rPr>
              <w:t xml:space="preserve"> pabrėžė, kad toks reikšmingas investicinis projektas rodo Prancūzijos ryžtą dalyvauti dirbtinio intelekto revoliucijos priešakinėse linijose. Valstybė taip pat parengė tinkamų vietovių, pritaikytų duomenų centrams, sąrašą visoje šalyje, kad šių energijai imlių objektų diegimas būtų spartesnis ir patrauklesnis investuotojams.</w:t>
            </w:r>
          </w:p>
          <w:p w14:paraId="1BC7A83E" w14:textId="19E0507D" w:rsidR="00FF2840" w:rsidRPr="00467E47" w:rsidRDefault="00FF2840" w:rsidP="00467E47">
            <w:pPr>
              <w:spacing w:before="120" w:after="120" w:line="240" w:lineRule="auto"/>
              <w:rPr>
                <w:rFonts w:ascii="Times New Roman" w:eastAsia="Times New Roman" w:hAnsi="Times New Roman"/>
              </w:rPr>
            </w:pPr>
          </w:p>
        </w:tc>
        <w:tc>
          <w:tcPr>
            <w:tcW w:w="2268" w:type="dxa"/>
            <w:tcMar>
              <w:top w:w="29" w:type="dxa"/>
              <w:left w:w="115" w:type="dxa"/>
              <w:bottom w:w="29" w:type="dxa"/>
              <w:right w:w="115" w:type="dxa"/>
            </w:tcMar>
          </w:tcPr>
          <w:p w14:paraId="558E08FF" w14:textId="74089A9C" w:rsidR="00FF2840" w:rsidRPr="00467E47" w:rsidRDefault="00FF2840" w:rsidP="00467E47">
            <w:pPr>
              <w:spacing w:before="120" w:after="120" w:line="240" w:lineRule="auto"/>
              <w:rPr>
                <w:rFonts w:ascii="Times New Roman" w:eastAsia="Times New Roman" w:hAnsi="Times New Roman"/>
              </w:rPr>
            </w:pPr>
            <w:hyperlink r:id="rId33" w:history="1">
              <w:proofErr w:type="spellStart"/>
              <w:r w:rsidRPr="00467E47">
                <w:rPr>
                  <w:rFonts w:ascii="Times New Roman" w:hAnsi="Times New Roman"/>
                  <w:color w:val="0000FF"/>
                  <w:u w:val="single"/>
                </w:rPr>
                <w:t>L’opérateur</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Opcore</w:t>
              </w:r>
              <w:proofErr w:type="spellEnd"/>
              <w:r w:rsidRPr="00467E47">
                <w:rPr>
                  <w:rFonts w:ascii="Times New Roman" w:hAnsi="Times New Roman"/>
                  <w:color w:val="0000FF"/>
                  <w:u w:val="single"/>
                </w:rPr>
                <w:t xml:space="preserve"> va </w:t>
              </w:r>
              <w:proofErr w:type="spellStart"/>
              <w:r w:rsidRPr="00467E47">
                <w:rPr>
                  <w:rFonts w:ascii="Times New Roman" w:hAnsi="Times New Roman"/>
                  <w:color w:val="0000FF"/>
                  <w:u w:val="single"/>
                </w:rPr>
                <w:t>investir</w:t>
              </w:r>
              <w:proofErr w:type="spellEnd"/>
              <w:r w:rsidRPr="00467E47">
                <w:rPr>
                  <w:rFonts w:ascii="Times New Roman" w:hAnsi="Times New Roman"/>
                  <w:color w:val="0000FF"/>
                  <w:u w:val="single"/>
                </w:rPr>
                <w:t xml:space="preserve"> 4 </w:t>
              </w:r>
              <w:proofErr w:type="spellStart"/>
              <w:r w:rsidRPr="00467E47">
                <w:rPr>
                  <w:rFonts w:ascii="Times New Roman" w:hAnsi="Times New Roman"/>
                  <w:color w:val="0000FF"/>
                  <w:u w:val="single"/>
                </w:rPr>
                <w:t>milliards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d’euros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dans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un</w:t>
              </w:r>
              <w:proofErr w:type="spellEnd"/>
              <w:r w:rsidRPr="00467E47">
                <w:rPr>
                  <w:rFonts w:ascii="Times New Roman" w:hAnsi="Times New Roman"/>
                  <w:color w:val="0000FF"/>
                  <w:u w:val="single"/>
                </w:rPr>
                <w:t xml:space="preserve"> centre de </w:t>
              </w:r>
              <w:proofErr w:type="spellStart"/>
              <w:r w:rsidRPr="00467E47">
                <w:rPr>
                  <w:rFonts w:ascii="Times New Roman" w:hAnsi="Times New Roman"/>
                  <w:color w:val="0000FF"/>
                  <w:u w:val="single"/>
                </w:rPr>
                <w:t>données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en</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Seine</w:t>
              </w:r>
              <w:proofErr w:type="spellEnd"/>
              <w:r w:rsidRPr="00467E47">
                <w:rPr>
                  <w:rFonts w:ascii="Times New Roman" w:hAnsi="Times New Roman"/>
                  <w:color w:val="0000FF"/>
                  <w:u w:val="single"/>
                </w:rPr>
                <w:t>-et-</w:t>
              </w:r>
              <w:proofErr w:type="spellStart"/>
              <w:r w:rsidRPr="00467E47">
                <w:rPr>
                  <w:rFonts w:ascii="Times New Roman" w:hAnsi="Times New Roman"/>
                  <w:color w:val="0000FF"/>
                  <w:u w:val="single"/>
                </w:rPr>
                <w:t>Marne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l’investissement</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le</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plus</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important</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annoncé</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au</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sommet</w:t>
              </w:r>
              <w:proofErr w:type="spellEnd"/>
              <w:r w:rsidRPr="00467E47">
                <w:rPr>
                  <w:rFonts w:ascii="Times New Roman" w:hAnsi="Times New Roman"/>
                  <w:color w:val="0000FF"/>
                  <w:u w:val="single"/>
                </w:rPr>
                <w:t xml:space="preserve"> </w:t>
              </w:r>
              <w:proofErr w:type="spellStart"/>
              <w:r w:rsidRPr="00467E47">
                <w:rPr>
                  <w:rFonts w:ascii="Times New Roman" w:hAnsi="Times New Roman"/>
                  <w:color w:val="0000FF"/>
                  <w:u w:val="single"/>
                </w:rPr>
                <w:t>Choose</w:t>
              </w:r>
              <w:proofErr w:type="spellEnd"/>
              <w:r w:rsidRPr="00467E47">
                <w:rPr>
                  <w:rFonts w:ascii="Times New Roman" w:hAnsi="Times New Roman"/>
                  <w:color w:val="0000FF"/>
                  <w:u w:val="single"/>
                </w:rPr>
                <w:t xml:space="preserve"> France</w:t>
              </w:r>
            </w:hyperlink>
          </w:p>
        </w:tc>
        <w:tc>
          <w:tcPr>
            <w:tcW w:w="1436" w:type="dxa"/>
            <w:tcMar>
              <w:top w:w="29" w:type="dxa"/>
              <w:left w:w="115" w:type="dxa"/>
              <w:bottom w:w="29" w:type="dxa"/>
              <w:right w:w="115" w:type="dxa"/>
            </w:tcMar>
          </w:tcPr>
          <w:p w14:paraId="44FBFA80" w14:textId="51328334" w:rsidR="00FF2840" w:rsidRPr="00467E47" w:rsidRDefault="00FF2840" w:rsidP="00467E47">
            <w:pPr>
              <w:spacing w:before="120" w:after="120" w:line="240" w:lineRule="auto"/>
              <w:rPr>
                <w:rFonts w:ascii="Times New Roman" w:eastAsia="Times New Roman" w:hAnsi="Times New Roman"/>
              </w:rPr>
            </w:pPr>
            <w:r w:rsidRPr="00467E47">
              <w:rPr>
                <w:rFonts w:ascii="Times New Roman" w:hAnsi="Times New Roman"/>
              </w:rPr>
              <w:t xml:space="preserve">AI ir duomenų centrų plėtra: </w:t>
            </w:r>
            <w:proofErr w:type="spellStart"/>
            <w:r w:rsidRPr="00467E47">
              <w:rPr>
                <w:rFonts w:ascii="Times New Roman" w:hAnsi="Times New Roman"/>
              </w:rPr>
              <w:t>Opcore</w:t>
            </w:r>
            <w:proofErr w:type="spellEnd"/>
          </w:p>
        </w:tc>
      </w:tr>
      <w:tr w:rsidR="00FF2840" w:rsidRPr="00467E47" w14:paraId="2809ECCD" w14:textId="77777777" w:rsidTr="00B869D6">
        <w:trPr>
          <w:gridAfter w:val="1"/>
          <w:wAfter w:w="11" w:type="dxa"/>
          <w:trHeight w:val="216"/>
        </w:trPr>
        <w:tc>
          <w:tcPr>
            <w:tcW w:w="1418" w:type="dxa"/>
            <w:tcMar>
              <w:top w:w="29" w:type="dxa"/>
              <w:left w:w="115" w:type="dxa"/>
              <w:bottom w:w="29" w:type="dxa"/>
              <w:right w:w="115" w:type="dxa"/>
            </w:tcMar>
          </w:tcPr>
          <w:p w14:paraId="2B000D10" w14:textId="7AFB617D"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t>2025 11 28</w:t>
            </w:r>
          </w:p>
        </w:tc>
        <w:tc>
          <w:tcPr>
            <w:tcW w:w="5812" w:type="dxa"/>
            <w:tcMar>
              <w:top w:w="29" w:type="dxa"/>
              <w:left w:w="115" w:type="dxa"/>
              <w:bottom w:w="29" w:type="dxa"/>
              <w:right w:w="115" w:type="dxa"/>
            </w:tcMar>
          </w:tcPr>
          <w:p w14:paraId="3C01EC10" w14:textId="12AA0640" w:rsidR="00FF2840" w:rsidRPr="00467E47" w:rsidRDefault="00FF2840" w:rsidP="00467E47">
            <w:pPr>
              <w:spacing w:before="120" w:after="120" w:line="240" w:lineRule="auto"/>
              <w:rPr>
                <w:rFonts w:ascii="Times New Roman" w:eastAsia="Times New Roman" w:hAnsi="Times New Roman"/>
                <w:bCs/>
              </w:rPr>
            </w:pPr>
            <w:r w:rsidRPr="00467E47">
              <w:rPr>
                <w:rFonts w:ascii="Times New Roman" w:eastAsia="Times New Roman" w:hAnsi="Times New Roman"/>
              </w:rPr>
              <w:t xml:space="preserve">Chemijos pramonės įmonės </w:t>
            </w:r>
            <w:proofErr w:type="spellStart"/>
            <w:r w:rsidRPr="00467E47">
              <w:rPr>
                <w:rFonts w:ascii="Times New Roman" w:eastAsia="Times New Roman" w:hAnsi="Times New Roman"/>
              </w:rPr>
              <w:t>Vencorex</w:t>
            </w:r>
            <w:proofErr w:type="spellEnd"/>
            <w:r w:rsidRPr="00467E47">
              <w:rPr>
                <w:rFonts w:ascii="Times New Roman" w:eastAsia="Times New Roman" w:hAnsi="Times New Roman"/>
              </w:rPr>
              <w:t xml:space="preserve"> viltis: „Projektas yra rimtas“, – pramonės ministras vertina </w:t>
            </w:r>
            <w:proofErr w:type="spellStart"/>
            <w:r w:rsidRPr="00467E47">
              <w:rPr>
                <w:rFonts w:ascii="Times New Roman" w:eastAsia="Times New Roman" w:hAnsi="Times New Roman"/>
              </w:rPr>
              <w:t>Exalia</w:t>
            </w:r>
            <w:proofErr w:type="spellEnd"/>
            <w:r w:rsidRPr="00467E47">
              <w:rPr>
                <w:rFonts w:ascii="Times New Roman" w:eastAsia="Times New Roman" w:hAnsi="Times New Roman"/>
              </w:rPr>
              <w:t xml:space="preserve"> perėmimo planą. </w:t>
            </w:r>
            <w:proofErr w:type="spellStart"/>
            <w:r w:rsidRPr="00467E47">
              <w:rPr>
                <w:rFonts w:ascii="Times New Roman" w:eastAsia="Times New Roman" w:hAnsi="Times New Roman"/>
              </w:rPr>
              <w:t>Pont</w:t>
            </w:r>
            <w:proofErr w:type="spellEnd"/>
            <w:r w:rsidRPr="00467E47">
              <w:rPr>
                <w:rFonts w:ascii="Times New Roman" w:eastAsia="Times New Roman" w:hAnsi="Times New Roman"/>
              </w:rPr>
              <w:t>-de-</w:t>
            </w:r>
            <w:proofErr w:type="spellStart"/>
            <w:r w:rsidRPr="00467E47">
              <w:rPr>
                <w:rFonts w:ascii="Times New Roman" w:eastAsia="Times New Roman" w:hAnsi="Times New Roman"/>
              </w:rPr>
              <w:t>Claix</w:t>
            </w:r>
            <w:proofErr w:type="spellEnd"/>
            <w:r w:rsidRPr="00467E47">
              <w:rPr>
                <w:rFonts w:ascii="Times New Roman" w:eastAsia="Times New Roman" w:hAnsi="Times New Roman"/>
              </w:rPr>
              <w:t xml:space="preserve"> chemijos platforma, esanti į pietus nuo Grenoblio aglomeracijos, buvo visiškai sustabdyta nuo tada, kai 2024 m. rugsėjį pagrindinė ją eksploatuojanti įmonė </w:t>
            </w:r>
            <w:r w:rsidRPr="00467E47">
              <w:rPr>
                <w:rFonts w:ascii="Times New Roman" w:eastAsia="Times New Roman" w:hAnsi="Times New Roman"/>
              </w:rPr>
              <w:lastRenderedPageBreak/>
              <w:t>„</w:t>
            </w:r>
            <w:proofErr w:type="spellStart"/>
            <w:r w:rsidRPr="00467E47">
              <w:rPr>
                <w:rFonts w:ascii="Times New Roman" w:eastAsia="Times New Roman" w:hAnsi="Times New Roman"/>
              </w:rPr>
              <w:t>Vencorex</w:t>
            </w:r>
            <w:proofErr w:type="spellEnd"/>
            <w:r w:rsidRPr="00467E47">
              <w:rPr>
                <w:rFonts w:ascii="Times New Roman" w:eastAsia="Times New Roman" w:hAnsi="Times New Roman"/>
              </w:rPr>
              <w:t xml:space="preserve">“ buvo paskelbta restruktūrizuojama ir atleista beveik 400 darbuotojų. „Aš tikiu šios vietos ateitimi. Galime būti pagrįstai optimistiški“, – pareiškė pramonės reikalų </w:t>
            </w:r>
            <w:r w:rsidR="00936D5D" w:rsidRPr="00467E47">
              <w:rPr>
                <w:rFonts w:ascii="Times New Roman" w:eastAsia="Times New Roman" w:hAnsi="Times New Roman"/>
              </w:rPr>
              <w:t xml:space="preserve">deleguotasis </w:t>
            </w:r>
            <w:r w:rsidRPr="00467E47">
              <w:rPr>
                <w:rFonts w:ascii="Times New Roman" w:eastAsia="Times New Roman" w:hAnsi="Times New Roman"/>
              </w:rPr>
              <w:t xml:space="preserve">ministras </w:t>
            </w:r>
            <w:proofErr w:type="spellStart"/>
            <w:r w:rsidRPr="00467E47">
              <w:rPr>
                <w:rFonts w:ascii="Times New Roman" w:eastAsia="Times New Roman" w:hAnsi="Times New Roman"/>
              </w:rPr>
              <w:t>Sébastienas</w:t>
            </w:r>
            <w:proofErr w:type="spellEnd"/>
            <w:r w:rsidRPr="00467E47">
              <w:rPr>
                <w:rFonts w:ascii="Times New Roman" w:eastAsia="Times New Roman" w:hAnsi="Times New Roman"/>
              </w:rPr>
              <w:t xml:space="preserve"> Martinas po savo vizito platformoje šį penktadienį, lapkričio 28 d., kartu su </w:t>
            </w:r>
            <w:proofErr w:type="spellStart"/>
            <w:r w:rsidRPr="00467E47">
              <w:rPr>
                <w:rFonts w:ascii="Times New Roman" w:eastAsia="Times New Roman" w:hAnsi="Times New Roman"/>
              </w:rPr>
              <w:t>Fabrice’u</w:t>
            </w:r>
            <w:proofErr w:type="spellEnd"/>
            <w:r w:rsidRPr="00467E47">
              <w:rPr>
                <w:rFonts w:ascii="Times New Roman" w:eastAsia="Times New Roman" w:hAnsi="Times New Roman"/>
              </w:rPr>
              <w:t xml:space="preserve"> </w:t>
            </w:r>
            <w:proofErr w:type="spellStart"/>
            <w:r w:rsidRPr="00467E47">
              <w:rPr>
                <w:rFonts w:ascii="Times New Roman" w:eastAsia="Times New Roman" w:hAnsi="Times New Roman"/>
              </w:rPr>
              <w:t>Pannekoucke’u</w:t>
            </w:r>
            <w:proofErr w:type="spellEnd"/>
            <w:r w:rsidRPr="00467E47">
              <w:rPr>
                <w:rFonts w:ascii="Times New Roman" w:eastAsia="Times New Roman" w:hAnsi="Times New Roman"/>
              </w:rPr>
              <w:t xml:space="preserve">, regiono </w:t>
            </w:r>
            <w:proofErr w:type="spellStart"/>
            <w:r w:rsidRPr="00467E47">
              <w:rPr>
                <w:rFonts w:ascii="Times New Roman" w:eastAsia="Times New Roman" w:hAnsi="Times New Roman"/>
              </w:rPr>
              <w:t>Overnės</w:t>
            </w:r>
            <w:proofErr w:type="spellEnd"/>
            <w:r w:rsidRPr="00467E47">
              <w:rPr>
                <w:rFonts w:ascii="Times New Roman" w:eastAsia="Times New Roman" w:hAnsi="Times New Roman"/>
              </w:rPr>
              <w:t xml:space="preserve">-Ronos-Alpių (Aura) tarybos pirmininku ir </w:t>
            </w:r>
            <w:proofErr w:type="spellStart"/>
            <w:r w:rsidRPr="00467E47">
              <w:rPr>
                <w:rFonts w:ascii="Times New Roman" w:eastAsia="Times New Roman" w:hAnsi="Times New Roman"/>
              </w:rPr>
              <w:t>Christophe’u</w:t>
            </w:r>
            <w:proofErr w:type="spellEnd"/>
            <w:r w:rsidRPr="00467E47">
              <w:rPr>
                <w:rFonts w:ascii="Times New Roman" w:eastAsia="Times New Roman" w:hAnsi="Times New Roman"/>
              </w:rPr>
              <w:t xml:space="preserve"> Ferrari, Grenoblio Alpių </w:t>
            </w:r>
            <w:proofErr w:type="spellStart"/>
            <w:r w:rsidRPr="00467E47">
              <w:rPr>
                <w:rFonts w:ascii="Times New Roman" w:eastAsia="Times New Roman" w:hAnsi="Times New Roman"/>
              </w:rPr>
              <w:t>metropolio</w:t>
            </w:r>
            <w:proofErr w:type="spellEnd"/>
            <w:r w:rsidRPr="00467E47">
              <w:rPr>
                <w:rFonts w:ascii="Times New Roman" w:eastAsia="Times New Roman" w:hAnsi="Times New Roman"/>
              </w:rPr>
              <w:t xml:space="preserve"> pirmininku.</w:t>
            </w:r>
          </w:p>
        </w:tc>
        <w:tc>
          <w:tcPr>
            <w:tcW w:w="2268" w:type="dxa"/>
            <w:tcMar>
              <w:top w:w="29" w:type="dxa"/>
              <w:left w:w="115" w:type="dxa"/>
              <w:bottom w:w="29" w:type="dxa"/>
              <w:right w:w="115" w:type="dxa"/>
            </w:tcMar>
          </w:tcPr>
          <w:p w14:paraId="30CA0611" w14:textId="315A96F3" w:rsidR="00FF2840" w:rsidRPr="00467E47" w:rsidRDefault="00FF2840" w:rsidP="00467E47">
            <w:pPr>
              <w:spacing w:before="120" w:after="120" w:line="240" w:lineRule="auto"/>
              <w:rPr>
                <w:rFonts w:ascii="Times New Roman" w:eastAsia="Times New Roman" w:hAnsi="Times New Roman"/>
              </w:rPr>
            </w:pPr>
            <w:hyperlink r:id="rId34" w:history="1">
              <w:proofErr w:type="spellStart"/>
              <w:r w:rsidRPr="00467E47">
                <w:rPr>
                  <w:rStyle w:val="Hyperlink"/>
                  <w:rFonts w:ascii="Times New Roman" w:eastAsia="Times New Roman" w:hAnsi="Times New Roman"/>
                </w:rPr>
                <w:t>Vencorex</w:t>
              </w:r>
              <w:proofErr w:type="spellEnd"/>
              <w:r w:rsidRPr="00467E47">
                <w:rPr>
                  <w:rStyle w:val="Hyperlink"/>
                  <w:rFonts w:ascii="Times New Roman" w:eastAsia="Times New Roman" w:hAnsi="Times New Roman"/>
                </w:rPr>
                <w:t> : «</w:t>
              </w:r>
              <w:proofErr w:type="spellStart"/>
              <w:r w:rsidRPr="00467E47">
                <w:rPr>
                  <w:rStyle w:val="Hyperlink"/>
                  <w:rFonts w:ascii="Times New Roman" w:eastAsia="Times New Roman" w:hAnsi="Times New Roman"/>
                </w:rPr>
                <w:t>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projet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est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sérieux</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juge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le</w:t>
              </w:r>
              <w:proofErr w:type="spellEnd"/>
              <w:r w:rsidRPr="00467E47">
                <w:rPr>
                  <w:rStyle w:val="Hyperlink"/>
                  <w:rFonts w:ascii="Times New Roman" w:eastAsia="Times New Roman" w:hAnsi="Times New Roman"/>
                </w:rPr>
                <w:t xml:space="preserve"> ministre de </w:t>
              </w:r>
              <w:proofErr w:type="spellStart"/>
              <w:r w:rsidRPr="00467E47">
                <w:rPr>
                  <w:rStyle w:val="Hyperlink"/>
                  <w:rFonts w:ascii="Times New Roman" w:eastAsia="Times New Roman" w:hAnsi="Times New Roman"/>
                </w:rPr>
                <w:t>l’Industrie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concernant</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le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plan</w:t>
              </w:r>
              <w:proofErr w:type="spellEnd"/>
              <w:r w:rsidRPr="00467E47">
                <w:rPr>
                  <w:rStyle w:val="Hyperlink"/>
                  <w:rFonts w:ascii="Times New Roman" w:eastAsia="Times New Roman" w:hAnsi="Times New Roman"/>
                </w:rPr>
                <w:t xml:space="preserve"> de </w:t>
              </w:r>
              <w:proofErr w:type="spellStart"/>
              <w:r w:rsidRPr="00467E47">
                <w:rPr>
                  <w:rStyle w:val="Hyperlink"/>
                  <w:rFonts w:ascii="Times New Roman" w:eastAsia="Times New Roman" w:hAnsi="Times New Roman"/>
                </w:rPr>
                <w:lastRenderedPageBreak/>
                <w:t>reprise</w:t>
              </w:r>
              <w:proofErr w:type="spellEnd"/>
              <w:r w:rsidRPr="00467E47">
                <w:rPr>
                  <w:rStyle w:val="Hyperlink"/>
                  <w:rFonts w:ascii="Times New Roman" w:eastAsia="Times New Roman" w:hAnsi="Times New Roman"/>
                </w:rPr>
                <w:t xml:space="preserve"> </w:t>
              </w:r>
              <w:proofErr w:type="spellStart"/>
              <w:r w:rsidRPr="00467E47">
                <w:rPr>
                  <w:rStyle w:val="Hyperlink"/>
                  <w:rFonts w:ascii="Times New Roman" w:eastAsia="Times New Roman" w:hAnsi="Times New Roman"/>
                </w:rPr>
                <w:t>Exalia</w:t>
              </w:r>
              <w:proofErr w:type="spellEnd"/>
              <w:r w:rsidRPr="00467E47">
                <w:rPr>
                  <w:rStyle w:val="Hyperlink"/>
                  <w:rFonts w:ascii="Times New Roman" w:eastAsia="Times New Roman" w:hAnsi="Times New Roman"/>
                </w:rPr>
                <w:t xml:space="preserve"> – </w:t>
              </w:r>
              <w:proofErr w:type="spellStart"/>
              <w:r w:rsidRPr="00467E47">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5157955D" w14:textId="7B5DB7C6" w:rsidR="00FF2840" w:rsidRPr="00467E47" w:rsidRDefault="00FF2840" w:rsidP="00467E47">
            <w:pPr>
              <w:spacing w:before="120" w:after="120" w:line="240" w:lineRule="auto"/>
              <w:rPr>
                <w:rFonts w:ascii="Times New Roman" w:eastAsia="Times New Roman" w:hAnsi="Times New Roman"/>
              </w:rPr>
            </w:pPr>
            <w:r w:rsidRPr="00467E47">
              <w:rPr>
                <w:rFonts w:ascii="Times New Roman" w:eastAsia="Times New Roman" w:hAnsi="Times New Roman"/>
              </w:rPr>
              <w:lastRenderedPageBreak/>
              <w:t>Chemijos pramonė</w:t>
            </w:r>
          </w:p>
        </w:tc>
      </w:tr>
    </w:tbl>
    <w:p w14:paraId="4DD2E61C" w14:textId="77777777" w:rsidR="00771DF0" w:rsidRPr="00771DF0" w:rsidRDefault="00771DF0" w:rsidP="00771DF0">
      <w:pPr>
        <w:spacing w:after="0" w:line="240" w:lineRule="auto"/>
        <w:rPr>
          <w:rFonts w:ascii="Times New Roman" w:eastAsia="Times New Roman" w:hAnsi="Times New Roman"/>
        </w:rPr>
      </w:pPr>
    </w:p>
    <w:p w14:paraId="34B1E706" w14:textId="77777777" w:rsidR="00080D5A" w:rsidRPr="00080D5A" w:rsidRDefault="00080D5A" w:rsidP="00080D5A">
      <w:pPr>
        <w:spacing w:after="0" w:line="240" w:lineRule="auto"/>
        <w:rPr>
          <w:rFonts w:ascii="Times New Roman" w:eastAsia="Times New Roman" w:hAnsi="Times New Roman"/>
        </w:rPr>
      </w:pPr>
      <w:r w:rsidRPr="00080D5A">
        <w:rPr>
          <w:rFonts w:ascii="Times New Roman" w:eastAsia="Times New Roman" w:hAnsi="Times New Roman"/>
        </w:rPr>
        <w:t>Parengė:</w:t>
      </w:r>
    </w:p>
    <w:p w14:paraId="27F89B10" w14:textId="77777777" w:rsidR="00080D5A" w:rsidRPr="00080D5A" w:rsidRDefault="00080D5A" w:rsidP="00080D5A">
      <w:pPr>
        <w:spacing w:after="0" w:line="240" w:lineRule="auto"/>
        <w:rPr>
          <w:rFonts w:ascii="Times New Roman" w:eastAsia="Times New Roman" w:hAnsi="Times New Roman"/>
        </w:rPr>
      </w:pPr>
    </w:p>
    <w:p w14:paraId="07616C0A" w14:textId="77777777" w:rsidR="00080D5A" w:rsidRPr="00080D5A" w:rsidRDefault="00080D5A" w:rsidP="00080D5A">
      <w:pPr>
        <w:spacing w:after="0" w:line="240" w:lineRule="auto"/>
        <w:rPr>
          <w:rFonts w:ascii="Times New Roman" w:eastAsia="Times New Roman" w:hAnsi="Times New Roman"/>
        </w:rPr>
      </w:pPr>
      <w:r w:rsidRPr="00080D5A">
        <w:rPr>
          <w:rFonts w:ascii="Times New Roman" w:eastAsia="Times New Roman" w:hAnsi="Times New Roman"/>
        </w:rPr>
        <w:t xml:space="preserve">Vitalija Kardokaitė-Šimanauskienė, LR ambasados Prancūzijos Respublikoje trečioji sekretorė, tel. +33 1 88 75 06 79, el. paštas vitalija.kardokaite-simanauskiene@urm.lt </w:t>
      </w:r>
    </w:p>
    <w:p w14:paraId="3F7A6A17" w14:textId="77777777" w:rsidR="00080D5A" w:rsidRPr="00080D5A" w:rsidRDefault="00080D5A" w:rsidP="00080D5A">
      <w:pPr>
        <w:spacing w:after="0" w:line="240" w:lineRule="auto"/>
        <w:rPr>
          <w:rFonts w:ascii="Times New Roman" w:eastAsia="Times New Roman" w:hAnsi="Times New Roman"/>
        </w:rPr>
      </w:pPr>
    </w:p>
    <w:p w14:paraId="5644BF82" w14:textId="77777777" w:rsidR="00080D5A" w:rsidRPr="00080D5A" w:rsidRDefault="00080D5A" w:rsidP="00080D5A">
      <w:pPr>
        <w:spacing w:after="0" w:line="240" w:lineRule="auto"/>
        <w:rPr>
          <w:rFonts w:ascii="Times New Roman" w:eastAsia="Times New Roman" w:hAnsi="Times New Roman"/>
        </w:rPr>
      </w:pPr>
      <w:r w:rsidRPr="00080D5A">
        <w:rPr>
          <w:rFonts w:ascii="Times New Roman" w:eastAsia="Times New Roman" w:hAnsi="Times New Roman"/>
        </w:rPr>
        <w:t>Otilija Snieškaitė, LR ambasados Prancūzijos Respublikoje komercijos atašė, mob. +33 7 60 52 42 58, el. paštas otilija.snieskaite@urm.lt</w:t>
      </w:r>
    </w:p>
    <w:p w14:paraId="2673BF30" w14:textId="77777777" w:rsidR="00080D5A" w:rsidRPr="00080D5A" w:rsidRDefault="00080D5A" w:rsidP="00080D5A">
      <w:pPr>
        <w:spacing w:after="0" w:line="240" w:lineRule="auto"/>
        <w:rPr>
          <w:rFonts w:ascii="Times New Roman" w:eastAsia="Times New Roman" w:hAnsi="Times New Roman"/>
        </w:rPr>
      </w:pPr>
    </w:p>
    <w:p w14:paraId="417A4990" w14:textId="77777777" w:rsidR="00080D5A" w:rsidRPr="00080D5A" w:rsidRDefault="00080D5A" w:rsidP="00080D5A">
      <w:pPr>
        <w:spacing w:after="0" w:line="240" w:lineRule="auto"/>
        <w:rPr>
          <w:rFonts w:ascii="Times New Roman" w:eastAsia="Times New Roman" w:hAnsi="Times New Roman"/>
        </w:rPr>
      </w:pPr>
      <w:r w:rsidRPr="00080D5A">
        <w:rPr>
          <w:rFonts w:ascii="Times New Roman" w:eastAsia="Times New Roman" w:hAnsi="Times New Roman"/>
        </w:rPr>
        <w:t xml:space="preserve">Neringa Greičiutė, LR ambasados Prancūzijos Respublikoje komercijos atašė, mob. +33 7 65 71 29 42, el. paštas neringa.greiciute@urm.lt </w:t>
      </w:r>
    </w:p>
    <w:p w14:paraId="0B64EAD7" w14:textId="77777777" w:rsidR="00080D5A" w:rsidRPr="00080D5A" w:rsidRDefault="00080D5A" w:rsidP="00080D5A">
      <w:pPr>
        <w:spacing w:after="0" w:line="240" w:lineRule="auto"/>
        <w:rPr>
          <w:rFonts w:ascii="Times New Roman" w:eastAsia="Times New Roman" w:hAnsi="Times New Roman"/>
        </w:rPr>
      </w:pPr>
    </w:p>
    <w:p w14:paraId="3991DF32" w14:textId="77777777" w:rsidR="00080D5A" w:rsidRPr="00080D5A" w:rsidRDefault="00080D5A" w:rsidP="00080D5A">
      <w:pPr>
        <w:spacing w:after="0" w:line="240" w:lineRule="auto"/>
        <w:rPr>
          <w:rFonts w:ascii="Times New Roman" w:eastAsia="Times New Roman" w:hAnsi="Times New Roman"/>
        </w:rPr>
      </w:pPr>
      <w:r w:rsidRPr="00080D5A">
        <w:rPr>
          <w:rFonts w:ascii="Times New Roman" w:eastAsia="Times New Roman" w:hAnsi="Times New Roman"/>
        </w:rPr>
        <w:t>_______________________________________________</w:t>
      </w:r>
    </w:p>
    <w:p w14:paraId="2C2C57A2" w14:textId="77777777" w:rsidR="00080D5A" w:rsidRPr="00080D5A" w:rsidRDefault="00080D5A" w:rsidP="00080D5A">
      <w:pPr>
        <w:spacing w:after="0" w:line="240" w:lineRule="auto"/>
        <w:rPr>
          <w:rFonts w:ascii="Times New Roman" w:eastAsia="Times New Roman" w:hAnsi="Times New Roman"/>
        </w:rPr>
      </w:pPr>
      <w:r w:rsidRPr="00080D5A">
        <w:rPr>
          <w:rFonts w:ascii="Times New Roman" w:eastAsia="Times New Roman" w:hAnsi="Times New Roman"/>
        </w:rPr>
        <w:t xml:space="preserve">(Lietuvos Respublikos diplomatinės atstovybės ar konsulinės įstaigos darbuotojo </w:t>
      </w:r>
    </w:p>
    <w:p w14:paraId="1FCE2A0C" w14:textId="3C2AACDB" w:rsidR="00D22BFD" w:rsidRPr="00640017" w:rsidRDefault="00080D5A" w:rsidP="00080D5A">
      <w:pPr>
        <w:spacing w:after="0" w:line="240" w:lineRule="auto"/>
        <w:rPr>
          <w:rFonts w:ascii="Times New Roman" w:eastAsia="Times New Roman" w:hAnsi="Times New Roman"/>
        </w:rPr>
      </w:pPr>
      <w:r w:rsidRPr="00080D5A">
        <w:rPr>
          <w:rFonts w:ascii="Times New Roman" w:eastAsia="Times New Roman" w:hAnsi="Times New Roman"/>
        </w:rPr>
        <w:t>pareigos, vardas pavardė, telefono numeris, el. paštas)</w:t>
      </w:r>
    </w:p>
    <w:sectPr w:rsidR="00D22BFD" w:rsidRPr="00640017">
      <w:footerReference w:type="default" r:id="rId35"/>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16C0" w14:textId="77777777" w:rsidR="006D62FC" w:rsidRDefault="006D62FC">
      <w:pPr>
        <w:spacing w:after="0" w:line="240" w:lineRule="auto"/>
      </w:pPr>
      <w:r>
        <w:separator/>
      </w:r>
    </w:p>
  </w:endnote>
  <w:endnote w:type="continuationSeparator" w:id="0">
    <w:p w14:paraId="3B4F7229" w14:textId="77777777" w:rsidR="006D62FC" w:rsidRDefault="006D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7814" w14:textId="77777777" w:rsidR="006D62FC" w:rsidRDefault="006D62FC">
      <w:pPr>
        <w:spacing w:after="0" w:line="240" w:lineRule="auto"/>
      </w:pPr>
      <w:r>
        <w:separator/>
      </w:r>
    </w:p>
  </w:footnote>
  <w:footnote w:type="continuationSeparator" w:id="0">
    <w:p w14:paraId="36D29DA3" w14:textId="77777777" w:rsidR="006D62FC" w:rsidRDefault="006D62FC">
      <w:pPr>
        <w:spacing w:after="0" w:line="240" w:lineRule="auto"/>
      </w:pPr>
      <w:r>
        <w:continuationSeparator/>
      </w:r>
    </w:p>
  </w:footnote>
  <w:footnote w:id="1">
    <w:p w14:paraId="0CE32ADB" w14:textId="77777777" w:rsidR="00EC1EFA" w:rsidRDefault="00EC1EFA" w:rsidP="00D4766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0"/>
  </w:num>
  <w:num w:numId="2" w16cid:durableId="556207508">
    <w:abstractNumId w:val="15"/>
  </w:num>
  <w:num w:numId="3" w16cid:durableId="1762948714">
    <w:abstractNumId w:val="19"/>
  </w:num>
  <w:num w:numId="4" w16cid:durableId="112067306">
    <w:abstractNumId w:val="1"/>
  </w:num>
  <w:num w:numId="5" w16cid:durableId="1910727158">
    <w:abstractNumId w:val="5"/>
  </w:num>
  <w:num w:numId="6" w16cid:durableId="1410690169">
    <w:abstractNumId w:val="10"/>
  </w:num>
  <w:num w:numId="7" w16cid:durableId="1740059585">
    <w:abstractNumId w:val="6"/>
  </w:num>
  <w:num w:numId="8" w16cid:durableId="356388098">
    <w:abstractNumId w:val="14"/>
  </w:num>
  <w:num w:numId="9" w16cid:durableId="1074088669">
    <w:abstractNumId w:val="21"/>
  </w:num>
  <w:num w:numId="10" w16cid:durableId="769935733">
    <w:abstractNumId w:val="0"/>
  </w:num>
  <w:num w:numId="11" w16cid:durableId="1891306730">
    <w:abstractNumId w:val="18"/>
  </w:num>
  <w:num w:numId="12" w16cid:durableId="45304291">
    <w:abstractNumId w:val="12"/>
  </w:num>
  <w:num w:numId="13" w16cid:durableId="2111588096">
    <w:abstractNumId w:val="4"/>
  </w:num>
  <w:num w:numId="14" w16cid:durableId="2079211373">
    <w:abstractNumId w:val="22"/>
  </w:num>
  <w:num w:numId="15" w16cid:durableId="1613397813">
    <w:abstractNumId w:val="3"/>
  </w:num>
  <w:num w:numId="16" w16cid:durableId="1031152658">
    <w:abstractNumId w:val="16"/>
  </w:num>
  <w:num w:numId="17" w16cid:durableId="571088854">
    <w:abstractNumId w:val="17"/>
  </w:num>
  <w:num w:numId="18" w16cid:durableId="654139678">
    <w:abstractNumId w:val="13"/>
  </w:num>
  <w:num w:numId="19" w16cid:durableId="1090347938">
    <w:abstractNumId w:val="8"/>
  </w:num>
  <w:num w:numId="20" w16cid:durableId="1943412237">
    <w:abstractNumId w:val="2"/>
  </w:num>
  <w:num w:numId="21" w16cid:durableId="1914854989">
    <w:abstractNumId w:val="9"/>
  </w:num>
  <w:num w:numId="22" w16cid:durableId="397753456">
    <w:abstractNumId w:val="11"/>
  </w:num>
  <w:num w:numId="23" w16cid:durableId="111728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250B6"/>
    <w:rsid w:val="0002730A"/>
    <w:rsid w:val="00027ED0"/>
    <w:rsid w:val="00031248"/>
    <w:rsid w:val="00033CF9"/>
    <w:rsid w:val="000365DB"/>
    <w:rsid w:val="00041854"/>
    <w:rsid w:val="00042BD4"/>
    <w:rsid w:val="00051172"/>
    <w:rsid w:val="00052689"/>
    <w:rsid w:val="00054E46"/>
    <w:rsid w:val="000569A6"/>
    <w:rsid w:val="000607C6"/>
    <w:rsid w:val="00061E4C"/>
    <w:rsid w:val="0006501C"/>
    <w:rsid w:val="000664DA"/>
    <w:rsid w:val="0006733C"/>
    <w:rsid w:val="0007150E"/>
    <w:rsid w:val="00071F81"/>
    <w:rsid w:val="00074AD5"/>
    <w:rsid w:val="000768D4"/>
    <w:rsid w:val="0008042B"/>
    <w:rsid w:val="00080D5A"/>
    <w:rsid w:val="00084D81"/>
    <w:rsid w:val="0008592C"/>
    <w:rsid w:val="0009000B"/>
    <w:rsid w:val="00090377"/>
    <w:rsid w:val="000931B9"/>
    <w:rsid w:val="00096246"/>
    <w:rsid w:val="0009694F"/>
    <w:rsid w:val="000A76B9"/>
    <w:rsid w:val="000B14C6"/>
    <w:rsid w:val="000B306A"/>
    <w:rsid w:val="000B37C0"/>
    <w:rsid w:val="000B3B1D"/>
    <w:rsid w:val="000B52A7"/>
    <w:rsid w:val="000C03DC"/>
    <w:rsid w:val="000C2683"/>
    <w:rsid w:val="000C3429"/>
    <w:rsid w:val="000C3CE0"/>
    <w:rsid w:val="000C5DB6"/>
    <w:rsid w:val="000C6E63"/>
    <w:rsid w:val="000D09BF"/>
    <w:rsid w:val="000D0AA5"/>
    <w:rsid w:val="000D2B1D"/>
    <w:rsid w:val="000D2CDC"/>
    <w:rsid w:val="000D3332"/>
    <w:rsid w:val="000D38F5"/>
    <w:rsid w:val="000D4C57"/>
    <w:rsid w:val="000D56A7"/>
    <w:rsid w:val="000D6F21"/>
    <w:rsid w:val="000D70C2"/>
    <w:rsid w:val="000E5118"/>
    <w:rsid w:val="000F2496"/>
    <w:rsid w:val="000F5A47"/>
    <w:rsid w:val="000F6C7E"/>
    <w:rsid w:val="000F6FD9"/>
    <w:rsid w:val="000F7F43"/>
    <w:rsid w:val="00100331"/>
    <w:rsid w:val="0010268F"/>
    <w:rsid w:val="001036D8"/>
    <w:rsid w:val="0010596A"/>
    <w:rsid w:val="00106A79"/>
    <w:rsid w:val="001070DB"/>
    <w:rsid w:val="001076B6"/>
    <w:rsid w:val="00112807"/>
    <w:rsid w:val="00120A3D"/>
    <w:rsid w:val="0012207C"/>
    <w:rsid w:val="00122FF8"/>
    <w:rsid w:val="00125EB3"/>
    <w:rsid w:val="001310C1"/>
    <w:rsid w:val="001322BA"/>
    <w:rsid w:val="00142144"/>
    <w:rsid w:val="00143987"/>
    <w:rsid w:val="001445D6"/>
    <w:rsid w:val="00152986"/>
    <w:rsid w:val="001532E9"/>
    <w:rsid w:val="001629E8"/>
    <w:rsid w:val="00165564"/>
    <w:rsid w:val="00165D4A"/>
    <w:rsid w:val="001729AE"/>
    <w:rsid w:val="00172D27"/>
    <w:rsid w:val="00181A3D"/>
    <w:rsid w:val="00186DE2"/>
    <w:rsid w:val="00190D3D"/>
    <w:rsid w:val="00195483"/>
    <w:rsid w:val="00196250"/>
    <w:rsid w:val="0019751B"/>
    <w:rsid w:val="001A0005"/>
    <w:rsid w:val="001A117B"/>
    <w:rsid w:val="001A2548"/>
    <w:rsid w:val="001A2EC2"/>
    <w:rsid w:val="001A5FDB"/>
    <w:rsid w:val="001A77E3"/>
    <w:rsid w:val="001B2DA1"/>
    <w:rsid w:val="001B376E"/>
    <w:rsid w:val="001B533E"/>
    <w:rsid w:val="001B5475"/>
    <w:rsid w:val="001B6EF3"/>
    <w:rsid w:val="001C0A1C"/>
    <w:rsid w:val="001C0DAB"/>
    <w:rsid w:val="001C213C"/>
    <w:rsid w:val="001C228F"/>
    <w:rsid w:val="001C252C"/>
    <w:rsid w:val="001C2742"/>
    <w:rsid w:val="001D0F0D"/>
    <w:rsid w:val="001D1490"/>
    <w:rsid w:val="001D5450"/>
    <w:rsid w:val="001E213D"/>
    <w:rsid w:val="001E5C73"/>
    <w:rsid w:val="001E6FB0"/>
    <w:rsid w:val="001F0C13"/>
    <w:rsid w:val="001F1CEE"/>
    <w:rsid w:val="00201C16"/>
    <w:rsid w:val="00202FEB"/>
    <w:rsid w:val="0020410B"/>
    <w:rsid w:val="0020670D"/>
    <w:rsid w:val="00207D1A"/>
    <w:rsid w:val="00210E8F"/>
    <w:rsid w:val="00210F68"/>
    <w:rsid w:val="002144FF"/>
    <w:rsid w:val="00214E84"/>
    <w:rsid w:val="00215681"/>
    <w:rsid w:val="002165F9"/>
    <w:rsid w:val="002211B2"/>
    <w:rsid w:val="00222FFB"/>
    <w:rsid w:val="00225E9E"/>
    <w:rsid w:val="0022699B"/>
    <w:rsid w:val="00226BFC"/>
    <w:rsid w:val="00231B5C"/>
    <w:rsid w:val="002366BC"/>
    <w:rsid w:val="002421E2"/>
    <w:rsid w:val="0024315C"/>
    <w:rsid w:val="002534F0"/>
    <w:rsid w:val="00253AE8"/>
    <w:rsid w:val="00253DE8"/>
    <w:rsid w:val="0025405B"/>
    <w:rsid w:val="0026270B"/>
    <w:rsid w:val="0026542D"/>
    <w:rsid w:val="002669DD"/>
    <w:rsid w:val="00273B9E"/>
    <w:rsid w:val="00280D13"/>
    <w:rsid w:val="002816F7"/>
    <w:rsid w:val="002843FD"/>
    <w:rsid w:val="002847F5"/>
    <w:rsid w:val="002925FB"/>
    <w:rsid w:val="00295984"/>
    <w:rsid w:val="00295B25"/>
    <w:rsid w:val="00296453"/>
    <w:rsid w:val="002A08F0"/>
    <w:rsid w:val="002A14B8"/>
    <w:rsid w:val="002A24E6"/>
    <w:rsid w:val="002A464F"/>
    <w:rsid w:val="002A4CB3"/>
    <w:rsid w:val="002A5D73"/>
    <w:rsid w:val="002B08C8"/>
    <w:rsid w:val="002B22F4"/>
    <w:rsid w:val="002B2A24"/>
    <w:rsid w:val="002B44E7"/>
    <w:rsid w:val="002B5025"/>
    <w:rsid w:val="002B7659"/>
    <w:rsid w:val="002C1F44"/>
    <w:rsid w:val="002C324B"/>
    <w:rsid w:val="002C4D75"/>
    <w:rsid w:val="002C7567"/>
    <w:rsid w:val="002D495E"/>
    <w:rsid w:val="002D6000"/>
    <w:rsid w:val="002D6883"/>
    <w:rsid w:val="002E1878"/>
    <w:rsid w:val="002E4FB7"/>
    <w:rsid w:val="002F0320"/>
    <w:rsid w:val="002F1AF8"/>
    <w:rsid w:val="002F2A06"/>
    <w:rsid w:val="002F2AA1"/>
    <w:rsid w:val="002F3D3A"/>
    <w:rsid w:val="002F456D"/>
    <w:rsid w:val="00302546"/>
    <w:rsid w:val="003047FF"/>
    <w:rsid w:val="00310965"/>
    <w:rsid w:val="00311FB2"/>
    <w:rsid w:val="003138A4"/>
    <w:rsid w:val="00313E37"/>
    <w:rsid w:val="003143D9"/>
    <w:rsid w:val="003158FB"/>
    <w:rsid w:val="00315EF9"/>
    <w:rsid w:val="0031718C"/>
    <w:rsid w:val="003179E0"/>
    <w:rsid w:val="00320D98"/>
    <w:rsid w:val="0032101A"/>
    <w:rsid w:val="0032132A"/>
    <w:rsid w:val="0032150A"/>
    <w:rsid w:val="0032157E"/>
    <w:rsid w:val="003248A3"/>
    <w:rsid w:val="003265B0"/>
    <w:rsid w:val="00330803"/>
    <w:rsid w:val="00333C4C"/>
    <w:rsid w:val="00334118"/>
    <w:rsid w:val="003345B9"/>
    <w:rsid w:val="00335F78"/>
    <w:rsid w:val="00340A08"/>
    <w:rsid w:val="003426E9"/>
    <w:rsid w:val="00345B15"/>
    <w:rsid w:val="0034649B"/>
    <w:rsid w:val="00346643"/>
    <w:rsid w:val="00347ADD"/>
    <w:rsid w:val="00350BD1"/>
    <w:rsid w:val="003510E3"/>
    <w:rsid w:val="00352E32"/>
    <w:rsid w:val="0035309D"/>
    <w:rsid w:val="00354FEB"/>
    <w:rsid w:val="0035645A"/>
    <w:rsid w:val="003574BF"/>
    <w:rsid w:val="00357C70"/>
    <w:rsid w:val="00363D3D"/>
    <w:rsid w:val="00364351"/>
    <w:rsid w:val="00365024"/>
    <w:rsid w:val="00365040"/>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9119F"/>
    <w:rsid w:val="00392DB5"/>
    <w:rsid w:val="00395194"/>
    <w:rsid w:val="00396996"/>
    <w:rsid w:val="003A2D44"/>
    <w:rsid w:val="003A3284"/>
    <w:rsid w:val="003A4900"/>
    <w:rsid w:val="003A4A96"/>
    <w:rsid w:val="003A77B5"/>
    <w:rsid w:val="003B1687"/>
    <w:rsid w:val="003B3CC9"/>
    <w:rsid w:val="003B4FF0"/>
    <w:rsid w:val="003B62EE"/>
    <w:rsid w:val="003B739C"/>
    <w:rsid w:val="003C41B7"/>
    <w:rsid w:val="003D1686"/>
    <w:rsid w:val="003D20B2"/>
    <w:rsid w:val="003D256C"/>
    <w:rsid w:val="003D780C"/>
    <w:rsid w:val="003E1B80"/>
    <w:rsid w:val="003F1144"/>
    <w:rsid w:val="0040009E"/>
    <w:rsid w:val="004044F1"/>
    <w:rsid w:val="00405B61"/>
    <w:rsid w:val="0041274A"/>
    <w:rsid w:val="00415106"/>
    <w:rsid w:val="004163D6"/>
    <w:rsid w:val="004178C3"/>
    <w:rsid w:val="00425014"/>
    <w:rsid w:val="00432E4F"/>
    <w:rsid w:val="00434084"/>
    <w:rsid w:val="00434646"/>
    <w:rsid w:val="00434AF0"/>
    <w:rsid w:val="00435AC6"/>
    <w:rsid w:val="004375F7"/>
    <w:rsid w:val="00437854"/>
    <w:rsid w:val="00437E67"/>
    <w:rsid w:val="00443A41"/>
    <w:rsid w:val="00444328"/>
    <w:rsid w:val="00444C06"/>
    <w:rsid w:val="00446E8F"/>
    <w:rsid w:val="004473D9"/>
    <w:rsid w:val="00452301"/>
    <w:rsid w:val="00461F9F"/>
    <w:rsid w:val="0046235B"/>
    <w:rsid w:val="00462946"/>
    <w:rsid w:val="004633A1"/>
    <w:rsid w:val="00464D6C"/>
    <w:rsid w:val="00466AE1"/>
    <w:rsid w:val="00466E54"/>
    <w:rsid w:val="00467E47"/>
    <w:rsid w:val="00471775"/>
    <w:rsid w:val="00472EFB"/>
    <w:rsid w:val="00474C05"/>
    <w:rsid w:val="00475623"/>
    <w:rsid w:val="004809D1"/>
    <w:rsid w:val="00480ED1"/>
    <w:rsid w:val="004814AD"/>
    <w:rsid w:val="004832E5"/>
    <w:rsid w:val="00484E60"/>
    <w:rsid w:val="00486343"/>
    <w:rsid w:val="00490806"/>
    <w:rsid w:val="00490BBE"/>
    <w:rsid w:val="00490FD7"/>
    <w:rsid w:val="00493522"/>
    <w:rsid w:val="0049571E"/>
    <w:rsid w:val="004A1212"/>
    <w:rsid w:val="004A206C"/>
    <w:rsid w:val="004A6B54"/>
    <w:rsid w:val="004B6CA3"/>
    <w:rsid w:val="004B6CD5"/>
    <w:rsid w:val="004C06EF"/>
    <w:rsid w:val="004C0B87"/>
    <w:rsid w:val="004C1E01"/>
    <w:rsid w:val="004C3313"/>
    <w:rsid w:val="004C3968"/>
    <w:rsid w:val="004C5C01"/>
    <w:rsid w:val="004C686C"/>
    <w:rsid w:val="004D2A24"/>
    <w:rsid w:val="004D5AA8"/>
    <w:rsid w:val="004E0EB0"/>
    <w:rsid w:val="004E49B0"/>
    <w:rsid w:val="004F42B5"/>
    <w:rsid w:val="004F461D"/>
    <w:rsid w:val="004F499F"/>
    <w:rsid w:val="004F5E00"/>
    <w:rsid w:val="005000BB"/>
    <w:rsid w:val="00500E6F"/>
    <w:rsid w:val="00502BD4"/>
    <w:rsid w:val="00503487"/>
    <w:rsid w:val="00504332"/>
    <w:rsid w:val="00504D66"/>
    <w:rsid w:val="0050504B"/>
    <w:rsid w:val="005061EB"/>
    <w:rsid w:val="00507FAA"/>
    <w:rsid w:val="0051260B"/>
    <w:rsid w:val="00514704"/>
    <w:rsid w:val="00521F8A"/>
    <w:rsid w:val="005279E7"/>
    <w:rsid w:val="00531D43"/>
    <w:rsid w:val="00532789"/>
    <w:rsid w:val="00537891"/>
    <w:rsid w:val="00537CA0"/>
    <w:rsid w:val="00542B01"/>
    <w:rsid w:val="005467BE"/>
    <w:rsid w:val="005519DE"/>
    <w:rsid w:val="00551AE7"/>
    <w:rsid w:val="00552578"/>
    <w:rsid w:val="00552D27"/>
    <w:rsid w:val="0055375C"/>
    <w:rsid w:val="00554D34"/>
    <w:rsid w:val="0055511D"/>
    <w:rsid w:val="005631B4"/>
    <w:rsid w:val="00563202"/>
    <w:rsid w:val="00566856"/>
    <w:rsid w:val="00567595"/>
    <w:rsid w:val="00570FE2"/>
    <w:rsid w:val="005717B2"/>
    <w:rsid w:val="00573A07"/>
    <w:rsid w:val="00575E10"/>
    <w:rsid w:val="0057611A"/>
    <w:rsid w:val="00584457"/>
    <w:rsid w:val="005856D8"/>
    <w:rsid w:val="005919D7"/>
    <w:rsid w:val="0059280B"/>
    <w:rsid w:val="005964F2"/>
    <w:rsid w:val="005A1F00"/>
    <w:rsid w:val="005A348A"/>
    <w:rsid w:val="005A7B63"/>
    <w:rsid w:val="005B3F51"/>
    <w:rsid w:val="005C09FA"/>
    <w:rsid w:val="005C19BB"/>
    <w:rsid w:val="005C2924"/>
    <w:rsid w:val="005C4AEB"/>
    <w:rsid w:val="005C52A7"/>
    <w:rsid w:val="005C7234"/>
    <w:rsid w:val="005D1E54"/>
    <w:rsid w:val="005D351C"/>
    <w:rsid w:val="005D35D3"/>
    <w:rsid w:val="005D3DEB"/>
    <w:rsid w:val="005D62E4"/>
    <w:rsid w:val="005D729B"/>
    <w:rsid w:val="005E2181"/>
    <w:rsid w:val="005E41E2"/>
    <w:rsid w:val="005E676A"/>
    <w:rsid w:val="005F53A1"/>
    <w:rsid w:val="006019A6"/>
    <w:rsid w:val="00605A1B"/>
    <w:rsid w:val="00607D11"/>
    <w:rsid w:val="006143AB"/>
    <w:rsid w:val="00615B50"/>
    <w:rsid w:val="006160C5"/>
    <w:rsid w:val="00616CF5"/>
    <w:rsid w:val="0062270E"/>
    <w:rsid w:val="00633568"/>
    <w:rsid w:val="0063557C"/>
    <w:rsid w:val="00640017"/>
    <w:rsid w:val="00640614"/>
    <w:rsid w:val="00642161"/>
    <w:rsid w:val="00645D04"/>
    <w:rsid w:val="006608F7"/>
    <w:rsid w:val="0066139A"/>
    <w:rsid w:val="0066473B"/>
    <w:rsid w:val="00665613"/>
    <w:rsid w:val="0066563D"/>
    <w:rsid w:val="00671240"/>
    <w:rsid w:val="00672859"/>
    <w:rsid w:val="00674B81"/>
    <w:rsid w:val="00676E3B"/>
    <w:rsid w:val="006810BB"/>
    <w:rsid w:val="00682893"/>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5174"/>
    <w:rsid w:val="006A5F38"/>
    <w:rsid w:val="006B0336"/>
    <w:rsid w:val="006B27BF"/>
    <w:rsid w:val="006B57A8"/>
    <w:rsid w:val="006B7616"/>
    <w:rsid w:val="006B7AED"/>
    <w:rsid w:val="006C3DE9"/>
    <w:rsid w:val="006C50B4"/>
    <w:rsid w:val="006C55CC"/>
    <w:rsid w:val="006C6967"/>
    <w:rsid w:val="006D1801"/>
    <w:rsid w:val="006D5CCF"/>
    <w:rsid w:val="006D62FC"/>
    <w:rsid w:val="006D7B1F"/>
    <w:rsid w:val="006E0687"/>
    <w:rsid w:val="006E120D"/>
    <w:rsid w:val="006E1C2F"/>
    <w:rsid w:val="006E5220"/>
    <w:rsid w:val="006F0021"/>
    <w:rsid w:val="006F38CE"/>
    <w:rsid w:val="00702BB7"/>
    <w:rsid w:val="00702FC5"/>
    <w:rsid w:val="007034C4"/>
    <w:rsid w:val="0070509E"/>
    <w:rsid w:val="00710D98"/>
    <w:rsid w:val="0071128D"/>
    <w:rsid w:val="00711933"/>
    <w:rsid w:val="00712C40"/>
    <w:rsid w:val="007209BE"/>
    <w:rsid w:val="00720DA3"/>
    <w:rsid w:val="007226BE"/>
    <w:rsid w:val="00723CCB"/>
    <w:rsid w:val="007250D5"/>
    <w:rsid w:val="00725E55"/>
    <w:rsid w:val="00732F9E"/>
    <w:rsid w:val="0073775B"/>
    <w:rsid w:val="00742C85"/>
    <w:rsid w:val="00742FDD"/>
    <w:rsid w:val="00743F2F"/>
    <w:rsid w:val="00744B49"/>
    <w:rsid w:val="007530FD"/>
    <w:rsid w:val="007556A7"/>
    <w:rsid w:val="007562F6"/>
    <w:rsid w:val="00757781"/>
    <w:rsid w:val="00757C2A"/>
    <w:rsid w:val="0076152E"/>
    <w:rsid w:val="00763863"/>
    <w:rsid w:val="007644BF"/>
    <w:rsid w:val="00764F29"/>
    <w:rsid w:val="007655CF"/>
    <w:rsid w:val="0077165F"/>
    <w:rsid w:val="00771DF0"/>
    <w:rsid w:val="00773E30"/>
    <w:rsid w:val="00783352"/>
    <w:rsid w:val="00787893"/>
    <w:rsid w:val="00787917"/>
    <w:rsid w:val="0079731D"/>
    <w:rsid w:val="007A0A9C"/>
    <w:rsid w:val="007A1BCE"/>
    <w:rsid w:val="007A375D"/>
    <w:rsid w:val="007A45E4"/>
    <w:rsid w:val="007A533A"/>
    <w:rsid w:val="007B131C"/>
    <w:rsid w:val="007B1767"/>
    <w:rsid w:val="007C1B1B"/>
    <w:rsid w:val="007C2473"/>
    <w:rsid w:val="007C4CCF"/>
    <w:rsid w:val="007C55B4"/>
    <w:rsid w:val="007D1006"/>
    <w:rsid w:val="007D1A84"/>
    <w:rsid w:val="007E3403"/>
    <w:rsid w:val="007E4860"/>
    <w:rsid w:val="007E5B54"/>
    <w:rsid w:val="007E60F1"/>
    <w:rsid w:val="007E71A9"/>
    <w:rsid w:val="007F144B"/>
    <w:rsid w:val="007F1CC3"/>
    <w:rsid w:val="0080041B"/>
    <w:rsid w:val="0080065D"/>
    <w:rsid w:val="00804A07"/>
    <w:rsid w:val="008064A5"/>
    <w:rsid w:val="00812892"/>
    <w:rsid w:val="0081688D"/>
    <w:rsid w:val="00822A48"/>
    <w:rsid w:val="00826DFD"/>
    <w:rsid w:val="00832053"/>
    <w:rsid w:val="008351A6"/>
    <w:rsid w:val="0083599F"/>
    <w:rsid w:val="008376FF"/>
    <w:rsid w:val="00840C96"/>
    <w:rsid w:val="00841231"/>
    <w:rsid w:val="00844A22"/>
    <w:rsid w:val="0084512A"/>
    <w:rsid w:val="00845E80"/>
    <w:rsid w:val="00847B1F"/>
    <w:rsid w:val="00847FC1"/>
    <w:rsid w:val="0085159E"/>
    <w:rsid w:val="00852FEF"/>
    <w:rsid w:val="008554B0"/>
    <w:rsid w:val="00856173"/>
    <w:rsid w:val="00857381"/>
    <w:rsid w:val="008613D6"/>
    <w:rsid w:val="00862900"/>
    <w:rsid w:val="00871A5D"/>
    <w:rsid w:val="00873532"/>
    <w:rsid w:val="00880CC0"/>
    <w:rsid w:val="00880DD2"/>
    <w:rsid w:val="00881607"/>
    <w:rsid w:val="00881B23"/>
    <w:rsid w:val="0088448C"/>
    <w:rsid w:val="00884F22"/>
    <w:rsid w:val="00886230"/>
    <w:rsid w:val="008918BC"/>
    <w:rsid w:val="0089534A"/>
    <w:rsid w:val="00896DAD"/>
    <w:rsid w:val="00897A90"/>
    <w:rsid w:val="008A04D5"/>
    <w:rsid w:val="008A055A"/>
    <w:rsid w:val="008A192B"/>
    <w:rsid w:val="008A2354"/>
    <w:rsid w:val="008A27DD"/>
    <w:rsid w:val="008A2A96"/>
    <w:rsid w:val="008A3C9F"/>
    <w:rsid w:val="008A4FD2"/>
    <w:rsid w:val="008B6955"/>
    <w:rsid w:val="008C134A"/>
    <w:rsid w:val="008C2168"/>
    <w:rsid w:val="008C647A"/>
    <w:rsid w:val="008C7646"/>
    <w:rsid w:val="008D0B18"/>
    <w:rsid w:val="008D1FD6"/>
    <w:rsid w:val="008D454B"/>
    <w:rsid w:val="008E2185"/>
    <w:rsid w:val="008E5192"/>
    <w:rsid w:val="008F60F6"/>
    <w:rsid w:val="008F7913"/>
    <w:rsid w:val="009051BB"/>
    <w:rsid w:val="00905700"/>
    <w:rsid w:val="00905E95"/>
    <w:rsid w:val="00906F0A"/>
    <w:rsid w:val="00911D9C"/>
    <w:rsid w:val="00912BDE"/>
    <w:rsid w:val="009155C2"/>
    <w:rsid w:val="009162D7"/>
    <w:rsid w:val="00916A0E"/>
    <w:rsid w:val="00916BA8"/>
    <w:rsid w:val="00917BA5"/>
    <w:rsid w:val="00917E88"/>
    <w:rsid w:val="0092676A"/>
    <w:rsid w:val="00931336"/>
    <w:rsid w:val="0093146C"/>
    <w:rsid w:val="00934F39"/>
    <w:rsid w:val="0093550D"/>
    <w:rsid w:val="00936D5D"/>
    <w:rsid w:val="00941637"/>
    <w:rsid w:val="00942C4B"/>
    <w:rsid w:val="009438C0"/>
    <w:rsid w:val="00945101"/>
    <w:rsid w:val="00945CCF"/>
    <w:rsid w:val="00946748"/>
    <w:rsid w:val="00946AFE"/>
    <w:rsid w:val="00947A96"/>
    <w:rsid w:val="00950912"/>
    <w:rsid w:val="00950B33"/>
    <w:rsid w:val="00951998"/>
    <w:rsid w:val="00954E06"/>
    <w:rsid w:val="00970807"/>
    <w:rsid w:val="009738A2"/>
    <w:rsid w:val="00974B7F"/>
    <w:rsid w:val="00977F87"/>
    <w:rsid w:val="00983BBC"/>
    <w:rsid w:val="009878E4"/>
    <w:rsid w:val="009916DA"/>
    <w:rsid w:val="009951D0"/>
    <w:rsid w:val="00996FAB"/>
    <w:rsid w:val="00997164"/>
    <w:rsid w:val="009A16BF"/>
    <w:rsid w:val="009A1C37"/>
    <w:rsid w:val="009A52B2"/>
    <w:rsid w:val="009A5527"/>
    <w:rsid w:val="009A6125"/>
    <w:rsid w:val="009A631D"/>
    <w:rsid w:val="009A6D9A"/>
    <w:rsid w:val="009B0441"/>
    <w:rsid w:val="009B31D7"/>
    <w:rsid w:val="009B3F2D"/>
    <w:rsid w:val="009B4097"/>
    <w:rsid w:val="009B5060"/>
    <w:rsid w:val="009B5856"/>
    <w:rsid w:val="009B780E"/>
    <w:rsid w:val="009C17F8"/>
    <w:rsid w:val="009C2659"/>
    <w:rsid w:val="009D234E"/>
    <w:rsid w:val="009D36B6"/>
    <w:rsid w:val="009E29C1"/>
    <w:rsid w:val="009E3C29"/>
    <w:rsid w:val="009F30B0"/>
    <w:rsid w:val="009F3F61"/>
    <w:rsid w:val="009F4176"/>
    <w:rsid w:val="009F579B"/>
    <w:rsid w:val="00A03C23"/>
    <w:rsid w:val="00A05635"/>
    <w:rsid w:val="00A0630C"/>
    <w:rsid w:val="00A068D2"/>
    <w:rsid w:val="00A06A1B"/>
    <w:rsid w:val="00A079D4"/>
    <w:rsid w:val="00A26EDD"/>
    <w:rsid w:val="00A33466"/>
    <w:rsid w:val="00A35B3A"/>
    <w:rsid w:val="00A36E8F"/>
    <w:rsid w:val="00A377A7"/>
    <w:rsid w:val="00A40649"/>
    <w:rsid w:val="00A42AD9"/>
    <w:rsid w:val="00A42E83"/>
    <w:rsid w:val="00A46133"/>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702C"/>
    <w:rsid w:val="00AA3A0A"/>
    <w:rsid w:val="00AA5F5D"/>
    <w:rsid w:val="00AB1CFB"/>
    <w:rsid w:val="00AB6735"/>
    <w:rsid w:val="00AC34CD"/>
    <w:rsid w:val="00AC622E"/>
    <w:rsid w:val="00AC7D43"/>
    <w:rsid w:val="00AD0C83"/>
    <w:rsid w:val="00AD4D7C"/>
    <w:rsid w:val="00AD5976"/>
    <w:rsid w:val="00AD6C94"/>
    <w:rsid w:val="00AE058A"/>
    <w:rsid w:val="00AE1C01"/>
    <w:rsid w:val="00AE25A8"/>
    <w:rsid w:val="00AE4B12"/>
    <w:rsid w:val="00AE6772"/>
    <w:rsid w:val="00AE7367"/>
    <w:rsid w:val="00AF1A66"/>
    <w:rsid w:val="00AF1E0C"/>
    <w:rsid w:val="00AF2AE9"/>
    <w:rsid w:val="00AF351F"/>
    <w:rsid w:val="00AF357D"/>
    <w:rsid w:val="00AF35AE"/>
    <w:rsid w:val="00AF65F2"/>
    <w:rsid w:val="00B00D92"/>
    <w:rsid w:val="00B0335A"/>
    <w:rsid w:val="00B13EEC"/>
    <w:rsid w:val="00B16050"/>
    <w:rsid w:val="00B22573"/>
    <w:rsid w:val="00B22745"/>
    <w:rsid w:val="00B22CA8"/>
    <w:rsid w:val="00B26CC0"/>
    <w:rsid w:val="00B30351"/>
    <w:rsid w:val="00B31946"/>
    <w:rsid w:val="00B35D66"/>
    <w:rsid w:val="00B41676"/>
    <w:rsid w:val="00B41A3F"/>
    <w:rsid w:val="00B442E2"/>
    <w:rsid w:val="00B454B5"/>
    <w:rsid w:val="00B474DC"/>
    <w:rsid w:val="00B47C61"/>
    <w:rsid w:val="00B50F67"/>
    <w:rsid w:val="00B50FC1"/>
    <w:rsid w:val="00B5189B"/>
    <w:rsid w:val="00B532AB"/>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6486"/>
    <w:rsid w:val="00BA0FE1"/>
    <w:rsid w:val="00BA2FD4"/>
    <w:rsid w:val="00BA3307"/>
    <w:rsid w:val="00BB0FDE"/>
    <w:rsid w:val="00BB34B9"/>
    <w:rsid w:val="00BB35B3"/>
    <w:rsid w:val="00BB4D25"/>
    <w:rsid w:val="00BB4F2D"/>
    <w:rsid w:val="00BB5477"/>
    <w:rsid w:val="00BC1167"/>
    <w:rsid w:val="00BC3724"/>
    <w:rsid w:val="00BC4FB6"/>
    <w:rsid w:val="00BC6A13"/>
    <w:rsid w:val="00BC6A28"/>
    <w:rsid w:val="00BC7F68"/>
    <w:rsid w:val="00BD33D1"/>
    <w:rsid w:val="00BD609F"/>
    <w:rsid w:val="00BE4712"/>
    <w:rsid w:val="00BE67BC"/>
    <w:rsid w:val="00BE70FD"/>
    <w:rsid w:val="00BF45CE"/>
    <w:rsid w:val="00BF6DF7"/>
    <w:rsid w:val="00C008EE"/>
    <w:rsid w:val="00C04105"/>
    <w:rsid w:val="00C130EE"/>
    <w:rsid w:val="00C16379"/>
    <w:rsid w:val="00C16AC3"/>
    <w:rsid w:val="00C17D19"/>
    <w:rsid w:val="00C17FAC"/>
    <w:rsid w:val="00C20265"/>
    <w:rsid w:val="00C227BC"/>
    <w:rsid w:val="00C2341E"/>
    <w:rsid w:val="00C23F96"/>
    <w:rsid w:val="00C2439C"/>
    <w:rsid w:val="00C24980"/>
    <w:rsid w:val="00C34764"/>
    <w:rsid w:val="00C350E1"/>
    <w:rsid w:val="00C41ED0"/>
    <w:rsid w:val="00C42026"/>
    <w:rsid w:val="00C43D5A"/>
    <w:rsid w:val="00C449CC"/>
    <w:rsid w:val="00C47106"/>
    <w:rsid w:val="00C524E8"/>
    <w:rsid w:val="00C54771"/>
    <w:rsid w:val="00C5526D"/>
    <w:rsid w:val="00C55B69"/>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A00B7"/>
    <w:rsid w:val="00CA03C6"/>
    <w:rsid w:val="00CA133D"/>
    <w:rsid w:val="00CA4B98"/>
    <w:rsid w:val="00CA60B8"/>
    <w:rsid w:val="00CA706E"/>
    <w:rsid w:val="00CA7542"/>
    <w:rsid w:val="00CB203B"/>
    <w:rsid w:val="00CB22FC"/>
    <w:rsid w:val="00CB2590"/>
    <w:rsid w:val="00CB2AA7"/>
    <w:rsid w:val="00CB7A3A"/>
    <w:rsid w:val="00CC2234"/>
    <w:rsid w:val="00CC6D2D"/>
    <w:rsid w:val="00CC78B1"/>
    <w:rsid w:val="00CD045A"/>
    <w:rsid w:val="00CD2027"/>
    <w:rsid w:val="00CD20FD"/>
    <w:rsid w:val="00CD285E"/>
    <w:rsid w:val="00CD3052"/>
    <w:rsid w:val="00CD3602"/>
    <w:rsid w:val="00CD3BCA"/>
    <w:rsid w:val="00CD686B"/>
    <w:rsid w:val="00CE12FC"/>
    <w:rsid w:val="00CE3264"/>
    <w:rsid w:val="00CE42F8"/>
    <w:rsid w:val="00CE482F"/>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6B60"/>
    <w:rsid w:val="00D2716F"/>
    <w:rsid w:val="00D30560"/>
    <w:rsid w:val="00D34289"/>
    <w:rsid w:val="00D343E3"/>
    <w:rsid w:val="00D34CF2"/>
    <w:rsid w:val="00D36A92"/>
    <w:rsid w:val="00D4093C"/>
    <w:rsid w:val="00D445C7"/>
    <w:rsid w:val="00D4712E"/>
    <w:rsid w:val="00D4766B"/>
    <w:rsid w:val="00D50BFF"/>
    <w:rsid w:val="00D53658"/>
    <w:rsid w:val="00D571A3"/>
    <w:rsid w:val="00D57968"/>
    <w:rsid w:val="00D603AE"/>
    <w:rsid w:val="00D6161C"/>
    <w:rsid w:val="00D63E09"/>
    <w:rsid w:val="00D63E67"/>
    <w:rsid w:val="00D67725"/>
    <w:rsid w:val="00D70F71"/>
    <w:rsid w:val="00D7211D"/>
    <w:rsid w:val="00D74EE3"/>
    <w:rsid w:val="00D76AB7"/>
    <w:rsid w:val="00D80BFC"/>
    <w:rsid w:val="00D860F4"/>
    <w:rsid w:val="00D901CC"/>
    <w:rsid w:val="00D90BE4"/>
    <w:rsid w:val="00D90C9E"/>
    <w:rsid w:val="00D90E8A"/>
    <w:rsid w:val="00D9498E"/>
    <w:rsid w:val="00DA09DA"/>
    <w:rsid w:val="00DA19E2"/>
    <w:rsid w:val="00DA235D"/>
    <w:rsid w:val="00DA4A89"/>
    <w:rsid w:val="00DA5FF6"/>
    <w:rsid w:val="00DA7015"/>
    <w:rsid w:val="00DB0464"/>
    <w:rsid w:val="00DB177C"/>
    <w:rsid w:val="00DB1B2C"/>
    <w:rsid w:val="00DB698D"/>
    <w:rsid w:val="00DB7D10"/>
    <w:rsid w:val="00DC1CB4"/>
    <w:rsid w:val="00DD060B"/>
    <w:rsid w:val="00DD1641"/>
    <w:rsid w:val="00DD3126"/>
    <w:rsid w:val="00DD31F5"/>
    <w:rsid w:val="00DD4BB7"/>
    <w:rsid w:val="00DD6F83"/>
    <w:rsid w:val="00DE0751"/>
    <w:rsid w:val="00DE2C3B"/>
    <w:rsid w:val="00DE4E5F"/>
    <w:rsid w:val="00DE5C5E"/>
    <w:rsid w:val="00DF13E4"/>
    <w:rsid w:val="00DF1BEB"/>
    <w:rsid w:val="00DF2E97"/>
    <w:rsid w:val="00DF3580"/>
    <w:rsid w:val="00DF4083"/>
    <w:rsid w:val="00E1110F"/>
    <w:rsid w:val="00E1464B"/>
    <w:rsid w:val="00E15C41"/>
    <w:rsid w:val="00E16047"/>
    <w:rsid w:val="00E24AA1"/>
    <w:rsid w:val="00E32FC6"/>
    <w:rsid w:val="00E339E0"/>
    <w:rsid w:val="00E36A3B"/>
    <w:rsid w:val="00E375C1"/>
    <w:rsid w:val="00E41F9D"/>
    <w:rsid w:val="00E431F4"/>
    <w:rsid w:val="00E46B6C"/>
    <w:rsid w:val="00E46D64"/>
    <w:rsid w:val="00E46D75"/>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90535"/>
    <w:rsid w:val="00E9266D"/>
    <w:rsid w:val="00EA0B9C"/>
    <w:rsid w:val="00EA1AB6"/>
    <w:rsid w:val="00EA1B4B"/>
    <w:rsid w:val="00EA4348"/>
    <w:rsid w:val="00EA44E8"/>
    <w:rsid w:val="00EA5061"/>
    <w:rsid w:val="00EB107B"/>
    <w:rsid w:val="00EB182E"/>
    <w:rsid w:val="00EB3FF6"/>
    <w:rsid w:val="00EB61FB"/>
    <w:rsid w:val="00EC0731"/>
    <w:rsid w:val="00EC0B84"/>
    <w:rsid w:val="00EC1EFA"/>
    <w:rsid w:val="00EC2262"/>
    <w:rsid w:val="00EC2CCD"/>
    <w:rsid w:val="00EC5199"/>
    <w:rsid w:val="00ED1C7E"/>
    <w:rsid w:val="00ED3BBC"/>
    <w:rsid w:val="00EE026C"/>
    <w:rsid w:val="00EE093E"/>
    <w:rsid w:val="00EE0A51"/>
    <w:rsid w:val="00EE2C43"/>
    <w:rsid w:val="00EE2C66"/>
    <w:rsid w:val="00EE5181"/>
    <w:rsid w:val="00EE62B2"/>
    <w:rsid w:val="00EF0D6A"/>
    <w:rsid w:val="00EF23D2"/>
    <w:rsid w:val="00EF5540"/>
    <w:rsid w:val="00EF5FD6"/>
    <w:rsid w:val="00F001F7"/>
    <w:rsid w:val="00F07574"/>
    <w:rsid w:val="00F11C17"/>
    <w:rsid w:val="00F16AC8"/>
    <w:rsid w:val="00F17050"/>
    <w:rsid w:val="00F17DAE"/>
    <w:rsid w:val="00F200C8"/>
    <w:rsid w:val="00F23C54"/>
    <w:rsid w:val="00F24F35"/>
    <w:rsid w:val="00F26111"/>
    <w:rsid w:val="00F26715"/>
    <w:rsid w:val="00F310FD"/>
    <w:rsid w:val="00F40A77"/>
    <w:rsid w:val="00F41351"/>
    <w:rsid w:val="00F42212"/>
    <w:rsid w:val="00F442F8"/>
    <w:rsid w:val="00F44645"/>
    <w:rsid w:val="00F45C26"/>
    <w:rsid w:val="00F5182C"/>
    <w:rsid w:val="00F51A2C"/>
    <w:rsid w:val="00F5390E"/>
    <w:rsid w:val="00F54A68"/>
    <w:rsid w:val="00F55664"/>
    <w:rsid w:val="00F5738E"/>
    <w:rsid w:val="00F64913"/>
    <w:rsid w:val="00F72500"/>
    <w:rsid w:val="00F7416C"/>
    <w:rsid w:val="00F81382"/>
    <w:rsid w:val="00F8197E"/>
    <w:rsid w:val="00F82852"/>
    <w:rsid w:val="00F8472E"/>
    <w:rsid w:val="00F847B1"/>
    <w:rsid w:val="00F86167"/>
    <w:rsid w:val="00F86237"/>
    <w:rsid w:val="00F914C8"/>
    <w:rsid w:val="00F91614"/>
    <w:rsid w:val="00F93B91"/>
    <w:rsid w:val="00F93F4B"/>
    <w:rsid w:val="00F949A9"/>
    <w:rsid w:val="00FA0303"/>
    <w:rsid w:val="00FA095A"/>
    <w:rsid w:val="00FA187B"/>
    <w:rsid w:val="00FA6494"/>
    <w:rsid w:val="00FA7742"/>
    <w:rsid w:val="00FB0A9E"/>
    <w:rsid w:val="00FB200D"/>
    <w:rsid w:val="00FB3D1A"/>
    <w:rsid w:val="00FB44FA"/>
    <w:rsid w:val="00FB59F8"/>
    <w:rsid w:val="00FB5A27"/>
    <w:rsid w:val="00FB64C5"/>
    <w:rsid w:val="00FC16C7"/>
    <w:rsid w:val="00FC4F22"/>
    <w:rsid w:val="00FC5807"/>
    <w:rsid w:val="00FD1671"/>
    <w:rsid w:val="00FD176A"/>
    <w:rsid w:val="00FD1FFE"/>
    <w:rsid w:val="00FD2EAF"/>
    <w:rsid w:val="00FD579D"/>
    <w:rsid w:val="00FE20ED"/>
    <w:rsid w:val="00FE6804"/>
    <w:rsid w:val="00FE73EF"/>
    <w:rsid w:val="00FF1F99"/>
    <w:rsid w:val="00FF20D1"/>
    <w:rsid w:val="00FF2840"/>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table" w:customStyle="1" w:styleId="1">
    <w:name w:val="1"/>
    <w:basedOn w:val="TableNormal"/>
    <w:rsid w:val="006B57A8"/>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beration.fr/economie/social/supermarches-auchan-bientot-franchises-est-ce-que-les-acquis-sociaux-des-salaries-seront-conserves-20251127_EPTV74V4H5CF5GRUEBZHWQQLRM/" TargetMode="External"/><Relationship Id="rId18" Type="http://schemas.openxmlformats.org/officeDocument/2006/relationships/hyperlink" Target="https://www.liberation.fr/economie/capital-de-carrefour-la-famille-saade-entre-dans-la-course-20251113_BXY5TEVI35GL7PBXEZ5CDKDHVI/" TargetMode="External"/><Relationship Id="rId26" Type="http://schemas.openxmlformats.org/officeDocument/2006/relationships/hyperlink" Target="https://www.lesechos.fr/industrie-services/pharmacie-sante/produire-en-france-va-nous-couter-environ-deux-fois-plus-cher-le-laboratoire-mayoly-relocalise-la-production-dun-medicament-essentiel-2198530" TargetMode="External"/><Relationship Id="rId21" Type="http://schemas.openxmlformats.org/officeDocument/2006/relationships/hyperlink" Target="https://www.liberation.fr/economie/baisse-des-prix-de-lelectricite-le-gouvernement-a-enfin-une-chance-detre-ambitieux-20251126_KEN7IGDG7JH67IN6XXJO4JFMCA/" TargetMode="External"/><Relationship Id="rId34" Type="http://schemas.openxmlformats.org/officeDocument/2006/relationships/hyperlink" Target="https://www.liberation.fr/economie/social/vencorex-le-projet-est-serieux-juge-le-ministre-de-lindustrie-concernant-le-plan-de-reprise-exalia-20251128_N3KNAZ2UUBHUFBEJ7Q6EVMVLFY/" TargetMode="External"/><Relationship Id="rId7" Type="http://schemas.openxmlformats.org/officeDocument/2006/relationships/footnotes" Target="footnotes.xml"/><Relationship Id="rId12" Type="http://schemas.openxmlformats.org/officeDocument/2006/relationships/hyperlink" Target="https://www.liberation.fr/economie/sincerite-des-comptes-lactalis-vise-par-deux-actions-en-justice-20251125_7XHH4FLYZBESFOJYSTFFME6CUY/" TargetMode="External"/><Relationship Id="rId17" Type="http://schemas.openxmlformats.org/officeDocument/2006/relationships/hyperlink" Target="https://www.liberation.fr/economie/le-laboratoire-urgo-marque-emblematique-de-pansements-construit-une-nouvelle-usine-en-france-20251114_7D2VGZAFEZFYPOLJACTYH7EQKY/" TargetMode="External"/><Relationship Id="rId25" Type="http://schemas.openxmlformats.org/officeDocument/2006/relationships/hyperlink" Target="https://www.lesechos.fr/industrie-services/conso-distribution/aliexpress-joom-temu-bercy-elargit-son-offensive-contre-les-plateformes-de-commerce-2198800" TargetMode="External"/><Relationship Id="rId33" Type="http://schemas.openxmlformats.org/officeDocument/2006/relationships/hyperlink" Target="https://www.lemonde.fr/economie/article/2025/11/17/l-operateur-opcore-va-investir-4-milliards-d-euros-dans-un-centre-de-donnees-en-seine-et-marne-l-investissement-le-plus-important-annonce-au-sommet-choose-france_6653735_3234.html" TargetMode="External"/><Relationship Id="rId2" Type="http://schemas.openxmlformats.org/officeDocument/2006/relationships/customXml" Target="../customXml/item2.xml"/><Relationship Id="rId16" Type="http://schemas.openxmlformats.org/officeDocument/2006/relationships/hyperlink" Target="https://www.lesechos.fr/industrie-services/conso-distribution/les-magasins-de-marques-asiatiques-font-une-percee-en-france-2197307" TargetMode="External"/><Relationship Id="rId20" Type="http://schemas.openxmlformats.org/officeDocument/2006/relationships/hyperlink" Target="https://www.lemonde.fr/economie/article/2025/11/17/la-crise-industrielle-plane-de-nouveau-sur-la-france_6653695_3234.html" TargetMode="External"/><Relationship Id="rId29" Type="http://schemas.openxmlformats.org/officeDocument/2006/relationships/hyperlink" Target="https://www.liberation.fr/economie/conso/le-pib-en-hausse-de-05-au-troisieme-trimestre-linflation-stable-a-09-en-novembre-20251128_ELWQNWIQZRDYRPEG3UUJLKHF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vestir.lesechos.fr/placements/sicav-fonds/les-francais-nont-jamais-autant-epargne-depuis-la-crise-sanitaire-2200161?_gl=1*8qy2t2*_gcl_au*MTIyODA5NjA5NC4xNzYzMzY5MDk4" TargetMode="External"/><Relationship Id="rId24" Type="http://schemas.openxmlformats.org/officeDocument/2006/relationships/hyperlink" Target="https://www.lesechos.fr/pme-regions/ile-de-france/paris-saclay-premiere-universite-francais-en-ia-au-classement-de-shanghai-2201693" TargetMode="External"/><Relationship Id="rId32" Type="http://schemas.openxmlformats.org/officeDocument/2006/relationships/hyperlink" Target="https://www.lesechos.fr/industrie-services/mode-luxe/peu-chere-et-durable-la-seconde-main-vrai-bouclier-anti-shein-219777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iberation.fr/economie/transports/renault-devoile-une-twingo-100-electrique-accessible-mais-pas-100-produit-en-france-20251106_FMN6HZSDYFHW3JUNQVOVZVPW6A/" TargetMode="External"/><Relationship Id="rId23" Type="http://schemas.openxmlformats.org/officeDocument/2006/relationships/hyperlink" Target="https://www.lesechos.fr/politique-societe/education/recherche-le-plan-a-300-millions-du-gouvernement-pour-renforcer-la-souverainete-2201450" TargetMode="External"/><Relationship Id="rId28" Type="http://schemas.openxmlformats.org/officeDocument/2006/relationships/hyperlink" Target="https://www.liberation.fr/economie/selon-le-gouverneur-de-la-banque-de-france-lincertitude-politique-coutera-02-point-de-croissance-cette-annee-20251127_YYARPCMTGFCRZOHVR5GQZK2FD4/" TargetMode="External"/><Relationship Id="rId36" Type="http://schemas.openxmlformats.org/officeDocument/2006/relationships/fontTable" Target="fontTable.xml"/><Relationship Id="rId10" Type="http://schemas.openxmlformats.org/officeDocument/2006/relationships/hyperlink" Target="https://www.lesechos.fr/industrie-services/conso-distribution/fromages-foie-gras-ces-crises-sanitaires-qui-ont-joue-un-mauvais-tour-a-la-balance-commerciale-de-la-france-2199489" TargetMode="External"/><Relationship Id="rId19" Type="http://schemas.openxmlformats.org/officeDocument/2006/relationships/hyperlink" Target="https://www.liberation.fr/economie/totalenergies-et-daniel-kretinsky-nouent-une-alliance-pour-produire-davantage-delectricite-20251117_ZZ2VKA26JJC2NAMSANTKVLDQJY/" TargetMode="External"/><Relationship Id="rId31" Type="http://schemas.openxmlformats.org/officeDocument/2006/relationships/hyperlink" Target="https://www.liberation.fr/economie/budget-2026-le-senat-rejette-la-surtaxe-visant-les-grandes-entreprises-votee-par-lassemblee-20251129_Z4ITG5UUPFCL5IZBMBF5XG44SQ/" TargetMode="External"/><Relationship Id="rId4" Type="http://schemas.openxmlformats.org/officeDocument/2006/relationships/styles" Target="styles.xml"/><Relationship Id="rId9" Type="http://schemas.openxmlformats.org/officeDocument/2006/relationships/hyperlink" Target="https://www.liberation.fr/economie/conso/claires-deux-offres-de-reprise-validees-par-la-justice-la-moitie-des-salaries-conservee-20251117_QAY7SB7H4ZFUNJ4H6GGE3PVWCI/" TargetMode="External"/><Relationship Id="rId14" Type="http://schemas.openxmlformats.org/officeDocument/2006/relationships/hyperlink" Target="https://www.liberation.fr/economie/stellantis-sengage-sur-un-avenir-industriel-pour-lusine-de-poissy-20251127_XHJZIKCAJ5FCRJBZJSZLA4MEK4/" TargetMode="External"/><Relationship Id="rId22" Type="http://schemas.openxmlformats.org/officeDocument/2006/relationships/hyperlink" Target="https://www.lesechos.fr/industrie-services/immobilier-btp/airbnb-resiste-a-la-regulation-des-meubles-touristiques-en-france-2198259" TargetMode="External"/><Relationship Id="rId27" Type="http://schemas.openxmlformats.org/officeDocument/2006/relationships/hyperlink" Target="https://www.lesechos.fr/monde/europe/pour-locde-la-france-sera-forcee-de-relever-sensiblement-lage-du-depart-a-la-retraite-2201256" TargetMode="External"/><Relationship Id="rId30" Type="http://schemas.openxmlformats.org/officeDocument/2006/relationships/hyperlink" Target="https://www.lesechos.fr/economie-france/budget-fiscalite/budget-2026-nouvelle-tentative-du-senat-pour-reduire-limpot-sur-la-fortune-immobiliere-2201738"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18685</Words>
  <Characters>10651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ATROŠKA</dc:creator>
  <cp:lastModifiedBy>Vitalija Kardokaitė-Šimanauskienė</cp:lastModifiedBy>
  <cp:revision>32</cp:revision>
  <cp:lastPrinted>2021-07-01T13:41:00Z</cp:lastPrinted>
  <dcterms:created xsi:type="dcterms:W3CDTF">2025-11-27T12:17:00Z</dcterms:created>
  <dcterms:modified xsi:type="dcterms:W3CDTF">2025-12-07T23:58:00Z</dcterms:modified>
</cp:coreProperties>
</file>