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1DEC38C7" w:rsidR="00AC04B6" w:rsidRPr="002F4A3E" w:rsidRDefault="00AC04B6" w:rsidP="00AC04B6">
      <w:pPr>
        <w:spacing w:line="360" w:lineRule="auto"/>
        <w:jc w:val="center"/>
        <w:rPr>
          <w:rFonts w:ascii="Times New Roman" w:eastAsia="Arial" w:hAnsi="Times New Roman"/>
          <w:sz w:val="24"/>
          <w:szCs w:val="24"/>
        </w:rPr>
      </w:pPr>
      <w:r w:rsidRPr="002F4A3E">
        <w:rPr>
          <w:rFonts w:ascii="Times New Roman" w:eastAsia="Arial" w:hAnsi="Times New Roman"/>
          <w:sz w:val="24"/>
          <w:szCs w:val="24"/>
        </w:rPr>
        <w:t>202</w:t>
      </w:r>
      <w:r w:rsidR="002F4A3E" w:rsidRPr="002F4A3E">
        <w:rPr>
          <w:rFonts w:ascii="Times New Roman" w:eastAsia="Arial" w:hAnsi="Times New Roman"/>
          <w:sz w:val="24"/>
          <w:szCs w:val="24"/>
        </w:rPr>
        <w:t>6</w:t>
      </w:r>
      <w:r w:rsidRPr="002F4A3E">
        <w:rPr>
          <w:rFonts w:ascii="Times New Roman" w:eastAsia="Arial" w:hAnsi="Times New Roman"/>
          <w:sz w:val="24"/>
          <w:szCs w:val="24"/>
        </w:rPr>
        <w:t xml:space="preserve"> </w:t>
      </w:r>
      <w:r w:rsidR="009B28F4" w:rsidRPr="002F4A3E">
        <w:rPr>
          <w:rFonts w:ascii="Times New Roman" w:eastAsia="Arial" w:hAnsi="Times New Roman"/>
          <w:sz w:val="24"/>
          <w:szCs w:val="24"/>
        </w:rPr>
        <w:t>0</w:t>
      </w:r>
      <w:r w:rsidR="00CB207A" w:rsidRPr="002F4A3E">
        <w:rPr>
          <w:rFonts w:ascii="Times New Roman" w:eastAsia="Arial" w:hAnsi="Times New Roman"/>
          <w:sz w:val="24"/>
          <w:szCs w:val="24"/>
        </w:rPr>
        <w:t>3</w:t>
      </w:r>
      <w:r w:rsidRPr="002F4A3E">
        <w:rPr>
          <w:rFonts w:ascii="Times New Roman" w:eastAsia="Arial" w:hAnsi="Times New Roman"/>
          <w:sz w:val="24"/>
          <w:szCs w:val="24"/>
        </w:rPr>
        <w:t xml:space="preserve"> </w:t>
      </w:r>
      <w:r w:rsidR="002F4A3E" w:rsidRPr="002F4A3E">
        <w:rPr>
          <w:rFonts w:ascii="Times New Roman" w:eastAsia="Arial" w:hAnsi="Times New Roman"/>
          <w:sz w:val="24"/>
          <w:szCs w:val="24"/>
        </w:rPr>
        <w:t>2</w:t>
      </w:r>
      <w:r w:rsidR="00F753BA">
        <w:rPr>
          <w:rFonts w:ascii="Times New Roman" w:eastAsia="Arial" w:hAnsi="Times New Roman"/>
          <w:sz w:val="24"/>
          <w:szCs w:val="24"/>
        </w:rPr>
        <w:t>7</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229CA642" w:rsidR="007226E9" w:rsidRPr="00F50348" w:rsidRDefault="008A0F63" w:rsidP="007226E9">
            <w:pPr>
              <w:spacing w:after="0" w:line="240" w:lineRule="auto"/>
              <w:rPr>
                <w:rFonts w:ascii="Times New Roman" w:eastAsia="Times New Roman" w:hAnsi="Times New Roman"/>
              </w:rPr>
            </w:pPr>
            <w:r>
              <w:rPr>
                <w:rFonts w:ascii="Times New Roman" w:eastAsia="Times New Roman" w:hAnsi="Times New Roman"/>
              </w:rPr>
              <w:t>2026 02 03</w:t>
            </w:r>
          </w:p>
        </w:tc>
        <w:tc>
          <w:tcPr>
            <w:tcW w:w="5812" w:type="dxa"/>
            <w:tcMar>
              <w:top w:w="29" w:type="dxa"/>
              <w:left w:w="115" w:type="dxa"/>
              <w:bottom w:w="29" w:type="dxa"/>
              <w:right w:w="115" w:type="dxa"/>
            </w:tcMar>
          </w:tcPr>
          <w:p w14:paraId="556DB5D2" w14:textId="74AC2B1F"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r w:rsidRPr="008A0F63">
              <w:rPr>
                <w:rFonts w:ascii="Times New Roman" w:eastAsia="Times New Roman" w:hAnsi="Times New Roman"/>
              </w:rPr>
              <w:t>Norvegijos gynybos ministerijos įsteigtas Pramonės forumas rengia susitikimų ciklą, skirtą supažindinti įmones su galimybėmis dalyvauti konkursuose dėl Norvegijos karinio laivyno planuojamų naujų standartizuotų karinių laivų. Susitikimų metu įmonėms bus pristatomas pirkimų procesas ir siekiama sudaryti vadinamąjį „galimybių katalogą“, kuris padės valdžios institucijoms ir laivų statykloms įvertinti, kokius produktus, sistemas ir paslaugas gali pasiūlyti Norvegijos pramonė</w:t>
            </w:r>
            <w:r>
              <w:rPr>
                <w:rFonts w:ascii="Times New Roman" w:eastAsia="Times New Roman" w:hAnsi="Times New Roman"/>
              </w:rPr>
              <w:t xml:space="preserve">. </w:t>
            </w:r>
            <w:r w:rsidRPr="008A0F63">
              <w:rPr>
                <w:rFonts w:ascii="Times New Roman" w:eastAsia="Times New Roman" w:hAnsi="Times New Roman"/>
              </w:rPr>
              <w:t>Susitikimai vyks šiose vietose ir šiomis datomis:</w:t>
            </w:r>
          </w:p>
          <w:p w14:paraId="2ECD601D"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proofErr w:type="spellStart"/>
            <w:r w:rsidRPr="008A0F63">
              <w:rPr>
                <w:rFonts w:ascii="Times New Roman" w:eastAsia="Times New Roman" w:hAnsi="Times New Roman"/>
              </w:rPr>
              <w:t>Harstadas</w:t>
            </w:r>
            <w:proofErr w:type="spellEnd"/>
            <w:r w:rsidRPr="008A0F63">
              <w:rPr>
                <w:rFonts w:ascii="Times New Roman" w:eastAsia="Times New Roman" w:hAnsi="Times New Roman"/>
              </w:rPr>
              <w:t>: kovo 11 d.</w:t>
            </w:r>
          </w:p>
          <w:p w14:paraId="17ED04E4"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r w:rsidRPr="008A0F63">
              <w:rPr>
                <w:rFonts w:ascii="Times New Roman" w:eastAsia="Times New Roman" w:hAnsi="Times New Roman"/>
              </w:rPr>
              <w:t>Stavangeris: kovo 13 d.</w:t>
            </w:r>
          </w:p>
          <w:p w14:paraId="7AE155D2"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r w:rsidRPr="008A0F63">
              <w:rPr>
                <w:rFonts w:ascii="Times New Roman" w:eastAsia="Times New Roman" w:hAnsi="Times New Roman"/>
              </w:rPr>
              <w:t>Bergenas: kovo 16 d.</w:t>
            </w:r>
          </w:p>
          <w:p w14:paraId="31A665EE"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proofErr w:type="spellStart"/>
            <w:r w:rsidRPr="008A0F63">
              <w:rPr>
                <w:rFonts w:ascii="Times New Roman" w:eastAsia="Times New Roman" w:hAnsi="Times New Roman"/>
              </w:rPr>
              <w:t>Ålesundas</w:t>
            </w:r>
            <w:proofErr w:type="spellEnd"/>
            <w:r w:rsidRPr="008A0F63">
              <w:rPr>
                <w:rFonts w:ascii="Times New Roman" w:eastAsia="Times New Roman" w:hAnsi="Times New Roman"/>
              </w:rPr>
              <w:t>: kovo 24 d.</w:t>
            </w:r>
          </w:p>
          <w:p w14:paraId="57A1330D"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proofErr w:type="spellStart"/>
            <w:r w:rsidRPr="008A0F63">
              <w:rPr>
                <w:rFonts w:ascii="Times New Roman" w:eastAsia="Times New Roman" w:hAnsi="Times New Roman"/>
              </w:rPr>
              <w:t>Trondheimas</w:t>
            </w:r>
            <w:proofErr w:type="spellEnd"/>
            <w:r w:rsidRPr="008A0F63">
              <w:rPr>
                <w:rFonts w:ascii="Times New Roman" w:eastAsia="Times New Roman" w:hAnsi="Times New Roman"/>
              </w:rPr>
              <w:t>: balandžio 8 d.</w:t>
            </w:r>
          </w:p>
          <w:p w14:paraId="5E306086" w14:textId="77777777" w:rsidR="008A0F63" w:rsidRPr="008A0F63" w:rsidRDefault="008A0F63" w:rsidP="008A0F63">
            <w:pPr>
              <w:pBdr>
                <w:top w:val="nil"/>
                <w:left w:val="nil"/>
                <w:bottom w:val="nil"/>
                <w:right w:val="nil"/>
                <w:between w:val="nil"/>
              </w:pBdr>
              <w:spacing w:after="0" w:line="240" w:lineRule="auto"/>
              <w:jc w:val="both"/>
              <w:rPr>
                <w:rFonts w:ascii="Times New Roman" w:eastAsia="Times New Roman" w:hAnsi="Times New Roman"/>
              </w:rPr>
            </w:pPr>
            <w:r w:rsidRPr="008A0F63">
              <w:rPr>
                <w:rFonts w:ascii="Times New Roman" w:eastAsia="Times New Roman" w:hAnsi="Times New Roman"/>
              </w:rPr>
              <w:t>Oslas: balandžio 9 d.</w:t>
            </w:r>
          </w:p>
          <w:p w14:paraId="125ED5B7" w14:textId="0764FE44" w:rsidR="007226E9" w:rsidRPr="00F50348" w:rsidRDefault="008A0F63" w:rsidP="008A0F63">
            <w:pPr>
              <w:pBdr>
                <w:top w:val="nil"/>
                <w:left w:val="nil"/>
                <w:bottom w:val="nil"/>
                <w:right w:val="nil"/>
                <w:between w:val="nil"/>
              </w:pBdr>
              <w:spacing w:after="0" w:line="240" w:lineRule="auto"/>
              <w:jc w:val="both"/>
              <w:rPr>
                <w:rFonts w:ascii="Times New Roman" w:eastAsia="Times New Roman" w:hAnsi="Times New Roman"/>
              </w:rPr>
            </w:pPr>
            <w:r w:rsidRPr="008A0F63">
              <w:rPr>
                <w:rFonts w:ascii="Times New Roman" w:eastAsia="Times New Roman" w:hAnsi="Times New Roman"/>
              </w:rPr>
              <w:t>Visos įmonės, norinčios gauti daugiau informacijos apie standartizuotų laivų pirkimą, raginamos užsiregistruoti</w:t>
            </w:r>
            <w:r>
              <w:rPr>
                <w:rFonts w:ascii="Times New Roman" w:eastAsia="Times New Roman" w:hAnsi="Times New Roman"/>
              </w:rPr>
              <w:t xml:space="preserve">  </w:t>
            </w:r>
            <w:hyperlink r:id="rId9" w:history="1">
              <w:r w:rsidRPr="008A0F63">
                <w:rPr>
                  <w:rStyle w:val="Hyperlink"/>
                  <w:rFonts w:ascii="Times New Roman" w:eastAsia="Times New Roman" w:hAnsi="Times New Roman"/>
                </w:rPr>
                <w:t xml:space="preserve"> </w:t>
              </w:r>
              <w:r>
                <w:rPr>
                  <w:rStyle w:val="Hyperlink"/>
                  <w:rFonts w:ascii="Times New Roman" w:eastAsia="Times New Roman" w:hAnsi="Times New Roman"/>
                </w:rPr>
                <w:t>paspaudus nuorodą</w:t>
              </w:r>
            </w:hyperlink>
            <w:r>
              <w:rPr>
                <w:rFonts w:ascii="Times New Roman" w:eastAsia="Times New Roman" w:hAnsi="Times New Roman"/>
              </w:rPr>
              <w:t>.</w:t>
            </w:r>
          </w:p>
        </w:tc>
        <w:tc>
          <w:tcPr>
            <w:tcW w:w="2268" w:type="dxa"/>
            <w:tcBorders>
              <w:bottom w:val="single" w:sz="4" w:space="0" w:color="000000"/>
            </w:tcBorders>
            <w:tcMar>
              <w:top w:w="29" w:type="dxa"/>
              <w:left w:w="115" w:type="dxa"/>
              <w:bottom w:w="29" w:type="dxa"/>
              <w:right w:w="115" w:type="dxa"/>
            </w:tcMar>
          </w:tcPr>
          <w:p w14:paraId="00823EE7" w14:textId="3546A391" w:rsidR="007226E9" w:rsidRPr="00F50348" w:rsidRDefault="008A0F63" w:rsidP="007226E9">
            <w:pPr>
              <w:spacing w:after="0" w:line="240" w:lineRule="auto"/>
              <w:rPr>
                <w:rFonts w:ascii="Times New Roman" w:eastAsia="Times New Roman" w:hAnsi="Times New Roman"/>
              </w:rPr>
            </w:pPr>
            <w:hyperlink r:id="rId10" w:history="1">
              <w:proofErr w:type="spellStart"/>
              <w:r w:rsidRPr="00987348">
                <w:rPr>
                  <w:rStyle w:val="Hyperlink"/>
                  <w:rFonts w:ascii="Times New Roman" w:hAnsi="Times New Roman"/>
                  <w:bCs/>
                  <w:color w:val="auto"/>
                </w:rPr>
                <w:t>NMoD</w:t>
              </w:r>
              <w:proofErr w:type="spellEnd"/>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68A9D0B0" w:rsidR="00FD157B" w:rsidRDefault="00B621D1" w:rsidP="007226E9">
            <w:pPr>
              <w:spacing w:after="0" w:line="240" w:lineRule="auto"/>
              <w:rPr>
                <w:rFonts w:ascii="Times New Roman" w:eastAsia="Times New Roman" w:hAnsi="Times New Roman"/>
              </w:rPr>
            </w:pPr>
            <w:r>
              <w:rPr>
                <w:rFonts w:ascii="Times New Roman" w:eastAsia="Times New Roman" w:hAnsi="Times New Roman"/>
              </w:rPr>
              <w:t>2026 02 12</w:t>
            </w:r>
          </w:p>
        </w:tc>
        <w:tc>
          <w:tcPr>
            <w:tcW w:w="5812" w:type="dxa"/>
            <w:tcMar>
              <w:top w:w="29" w:type="dxa"/>
              <w:left w:w="115" w:type="dxa"/>
              <w:bottom w:w="29" w:type="dxa"/>
              <w:right w:w="115" w:type="dxa"/>
            </w:tcMar>
          </w:tcPr>
          <w:p w14:paraId="1FE1204A" w14:textId="069F305C" w:rsidR="00FD157B" w:rsidRDefault="00B621D1" w:rsidP="00B621D1">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 xml:space="preserve">Norvegijos Parlementas </w:t>
            </w:r>
            <w:r w:rsidRPr="00B621D1">
              <w:rPr>
                <w:rFonts w:ascii="Times New Roman" w:eastAsia="Times New Roman" w:hAnsi="Times New Roman"/>
              </w:rPr>
              <w:t>priėmė Viešųjų pirkimų įstatymo pakeitimus, kuriais siekiama sustiprinti socialinius reikalavimus ir supaprastinti nacionalinių pirkimų taisykles.</w:t>
            </w:r>
            <w:r>
              <w:rPr>
                <w:rFonts w:ascii="Times New Roman" w:eastAsia="Times New Roman" w:hAnsi="Times New Roman"/>
              </w:rPr>
              <w:t xml:space="preserve"> </w:t>
            </w:r>
            <w:r w:rsidRPr="00B621D1">
              <w:rPr>
                <w:rFonts w:ascii="Times New Roman" w:eastAsia="Times New Roman" w:hAnsi="Times New Roman"/>
              </w:rPr>
              <w:t xml:space="preserve">Svarbiausias pakeitimas – ribos, nuo kurios taikomas įstatymas, padidinimas nuo 100 tūkst. iki 500 tūkst. NOK be PVM. Tai turėtų sumažinti administracinę naštą mažesniems pirkimams. Taip pat panaikintas 4 straipsnis dėl pagrindinių principų nacionaliniams pirkimams, suteikiant daugiau lankstumo nustatyti atskiras </w:t>
            </w:r>
            <w:proofErr w:type="spellStart"/>
            <w:r w:rsidRPr="00B621D1">
              <w:rPr>
                <w:rFonts w:ascii="Times New Roman" w:eastAsia="Times New Roman" w:hAnsi="Times New Roman"/>
              </w:rPr>
              <w:t>taisykles.Įstatyme</w:t>
            </w:r>
            <w:proofErr w:type="spellEnd"/>
            <w:r w:rsidRPr="00B621D1">
              <w:rPr>
                <w:rFonts w:ascii="Times New Roman" w:eastAsia="Times New Roman" w:hAnsi="Times New Roman"/>
              </w:rPr>
              <w:t xml:space="preserve"> suvienodinamos nuostatos dėl socialinių reikalavimų, įtvirtinamas 30 proc. klimato ir aplinkosaugos kriterijų svoris, stiprinami žmogaus teisių ir deramų darbo sąlygų reikalavimai. Taip pat įtraukta nauja nuostata dėl saugumo ir pasirengimo ekstremalioms situacijoms.</w:t>
            </w:r>
            <w:r>
              <w:rPr>
                <w:rFonts w:ascii="Times New Roman" w:eastAsia="Times New Roman" w:hAnsi="Times New Roman"/>
              </w:rPr>
              <w:t xml:space="preserve"> </w:t>
            </w:r>
            <w:r w:rsidRPr="00B621D1">
              <w:rPr>
                <w:rFonts w:ascii="Times New Roman" w:eastAsia="Times New Roman" w:hAnsi="Times New Roman"/>
              </w:rPr>
              <w:t>Numatoma, kad dalis pakeitimų įsigalios 2026 m. liepos 1 d. Pakeitimai derinami su vykstančia Europos Sąjungos viešųjų pirkimų direktyvų peržiūra.</w:t>
            </w:r>
          </w:p>
        </w:tc>
        <w:tc>
          <w:tcPr>
            <w:tcW w:w="2268" w:type="dxa"/>
            <w:tcBorders>
              <w:bottom w:val="single" w:sz="4" w:space="0" w:color="000000"/>
            </w:tcBorders>
            <w:tcMar>
              <w:top w:w="29" w:type="dxa"/>
              <w:left w:w="115" w:type="dxa"/>
              <w:bottom w:w="29" w:type="dxa"/>
              <w:right w:w="115" w:type="dxa"/>
            </w:tcMar>
          </w:tcPr>
          <w:p w14:paraId="1AA06A5C" w14:textId="20E16ECA" w:rsidR="00FD157B" w:rsidRPr="00036A7E" w:rsidRDefault="00B621D1" w:rsidP="007226E9">
            <w:pPr>
              <w:spacing w:after="0" w:line="240" w:lineRule="auto"/>
              <w:rPr>
                <w:rFonts w:ascii="Times New Roman" w:eastAsia="Times New Roman" w:hAnsi="Times New Roman"/>
              </w:rPr>
            </w:pPr>
            <w:hyperlink r:id="rId11" w:history="1">
              <w:proofErr w:type="spellStart"/>
              <w:r w:rsidRPr="00B621D1">
                <w:rPr>
                  <w:rStyle w:val="Hyperlink"/>
                  <w:rFonts w:ascii="Times New Roman" w:eastAsia="Times New Roman" w:hAnsi="Times New Roman"/>
                </w:rPr>
                <w:t>Amendments</w:t>
              </w:r>
              <w:proofErr w:type="spellEnd"/>
              <w:r w:rsidRPr="00B621D1">
                <w:rPr>
                  <w:rStyle w:val="Hyperlink"/>
                  <w:rFonts w:ascii="Times New Roman" w:eastAsia="Times New Roman" w:hAnsi="Times New Roman"/>
                </w:rPr>
                <w:t xml:space="preserve"> to </w:t>
              </w:r>
              <w:proofErr w:type="spellStart"/>
              <w:r w:rsidRPr="00B621D1">
                <w:rPr>
                  <w:rStyle w:val="Hyperlink"/>
                  <w:rFonts w:ascii="Times New Roman" w:eastAsia="Times New Roman" w:hAnsi="Times New Roman"/>
                </w:rPr>
                <w:t>the</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Public</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Procurement</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Act</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adopted</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by</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the</w:t>
              </w:r>
              <w:proofErr w:type="spellEnd"/>
              <w:r w:rsidRPr="00B621D1">
                <w:rPr>
                  <w:rStyle w:val="Hyperlink"/>
                  <w:rFonts w:ascii="Times New Roman" w:eastAsia="Times New Roman" w:hAnsi="Times New Roman"/>
                </w:rPr>
                <w:t xml:space="preserve"> </w:t>
              </w:r>
              <w:proofErr w:type="spellStart"/>
              <w:r w:rsidRPr="00B621D1">
                <w:rPr>
                  <w:rStyle w:val="Hyperlink"/>
                  <w:rFonts w:ascii="Times New Roman" w:eastAsia="Times New Roman" w:hAnsi="Times New Roman"/>
                </w:rPr>
                <w:t>Storting</w:t>
              </w:r>
              <w:proofErr w:type="spellEnd"/>
              <w:r w:rsidRPr="00B621D1">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112ADA29" w:rsidR="00F16AC8" w:rsidRPr="00F50348" w:rsidRDefault="003D4632" w:rsidP="00F16AC8">
            <w:pPr>
              <w:spacing w:after="0" w:line="240" w:lineRule="auto"/>
              <w:rPr>
                <w:rFonts w:ascii="Times New Roman" w:eastAsia="Times New Roman" w:hAnsi="Times New Roman"/>
              </w:rPr>
            </w:pPr>
            <w:r>
              <w:rPr>
                <w:rFonts w:ascii="Times New Roman" w:eastAsia="Times New Roman" w:hAnsi="Times New Roman"/>
              </w:rPr>
              <w:t>2026 02 10</w:t>
            </w:r>
          </w:p>
        </w:tc>
        <w:tc>
          <w:tcPr>
            <w:tcW w:w="5811" w:type="dxa"/>
            <w:tcMar>
              <w:top w:w="29" w:type="dxa"/>
              <w:left w:w="115" w:type="dxa"/>
              <w:bottom w:w="29" w:type="dxa"/>
              <w:right w:w="115" w:type="dxa"/>
            </w:tcMar>
          </w:tcPr>
          <w:p w14:paraId="5023AE9D" w14:textId="7FFD1111" w:rsidR="00F16AC8" w:rsidRPr="00F50348" w:rsidRDefault="003D4632" w:rsidP="00E91522">
            <w:pPr>
              <w:spacing w:after="0" w:line="240" w:lineRule="auto"/>
              <w:jc w:val="both"/>
              <w:rPr>
                <w:rFonts w:ascii="Times New Roman" w:eastAsia="Times New Roman" w:hAnsi="Times New Roman"/>
              </w:rPr>
            </w:pPr>
            <w:r w:rsidRPr="003D4632">
              <w:rPr>
                <w:rFonts w:ascii="Times New Roman" w:eastAsia="Times New Roman" w:hAnsi="Times New Roman"/>
              </w:rPr>
              <w:t xml:space="preserve">Norvegijos gynybos pramonė sparčiai plečiasi – ginklų eksportas į Europą šoktelėjo, o sektorius gali tapti viena didžiausių šalies pramonės šakų, kartu keldamas ir ekonominių galimybių, ir etinių klausimų, rašo </w:t>
            </w:r>
            <w:proofErr w:type="spellStart"/>
            <w:r w:rsidRPr="003D4632">
              <w:rPr>
                <w:rFonts w:ascii="Times New Roman" w:eastAsia="Times New Roman" w:hAnsi="Times New Roman"/>
              </w:rPr>
              <w:t>Aftenposten</w:t>
            </w:r>
            <w:proofErr w:type="spellEnd"/>
            <w:r w:rsidRPr="003D4632">
              <w:rPr>
                <w:rFonts w:ascii="Times New Roman" w:eastAsia="Times New Roman" w:hAnsi="Times New Roman"/>
              </w:rPr>
              <w:t>. Tarp perkamiausių gaminių – artilerijos sviediniai („</w:t>
            </w:r>
            <w:proofErr w:type="spellStart"/>
            <w:r w:rsidRPr="003D4632">
              <w:rPr>
                <w:rFonts w:ascii="Times New Roman" w:eastAsia="Times New Roman" w:hAnsi="Times New Roman"/>
              </w:rPr>
              <w:t>Nammo</w:t>
            </w:r>
            <w:proofErr w:type="spellEnd"/>
            <w:r w:rsidRPr="003D4632">
              <w:rPr>
                <w:rFonts w:ascii="Times New Roman" w:eastAsia="Times New Roman" w:hAnsi="Times New Roman"/>
              </w:rPr>
              <w:t>“), oro gynybos sistemos („</w:t>
            </w:r>
            <w:proofErr w:type="spellStart"/>
            <w:r w:rsidRPr="003D4632">
              <w:rPr>
                <w:rFonts w:ascii="Times New Roman" w:eastAsia="Times New Roman" w:hAnsi="Times New Roman"/>
              </w:rPr>
              <w:t>Kongsberg</w:t>
            </w:r>
            <w:proofErr w:type="spellEnd"/>
            <w:r w:rsidRPr="003D4632">
              <w:rPr>
                <w:rFonts w:ascii="Times New Roman" w:eastAsia="Times New Roman" w:hAnsi="Times New Roman"/>
              </w:rPr>
              <w:t xml:space="preserve"> Group“) ir šilkiniai apatiniai, sukurti apsaugai nuo sprogimų („NFM Group“). Remiantis Norvegijos gynybos ir saugumo pramonės asociacijos duomenimis, 2025 m. sektoriaus pajamos siekė apie 60 mlrd. </w:t>
            </w:r>
            <w:r w:rsidRPr="003D4632">
              <w:rPr>
                <w:rFonts w:ascii="Times New Roman" w:eastAsia="Times New Roman" w:hAnsi="Times New Roman"/>
              </w:rPr>
              <w:lastRenderedPageBreak/>
              <w:t>Norvegijos kronų – per vienerius metus jos išaugo 34 proc. Per artimiausius trejus–penkerius metus, konsultacijų bendrovės „</w:t>
            </w:r>
            <w:proofErr w:type="spellStart"/>
            <w:r w:rsidRPr="003D4632">
              <w:rPr>
                <w:rFonts w:ascii="Times New Roman" w:eastAsia="Times New Roman" w:hAnsi="Times New Roman"/>
              </w:rPr>
              <w:t>PwC</w:t>
            </w:r>
            <w:proofErr w:type="spellEnd"/>
            <w:r w:rsidRPr="003D4632">
              <w:rPr>
                <w:rFonts w:ascii="Times New Roman" w:eastAsia="Times New Roman" w:hAnsi="Times New Roman"/>
              </w:rPr>
              <w:t>“ vertinimu, ši pramonė galėtų tapti antra pagal dydį Norvegijoje, aplenkdama akvakultūrą, tačiau likdama už naftos ir dujų sektoriaus. Didžiausia Norvegijos gynybos bendrovė „</w:t>
            </w:r>
            <w:proofErr w:type="spellStart"/>
            <w:r w:rsidRPr="003D4632">
              <w:rPr>
                <w:rFonts w:ascii="Times New Roman" w:eastAsia="Times New Roman" w:hAnsi="Times New Roman"/>
              </w:rPr>
              <w:t>Kongsberg</w:t>
            </w:r>
            <w:proofErr w:type="spellEnd"/>
            <w:r w:rsidRPr="003D4632">
              <w:rPr>
                <w:rFonts w:ascii="Times New Roman" w:eastAsia="Times New Roman" w:hAnsi="Times New Roman"/>
              </w:rPr>
              <w:t xml:space="preserve">“ per pastaruosius kelis metus pasirašė reikšmingų sutarčių su Lenkija, Danija, Nyderlandais, Vokietija ir Ispanija. 2025 m. 3 </w:t>
            </w:r>
            <w:proofErr w:type="spellStart"/>
            <w:r w:rsidRPr="003D4632">
              <w:rPr>
                <w:rFonts w:ascii="Times New Roman" w:eastAsia="Times New Roman" w:hAnsi="Times New Roman"/>
              </w:rPr>
              <w:t>ketv</w:t>
            </w:r>
            <w:proofErr w:type="spellEnd"/>
            <w:r w:rsidRPr="003D4632">
              <w:rPr>
                <w:rFonts w:ascii="Times New Roman" w:eastAsia="Times New Roman" w:hAnsi="Times New Roman"/>
              </w:rPr>
              <w:t>. pabaigoje bendrovės užsakymų portfelis siekė 111 mlrd. NOK, palyginti su 45 mlrd. NOK 2023 m. pabaigoje.</w:t>
            </w:r>
          </w:p>
        </w:tc>
        <w:tc>
          <w:tcPr>
            <w:tcW w:w="2268" w:type="dxa"/>
            <w:tcMar>
              <w:top w:w="29" w:type="dxa"/>
              <w:left w:w="115" w:type="dxa"/>
              <w:bottom w:w="29" w:type="dxa"/>
              <w:right w:w="115" w:type="dxa"/>
            </w:tcMar>
          </w:tcPr>
          <w:p w14:paraId="03EEA052" w14:textId="135BADBF" w:rsidR="00F607A3" w:rsidRPr="00F50348" w:rsidRDefault="003D4632" w:rsidP="00F16AC8">
            <w:pPr>
              <w:spacing w:after="0" w:line="240" w:lineRule="auto"/>
              <w:rPr>
                <w:rFonts w:ascii="Times New Roman" w:eastAsia="Times New Roman" w:hAnsi="Times New Roman"/>
              </w:rPr>
            </w:pPr>
            <w:r w:rsidRPr="003D4632">
              <w:rPr>
                <w:rFonts w:ascii="Times New Roman" w:eastAsia="Times New Roman" w:hAnsi="Times New Roman"/>
                <w:lang w:val="en-GB"/>
              </w:rPr>
              <w:lastRenderedPageBreak/>
              <w:t>Aft pp14-15</w:t>
            </w:r>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6F115DB1" w:rsidR="00E951CD" w:rsidRDefault="001D2912" w:rsidP="00C41F26">
            <w:pPr>
              <w:spacing w:after="0" w:line="240" w:lineRule="auto"/>
              <w:rPr>
                <w:rFonts w:ascii="Times New Roman" w:eastAsia="Times New Roman" w:hAnsi="Times New Roman"/>
              </w:rPr>
            </w:pPr>
            <w:r>
              <w:rPr>
                <w:rFonts w:ascii="Times New Roman" w:eastAsia="Times New Roman" w:hAnsi="Times New Roman"/>
              </w:rPr>
              <w:t>2026 02 12</w:t>
            </w:r>
          </w:p>
        </w:tc>
        <w:tc>
          <w:tcPr>
            <w:tcW w:w="5811" w:type="dxa"/>
            <w:tcMar>
              <w:top w:w="29" w:type="dxa"/>
              <w:left w:w="115" w:type="dxa"/>
              <w:bottom w:w="29" w:type="dxa"/>
              <w:right w:w="115" w:type="dxa"/>
            </w:tcMar>
          </w:tcPr>
          <w:p w14:paraId="3CE6A65E" w14:textId="03204584" w:rsidR="00E951CD" w:rsidRPr="003669E7" w:rsidRDefault="001D2912" w:rsidP="001D2912">
            <w:pPr>
              <w:spacing w:after="0" w:line="240" w:lineRule="auto"/>
              <w:jc w:val="both"/>
              <w:rPr>
                <w:rFonts w:ascii="Times New Roman" w:eastAsia="Times New Roman" w:hAnsi="Times New Roman"/>
              </w:rPr>
            </w:pPr>
            <w:r w:rsidRPr="001D2912">
              <w:rPr>
                <w:rFonts w:ascii="Times New Roman" w:eastAsia="Times New Roman" w:hAnsi="Times New Roman"/>
              </w:rPr>
              <w:t>Norvegijos tarptautinių santykių instituto (NUPI) parengtoje ataskaitoje Vyriausybei teigiama, kad Norvegija yra itin priklausoma nuo ES kosmoso programų ir turi nedaug patikimų alternatyvų.</w:t>
            </w:r>
            <w:r>
              <w:rPr>
                <w:rFonts w:ascii="Times New Roman" w:eastAsia="Times New Roman" w:hAnsi="Times New Roman"/>
              </w:rPr>
              <w:t xml:space="preserve"> P</w:t>
            </w:r>
            <w:r w:rsidRPr="001D2912">
              <w:rPr>
                <w:rFonts w:ascii="Times New Roman" w:eastAsia="Times New Roman" w:hAnsi="Times New Roman"/>
              </w:rPr>
              <w:t>ažymima, kad ES kosmoso politika vis labiau integruoja saugumo ir gynybos elementus, iš dalies dėl didėjančio neapibrėžtumo dėl JAV vaidmens. Dėl to riba tarp civilinės ir karinės kosmoso veiklos tampa vis labiau neaiški, o tai apsunkina prieigą ne ES valstybėms, tokioms kaip Norvegija.</w:t>
            </w:r>
            <w:r>
              <w:rPr>
                <w:rFonts w:ascii="Times New Roman" w:eastAsia="Times New Roman" w:hAnsi="Times New Roman"/>
              </w:rPr>
              <w:t xml:space="preserve"> </w:t>
            </w:r>
            <w:r w:rsidRPr="001D2912">
              <w:rPr>
                <w:rFonts w:ascii="Times New Roman" w:eastAsia="Times New Roman" w:hAnsi="Times New Roman"/>
              </w:rPr>
              <w:t>NUPI įspėja, kad nedalyvavimo ES kosmoso programose rizika dabartinėje saugumo aplinkoje yra didelė. Nors po 2027 m. tęstinis dalyvavimas greičiausiai pareikalaus naujo atskiro susitarimo ir reikšmingų finansinių įsipareigojimų (mažiausiai 19 mlrd. NOK 2028–2034 m. laikotarpiu), aiški ataskaitos rekomendacija – Norvegijai išlikti programos dalyve.</w:t>
            </w:r>
          </w:p>
        </w:tc>
        <w:tc>
          <w:tcPr>
            <w:tcW w:w="2268" w:type="dxa"/>
            <w:tcMar>
              <w:top w:w="29" w:type="dxa"/>
              <w:left w:w="115" w:type="dxa"/>
              <w:bottom w:w="29" w:type="dxa"/>
              <w:right w:w="115" w:type="dxa"/>
            </w:tcMar>
          </w:tcPr>
          <w:p w14:paraId="77892EB3" w14:textId="43EBBB7E" w:rsidR="00E951CD" w:rsidRPr="00C63961" w:rsidRDefault="001D2912" w:rsidP="00C41F26">
            <w:pPr>
              <w:spacing w:after="0" w:line="240" w:lineRule="auto"/>
              <w:rPr>
                <w:rFonts w:ascii="Times New Roman" w:eastAsia="Times New Roman" w:hAnsi="Times New Roman"/>
              </w:rPr>
            </w:pPr>
            <w:r w:rsidRPr="001D2912">
              <w:rPr>
                <w:rFonts w:ascii="Times New Roman" w:eastAsia="Times New Roman" w:hAnsi="Times New Roman"/>
                <w:lang w:val="en-GB"/>
              </w:rPr>
              <w:t>Aft p4</w:t>
            </w:r>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20830119" w:rsidR="003669E7" w:rsidRDefault="00411919" w:rsidP="00C41F26">
            <w:pPr>
              <w:spacing w:after="0" w:line="240" w:lineRule="auto"/>
              <w:rPr>
                <w:rFonts w:ascii="Times New Roman" w:eastAsia="Times New Roman" w:hAnsi="Times New Roman"/>
              </w:rPr>
            </w:pPr>
            <w:r>
              <w:rPr>
                <w:rFonts w:ascii="Times New Roman" w:eastAsia="Times New Roman" w:hAnsi="Times New Roman"/>
              </w:rPr>
              <w:t>2026 02 14</w:t>
            </w:r>
          </w:p>
        </w:tc>
        <w:tc>
          <w:tcPr>
            <w:tcW w:w="5811" w:type="dxa"/>
            <w:tcMar>
              <w:top w:w="29" w:type="dxa"/>
              <w:left w:w="115" w:type="dxa"/>
              <w:bottom w:w="29" w:type="dxa"/>
              <w:right w:w="115" w:type="dxa"/>
            </w:tcMar>
          </w:tcPr>
          <w:p w14:paraId="1E1AE540" w14:textId="4EA50C87" w:rsidR="00136D1F" w:rsidRPr="00F11CC6" w:rsidRDefault="00411919" w:rsidP="006822B4">
            <w:pPr>
              <w:spacing w:after="0" w:line="240" w:lineRule="auto"/>
              <w:jc w:val="both"/>
              <w:rPr>
                <w:rFonts w:ascii="Times New Roman" w:eastAsia="Times New Roman" w:hAnsi="Times New Roman"/>
              </w:rPr>
            </w:pPr>
            <w:r w:rsidRPr="00A16496">
              <w:rPr>
                <w:rFonts w:ascii="Times New Roman" w:hAnsi="Times New Roman"/>
                <w:bCs/>
              </w:rPr>
              <w:t xml:space="preserve">Norvegijos gynybos ir technologijų bendrovė </w:t>
            </w:r>
            <w:proofErr w:type="spellStart"/>
            <w:r w:rsidRPr="00A16496">
              <w:rPr>
                <w:rFonts w:ascii="Times New Roman" w:hAnsi="Times New Roman"/>
                <w:bCs/>
              </w:rPr>
              <w:t>Nammo</w:t>
            </w:r>
            <w:proofErr w:type="spellEnd"/>
            <w:r w:rsidRPr="00A16496">
              <w:rPr>
                <w:rFonts w:ascii="Times New Roman" w:hAnsi="Times New Roman"/>
                <w:bCs/>
              </w:rPr>
              <w:t xml:space="preserve"> gavo finansavimą iš </w:t>
            </w:r>
            <w:r w:rsidR="00D0796F">
              <w:rPr>
                <w:rFonts w:ascii="Times New Roman" w:hAnsi="Times New Roman"/>
                <w:bCs/>
              </w:rPr>
              <w:t xml:space="preserve">Europos kosmoso agentūros (ESA) </w:t>
            </w:r>
            <w:r w:rsidRPr="00A16496">
              <w:rPr>
                <w:rFonts w:ascii="Times New Roman" w:hAnsi="Times New Roman"/>
                <w:bCs/>
              </w:rPr>
              <w:t>aplinkai draugiškesnio raketinio variklio kūrimui, kuris galėtų būti naudojamas Mėnulio ir Marso nusileidimo misijose. Variklis naudos kurą, iš dalies pagamintą iš Norvegijoje gaminamo bulvių spirito, sumaišyto su vandenilio peroksidu. Projektu siekiama sumažinti priklausomybę nuo toksiškų kuro medžiagų ir sustiprinti Europos savarankiškus kosminių nusileidimų pajėgumus. Vis dėlto pabrėžiama, kad technologinis projektas vis dar susiduria su reikšmingais techniniais iššūkiais.</w:t>
            </w:r>
          </w:p>
        </w:tc>
        <w:tc>
          <w:tcPr>
            <w:tcW w:w="2268" w:type="dxa"/>
            <w:tcMar>
              <w:top w:w="29" w:type="dxa"/>
              <w:left w:w="115" w:type="dxa"/>
              <w:bottom w:w="29" w:type="dxa"/>
              <w:right w:w="115" w:type="dxa"/>
            </w:tcMar>
          </w:tcPr>
          <w:p w14:paraId="08D997C1" w14:textId="1D22A5A7" w:rsidR="003669E7" w:rsidRPr="00F50348" w:rsidRDefault="00411919" w:rsidP="00C41F26">
            <w:pPr>
              <w:spacing w:after="0" w:line="240" w:lineRule="auto"/>
              <w:rPr>
                <w:rFonts w:ascii="Times New Roman" w:eastAsia="Times New Roman" w:hAnsi="Times New Roman"/>
              </w:rPr>
            </w:pPr>
            <w:hyperlink r:id="rId12" w:history="1">
              <w:proofErr w:type="spellStart"/>
              <w:r w:rsidRPr="00411919">
                <w:rPr>
                  <w:rStyle w:val="Hyperlink"/>
                  <w:rFonts w:ascii="Times New Roman" w:eastAsia="Times New Roman" w:hAnsi="Times New Roman"/>
                </w:rPr>
                <w:t>Slik</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skal</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Nammo</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bruke</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potetsprit</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fra</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Toten</w:t>
              </w:r>
              <w:proofErr w:type="spellEnd"/>
              <w:r w:rsidRPr="00411919">
                <w:rPr>
                  <w:rStyle w:val="Hyperlink"/>
                  <w:rFonts w:ascii="Times New Roman" w:eastAsia="Times New Roman" w:hAnsi="Times New Roman"/>
                </w:rPr>
                <w:t xml:space="preserve"> i </w:t>
              </w:r>
              <w:proofErr w:type="spellStart"/>
              <w:r w:rsidRPr="00411919">
                <w:rPr>
                  <w:rStyle w:val="Hyperlink"/>
                  <w:rFonts w:ascii="Times New Roman" w:eastAsia="Times New Roman" w:hAnsi="Times New Roman"/>
                </w:rPr>
                <w:t>romfarten</w:t>
              </w:r>
              <w:proofErr w:type="spellEnd"/>
              <w:r w:rsidRPr="00411919">
                <w:rPr>
                  <w:rStyle w:val="Hyperlink"/>
                  <w:rFonts w:ascii="Times New Roman" w:eastAsia="Times New Roman" w:hAnsi="Times New Roman"/>
                </w:rPr>
                <w:t xml:space="preserve"> – NRK </w:t>
              </w:r>
              <w:proofErr w:type="spellStart"/>
              <w:r w:rsidRPr="00411919">
                <w:rPr>
                  <w:rStyle w:val="Hyperlink"/>
                  <w:rFonts w:ascii="Times New Roman" w:eastAsia="Times New Roman" w:hAnsi="Times New Roman"/>
                </w:rPr>
                <w:t>Innlandet</w:t>
              </w:r>
              <w:proofErr w:type="spellEnd"/>
              <w:r w:rsidRPr="00411919">
                <w:rPr>
                  <w:rStyle w:val="Hyperlink"/>
                  <w:rFonts w:ascii="Times New Roman" w:eastAsia="Times New Roman" w:hAnsi="Times New Roman"/>
                </w:rPr>
                <w:t xml:space="preserve"> – </w:t>
              </w:r>
              <w:proofErr w:type="spellStart"/>
              <w:r w:rsidRPr="00411919">
                <w:rPr>
                  <w:rStyle w:val="Hyperlink"/>
                  <w:rFonts w:ascii="Times New Roman" w:eastAsia="Times New Roman" w:hAnsi="Times New Roman"/>
                </w:rPr>
                <w:t>Lokale</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nyheter</w:t>
              </w:r>
              <w:proofErr w:type="spellEnd"/>
              <w:r w:rsidRPr="00411919">
                <w:rPr>
                  <w:rStyle w:val="Hyperlink"/>
                  <w:rFonts w:ascii="Times New Roman" w:eastAsia="Times New Roman" w:hAnsi="Times New Roman"/>
                </w:rPr>
                <w:t xml:space="preserve">, TV </w:t>
              </w:r>
              <w:proofErr w:type="spellStart"/>
              <w:r w:rsidRPr="00411919">
                <w:rPr>
                  <w:rStyle w:val="Hyperlink"/>
                  <w:rFonts w:ascii="Times New Roman" w:eastAsia="Times New Roman" w:hAnsi="Times New Roman"/>
                </w:rPr>
                <w:t>og</w:t>
              </w:r>
              <w:proofErr w:type="spellEnd"/>
              <w:r w:rsidRPr="00411919">
                <w:rPr>
                  <w:rStyle w:val="Hyperlink"/>
                  <w:rFonts w:ascii="Times New Roman" w:eastAsia="Times New Roman" w:hAnsi="Times New Roman"/>
                </w:rPr>
                <w:t xml:space="preserve"> </w:t>
              </w:r>
              <w:proofErr w:type="spellStart"/>
              <w:r w:rsidRPr="00411919">
                <w:rPr>
                  <w:rStyle w:val="Hyperlink"/>
                  <w:rFonts w:ascii="Times New Roman" w:eastAsia="Times New Roman" w:hAnsi="Times New Roman"/>
                </w:rPr>
                <w:t>radio</w:t>
              </w:r>
              <w:proofErr w:type="spellEnd"/>
            </w:hyperlink>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E549AF" w:rsidRPr="00F50348" w14:paraId="5D94DF25" w14:textId="77777777" w:rsidTr="0033090E">
        <w:trPr>
          <w:gridAfter w:val="1"/>
          <w:wAfter w:w="11" w:type="dxa"/>
          <w:trHeight w:val="216"/>
        </w:trPr>
        <w:tc>
          <w:tcPr>
            <w:tcW w:w="1419" w:type="dxa"/>
            <w:tcMar>
              <w:top w:w="29" w:type="dxa"/>
              <w:left w:w="115" w:type="dxa"/>
              <w:bottom w:w="29" w:type="dxa"/>
              <w:right w:w="115" w:type="dxa"/>
            </w:tcMar>
          </w:tcPr>
          <w:p w14:paraId="05AE1182" w14:textId="32BD4C4E" w:rsidR="00E549AF" w:rsidRDefault="00EE792B" w:rsidP="00C41F26">
            <w:pPr>
              <w:spacing w:after="0" w:line="240" w:lineRule="auto"/>
              <w:rPr>
                <w:rFonts w:ascii="Times New Roman" w:eastAsia="Times New Roman" w:hAnsi="Times New Roman"/>
              </w:rPr>
            </w:pPr>
            <w:r>
              <w:rPr>
                <w:rFonts w:ascii="Times New Roman" w:eastAsia="Times New Roman" w:hAnsi="Times New Roman"/>
              </w:rPr>
              <w:t>2026 02 20</w:t>
            </w:r>
          </w:p>
        </w:tc>
        <w:tc>
          <w:tcPr>
            <w:tcW w:w="5811" w:type="dxa"/>
            <w:tcMar>
              <w:top w:w="29" w:type="dxa"/>
              <w:left w:w="115" w:type="dxa"/>
              <w:bottom w:w="29" w:type="dxa"/>
              <w:right w:w="115" w:type="dxa"/>
            </w:tcMar>
          </w:tcPr>
          <w:p w14:paraId="01E25C75" w14:textId="30B179D0" w:rsidR="00E549AF" w:rsidRPr="007A5EEB" w:rsidRDefault="00EE792B" w:rsidP="00084B87">
            <w:pPr>
              <w:spacing w:after="0" w:line="240" w:lineRule="auto"/>
              <w:jc w:val="both"/>
              <w:rPr>
                <w:rFonts w:ascii="Times New Roman" w:eastAsia="Times New Roman" w:hAnsi="Times New Roman"/>
              </w:rPr>
            </w:pPr>
            <w:r w:rsidRPr="00535664">
              <w:rPr>
                <w:rFonts w:ascii="Times New Roman" w:hAnsi="Times New Roman"/>
                <w:bCs/>
              </w:rPr>
              <w:t>Europos Sąjunga atvėrė kelią Norvegijai dalyvauti saugaus palydovinio ryšio iniciatyvoje, kurios tikslas</w:t>
            </w:r>
            <w:r>
              <w:rPr>
                <w:rFonts w:ascii="Times New Roman" w:hAnsi="Times New Roman"/>
                <w:bCs/>
              </w:rPr>
              <w:t xml:space="preserve"> </w:t>
            </w:r>
            <w:r w:rsidRPr="00535664">
              <w:rPr>
                <w:rFonts w:ascii="Times New Roman" w:hAnsi="Times New Roman"/>
                <w:bCs/>
              </w:rPr>
              <w:t xml:space="preserve">sustiprinti Europos kontrolę kritinės komunikacijų infrastruktūros srityje ir sumažinti priklausomybę nuo JAV bei privačių tiekėjų. Norvegijos prekybos ir pramonės ministrė Cecilie </w:t>
            </w:r>
            <w:proofErr w:type="spellStart"/>
            <w:r w:rsidRPr="00535664">
              <w:rPr>
                <w:rFonts w:ascii="Times New Roman" w:hAnsi="Times New Roman"/>
                <w:bCs/>
              </w:rPr>
              <w:t>Myrseth</w:t>
            </w:r>
            <w:proofErr w:type="spellEnd"/>
            <w:r w:rsidRPr="00535664">
              <w:rPr>
                <w:rFonts w:ascii="Times New Roman" w:hAnsi="Times New Roman"/>
                <w:bCs/>
              </w:rPr>
              <w:t xml:space="preserve"> pabrėžė, kad šis susitarimas yra itin svarbus, nes kosmoso politika vis labiau siejama ne tik su verslu, bet ir su saugumu bei pasirengimu krizėms. Ji taip pat pažymėjo, kad Norvegija jau yra integruotos Europos kosmoso ekosistemos dalis, apimančios visą vertės grandinę nuo technologijų kūrimo iki praktinio taikymo.</w:t>
            </w:r>
          </w:p>
        </w:tc>
        <w:tc>
          <w:tcPr>
            <w:tcW w:w="2268" w:type="dxa"/>
            <w:tcMar>
              <w:top w:w="29" w:type="dxa"/>
              <w:left w:w="115" w:type="dxa"/>
              <w:bottom w:w="29" w:type="dxa"/>
              <w:right w:w="115" w:type="dxa"/>
            </w:tcMar>
          </w:tcPr>
          <w:p w14:paraId="640198C4" w14:textId="640CA67C" w:rsidR="00E549AF" w:rsidRPr="003053BB" w:rsidRDefault="00EE792B" w:rsidP="00C41F26">
            <w:pPr>
              <w:spacing w:after="0" w:line="240" w:lineRule="auto"/>
            </w:pPr>
            <w:r w:rsidRPr="00EE792B">
              <w:rPr>
                <w:lang w:val="en-GB"/>
              </w:rPr>
              <w:t>Aft pp18-19</w:t>
            </w:r>
          </w:p>
        </w:tc>
        <w:tc>
          <w:tcPr>
            <w:tcW w:w="1436" w:type="dxa"/>
            <w:tcMar>
              <w:top w:w="29" w:type="dxa"/>
              <w:left w:w="115" w:type="dxa"/>
              <w:bottom w:w="29" w:type="dxa"/>
              <w:right w:w="115" w:type="dxa"/>
            </w:tcMar>
          </w:tcPr>
          <w:p w14:paraId="2C4E941D" w14:textId="77777777" w:rsidR="00E549AF" w:rsidRPr="00F50348" w:rsidRDefault="00E549AF" w:rsidP="00C41F26">
            <w:pPr>
              <w:spacing w:after="0" w:line="240" w:lineRule="auto"/>
              <w:rPr>
                <w:rFonts w:ascii="Times New Roman" w:hAnsi="Times New Roman"/>
              </w:rPr>
            </w:pPr>
          </w:p>
        </w:tc>
      </w:tr>
      <w:tr w:rsidR="00C41F26" w:rsidRPr="00F50348" w14:paraId="373B48DF"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23600F65" w14:textId="3C3174A6"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Lietuvos turizmo sektoriui aktuali informacija</w:t>
            </w:r>
          </w:p>
        </w:tc>
      </w:tr>
      <w:tr w:rsidR="00C41F26" w:rsidRPr="00F50348" w14:paraId="185B3826" w14:textId="77777777" w:rsidTr="0033090E">
        <w:trPr>
          <w:gridAfter w:val="1"/>
          <w:wAfter w:w="11" w:type="dxa"/>
          <w:trHeight w:val="216"/>
        </w:trPr>
        <w:tc>
          <w:tcPr>
            <w:tcW w:w="1419" w:type="dxa"/>
            <w:tcMar>
              <w:top w:w="29" w:type="dxa"/>
              <w:left w:w="115" w:type="dxa"/>
              <w:bottom w:w="29" w:type="dxa"/>
              <w:right w:w="115" w:type="dxa"/>
            </w:tcMar>
          </w:tcPr>
          <w:p w14:paraId="4566353A" w14:textId="0096A1A0" w:rsidR="00C41F26" w:rsidRPr="00F50348" w:rsidRDefault="002F1DA3" w:rsidP="00C41F26">
            <w:pPr>
              <w:spacing w:after="0" w:line="240" w:lineRule="auto"/>
              <w:rPr>
                <w:rFonts w:ascii="Times New Roman" w:eastAsia="Times New Roman" w:hAnsi="Times New Roman"/>
              </w:rPr>
            </w:pPr>
            <w:r>
              <w:rPr>
                <w:rFonts w:ascii="Times New Roman" w:eastAsia="Times New Roman" w:hAnsi="Times New Roman"/>
              </w:rPr>
              <w:t>2026 02 25</w:t>
            </w:r>
          </w:p>
        </w:tc>
        <w:tc>
          <w:tcPr>
            <w:tcW w:w="5811" w:type="dxa"/>
            <w:tcMar>
              <w:top w:w="29" w:type="dxa"/>
              <w:left w:w="115" w:type="dxa"/>
              <w:bottom w:w="29" w:type="dxa"/>
              <w:right w:w="115" w:type="dxa"/>
            </w:tcMar>
          </w:tcPr>
          <w:p w14:paraId="10AAD73D" w14:textId="624B7233" w:rsidR="002F1DA3" w:rsidRPr="002F1DA3" w:rsidRDefault="002F1DA3" w:rsidP="002F1DA3">
            <w:pPr>
              <w:spacing w:after="0" w:line="240" w:lineRule="auto"/>
              <w:jc w:val="both"/>
              <w:rPr>
                <w:rFonts w:ascii="Times New Roman" w:eastAsia="Times New Roman" w:hAnsi="Times New Roman"/>
                <w:lang w:val="en-US"/>
              </w:rPr>
            </w:pPr>
            <w:proofErr w:type="spellStart"/>
            <w:r w:rsidRPr="002F1DA3">
              <w:rPr>
                <w:rFonts w:ascii="Times New Roman" w:eastAsia="Times New Roman" w:hAnsi="Times New Roman"/>
                <w:lang w:val="en-US"/>
              </w:rPr>
              <w:t>Norvegai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ir</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toliau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teikia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pirmenybę</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kelionėms</w:t>
            </w:r>
            <w:proofErr w:type="spellEnd"/>
            <w:r w:rsidRPr="002F1DA3">
              <w:rPr>
                <w:rFonts w:ascii="Times New Roman" w:eastAsia="Times New Roman" w:hAnsi="Times New Roman"/>
                <w:lang w:val="en-US"/>
              </w:rPr>
              <w:t xml:space="preserve"> – tai </w:t>
            </w:r>
            <w:proofErr w:type="spellStart"/>
            <w:r w:rsidRPr="002F1DA3">
              <w:rPr>
                <w:rFonts w:ascii="Times New Roman" w:eastAsia="Times New Roman" w:hAnsi="Times New Roman"/>
                <w:lang w:val="en-US"/>
              </w:rPr>
              <w:t>rodo</w:t>
            </w:r>
            <w:proofErr w:type="spellEnd"/>
            <w:r w:rsidRPr="002F1DA3">
              <w:rPr>
                <w:rFonts w:ascii="Times New Roman" w:eastAsia="Times New Roman" w:hAnsi="Times New Roman"/>
                <w:lang w:val="en-US"/>
              </w:rPr>
              <w:t xml:space="preserve"> FINN Reise 2026 m. </w:t>
            </w:r>
            <w:proofErr w:type="spellStart"/>
            <w:r w:rsidRPr="002F1DA3">
              <w:rPr>
                <w:rFonts w:ascii="Times New Roman" w:eastAsia="Times New Roman" w:hAnsi="Times New Roman"/>
                <w:lang w:val="en-US"/>
              </w:rPr>
              <w:t>kelionių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apklausa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atlikta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bendrovės</w:t>
            </w:r>
            <w:proofErr w:type="spellEnd"/>
            <w:r w:rsidRPr="002F1DA3">
              <w:rPr>
                <w:rFonts w:ascii="Times New Roman" w:eastAsia="Times New Roman" w:hAnsi="Times New Roman"/>
                <w:lang w:val="en-US"/>
              </w:rPr>
              <w:t xml:space="preserve"> Opinion. </w:t>
            </w:r>
            <w:proofErr w:type="spellStart"/>
            <w:r w:rsidRPr="002F1DA3">
              <w:rPr>
                <w:rFonts w:ascii="Times New Roman" w:eastAsia="Times New Roman" w:hAnsi="Times New Roman"/>
                <w:lang w:val="en-US"/>
              </w:rPr>
              <w:t>Nepaisant</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augančių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pragyvenimo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išlaidų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ir</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geopolitinio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nestabilumo</w:t>
            </w:r>
            <w:proofErr w:type="spellEnd"/>
            <w:r w:rsidRPr="002F1DA3">
              <w:rPr>
                <w:rFonts w:ascii="Times New Roman" w:eastAsia="Times New Roman" w:hAnsi="Times New Roman"/>
                <w:lang w:val="en-US"/>
              </w:rPr>
              <w:t xml:space="preserve">, 70 proc. </w:t>
            </w:r>
            <w:proofErr w:type="spellStart"/>
            <w:r w:rsidRPr="002F1DA3">
              <w:rPr>
                <w:rFonts w:ascii="Times New Roman" w:eastAsia="Times New Roman" w:hAnsi="Times New Roman"/>
                <w:lang w:val="en-US"/>
              </w:rPr>
              <w:t>gyventojų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planuoja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vasaros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atostogas</w:t>
            </w:r>
            <w:proofErr w:type="spellEnd"/>
            <w:r w:rsidRPr="002F1DA3">
              <w:rPr>
                <w:rFonts w:ascii="Times New Roman" w:eastAsia="Times New Roman" w:hAnsi="Times New Roman"/>
                <w:lang w:val="en-US"/>
              </w:rPr>
              <w:t xml:space="preserve">, o </w:t>
            </w:r>
            <w:proofErr w:type="spellStart"/>
            <w:r w:rsidRPr="002F1DA3">
              <w:rPr>
                <w:rFonts w:ascii="Times New Roman" w:eastAsia="Times New Roman" w:hAnsi="Times New Roman"/>
                <w:lang w:val="en-US"/>
              </w:rPr>
              <w:t>vidutiniškai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namų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ūkiai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ketina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išleisti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apie</w:t>
            </w:r>
            <w:proofErr w:type="spellEnd"/>
            <w:r w:rsidRPr="002F1DA3">
              <w:rPr>
                <w:rFonts w:ascii="Times New Roman" w:eastAsia="Times New Roman" w:hAnsi="Times New Roman"/>
                <w:lang w:val="en-US"/>
              </w:rPr>
              <w:t xml:space="preserve"> 43 000 NOK. 31 proc. </w:t>
            </w:r>
            <w:proofErr w:type="spellStart"/>
            <w:r w:rsidRPr="002F1DA3">
              <w:rPr>
                <w:rFonts w:ascii="Times New Roman" w:eastAsia="Times New Roman" w:hAnsi="Times New Roman"/>
                <w:lang w:val="en-US"/>
              </w:rPr>
              <w:t>respondentų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planuoja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atostogoms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skirti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daugiau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lėšų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nei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pernai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ir</w:t>
            </w:r>
            <w:proofErr w:type="spellEnd"/>
            <w:r w:rsidRPr="002F1DA3">
              <w:rPr>
                <w:rFonts w:ascii="Times New Roman" w:eastAsia="Times New Roman" w:hAnsi="Times New Roman"/>
                <w:lang w:val="en-US"/>
              </w:rPr>
              <w:t xml:space="preserve"> tik 13 proc. – </w:t>
            </w:r>
            <w:proofErr w:type="spellStart"/>
            <w:r w:rsidRPr="002F1DA3">
              <w:rPr>
                <w:rFonts w:ascii="Times New Roman" w:eastAsia="Times New Roman" w:hAnsi="Times New Roman"/>
                <w:lang w:val="en-US"/>
              </w:rPr>
              <w:t>mažiau</w:t>
            </w:r>
            <w:proofErr w:type="spellEnd"/>
            <w:r w:rsidRPr="002F1DA3">
              <w:rPr>
                <w:rFonts w:ascii="Times New Roman" w:eastAsia="Times New Roman" w:hAnsi="Times New Roman"/>
                <w:lang w:val="en-US"/>
              </w:rPr>
              <w:t xml:space="preserve">. Tai </w:t>
            </w:r>
            <w:proofErr w:type="spellStart"/>
            <w:r w:rsidRPr="002F1DA3">
              <w:rPr>
                <w:rFonts w:ascii="Times New Roman" w:eastAsia="Times New Roman" w:hAnsi="Times New Roman"/>
                <w:lang w:val="en-US"/>
              </w:rPr>
              <w:t>rodo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vadinamąjį</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atostogų</w:t>
            </w:r>
            <w:proofErr w:type="spellEnd"/>
            <w:r w:rsidRPr="002F1DA3">
              <w:rPr>
                <w:rFonts w:ascii="Times New Roman" w:eastAsia="Times New Roman" w:hAnsi="Times New Roman"/>
                <w:lang w:val="en-US"/>
              </w:rPr>
              <w:t xml:space="preserve"> </w:t>
            </w:r>
            <w:proofErr w:type="spellStart"/>
            <w:proofErr w:type="gramStart"/>
            <w:r w:rsidRPr="002F1DA3">
              <w:rPr>
                <w:rFonts w:ascii="Times New Roman" w:eastAsia="Times New Roman" w:hAnsi="Times New Roman"/>
                <w:lang w:val="en-US"/>
              </w:rPr>
              <w:t>užsispyrimą</w:t>
            </w:r>
            <w:proofErr w:type="spellEnd"/>
            <w:r w:rsidRPr="002F1DA3">
              <w:rPr>
                <w:rFonts w:ascii="Times New Roman" w:eastAsia="Times New Roman" w:hAnsi="Times New Roman"/>
                <w:lang w:val="en-US"/>
              </w:rPr>
              <w:t>“ –</w:t>
            </w:r>
            <w:proofErr w:type="gram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norvegai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linkę</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taupyti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kitose</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srityse</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kad</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galėtų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išvykti</w:t>
            </w:r>
            <w:proofErr w:type="spellEnd"/>
            <w:r w:rsidRPr="002F1DA3">
              <w:rPr>
                <w:rFonts w:ascii="Times New Roman" w:eastAsia="Times New Roman" w:hAnsi="Times New Roman"/>
                <w:lang w:val="en-US"/>
              </w:rPr>
              <w:t xml:space="preserve"> į </w:t>
            </w:r>
            <w:proofErr w:type="spellStart"/>
            <w:r w:rsidRPr="002F1DA3">
              <w:rPr>
                <w:rFonts w:ascii="Times New Roman" w:eastAsia="Times New Roman" w:hAnsi="Times New Roman"/>
                <w:lang w:val="en-US"/>
              </w:rPr>
              <w:t>kelionę</w:t>
            </w:r>
            <w:proofErr w:type="spellEnd"/>
            <w:r w:rsidRPr="002F1DA3">
              <w:rPr>
                <w:rFonts w:ascii="Times New Roman" w:eastAsia="Times New Roman" w:hAnsi="Times New Roman"/>
                <w:lang w:val="en-US"/>
              </w:rPr>
              <w:t>.</w:t>
            </w:r>
            <w:r>
              <w:rPr>
                <w:rFonts w:ascii="Times New Roman" w:eastAsia="Times New Roman" w:hAnsi="Times New Roman"/>
                <w:lang w:val="en-US"/>
              </w:rPr>
              <w:t xml:space="preserve"> </w:t>
            </w:r>
            <w:r w:rsidRPr="002F1DA3">
              <w:rPr>
                <w:rFonts w:ascii="Times New Roman" w:eastAsia="Times New Roman" w:hAnsi="Times New Roman"/>
                <w:lang w:val="en-US"/>
              </w:rPr>
              <w:t xml:space="preserve">Kaina </w:t>
            </w:r>
            <w:proofErr w:type="spellStart"/>
            <w:r w:rsidRPr="002F1DA3">
              <w:rPr>
                <w:rFonts w:ascii="Times New Roman" w:eastAsia="Times New Roman" w:hAnsi="Times New Roman"/>
                <w:lang w:val="en-US"/>
              </w:rPr>
              <w:t>tapo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svarbiausiu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veiksniu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planuojant</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lastRenderedPageBreak/>
              <w:t>atostogas</w:t>
            </w:r>
            <w:proofErr w:type="spellEnd"/>
            <w:r w:rsidRPr="002F1DA3">
              <w:rPr>
                <w:rFonts w:ascii="Times New Roman" w:eastAsia="Times New Roman" w:hAnsi="Times New Roman"/>
                <w:lang w:val="en-US"/>
              </w:rPr>
              <w:t xml:space="preserve">. 41 proc. </w:t>
            </w:r>
            <w:proofErr w:type="spellStart"/>
            <w:r w:rsidRPr="002F1DA3">
              <w:rPr>
                <w:rFonts w:ascii="Times New Roman" w:eastAsia="Times New Roman" w:hAnsi="Times New Roman"/>
                <w:lang w:val="en-US"/>
              </w:rPr>
              <w:t>respondentų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pirmiausia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atsižvelgia</w:t>
            </w:r>
            <w:proofErr w:type="spellEnd"/>
            <w:r w:rsidRPr="002F1DA3">
              <w:rPr>
                <w:rFonts w:ascii="Times New Roman" w:eastAsia="Times New Roman" w:hAnsi="Times New Roman"/>
                <w:lang w:val="en-US"/>
              </w:rPr>
              <w:t xml:space="preserve"> į </w:t>
            </w:r>
            <w:proofErr w:type="spellStart"/>
            <w:r w:rsidRPr="002F1DA3">
              <w:rPr>
                <w:rFonts w:ascii="Times New Roman" w:eastAsia="Times New Roman" w:hAnsi="Times New Roman"/>
                <w:lang w:val="en-US"/>
              </w:rPr>
              <w:t>kainą</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rinkdamiesi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kryptį</w:t>
            </w:r>
            <w:proofErr w:type="spellEnd"/>
            <w:r w:rsidRPr="002F1DA3">
              <w:rPr>
                <w:rFonts w:ascii="Times New Roman" w:eastAsia="Times New Roman" w:hAnsi="Times New Roman"/>
                <w:lang w:val="en-US"/>
              </w:rPr>
              <w:t xml:space="preserve">, o </w:t>
            </w:r>
            <w:proofErr w:type="spellStart"/>
            <w:r w:rsidRPr="002F1DA3">
              <w:rPr>
                <w:rFonts w:ascii="Times New Roman" w:eastAsia="Times New Roman" w:hAnsi="Times New Roman"/>
                <w:lang w:val="en-US"/>
              </w:rPr>
              <w:t>beveik</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pusei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svarbiausia</w:t>
            </w:r>
            <w:proofErr w:type="spellEnd"/>
            <w:r w:rsidRPr="002F1DA3">
              <w:rPr>
                <w:rFonts w:ascii="Times New Roman" w:eastAsia="Times New Roman" w:hAnsi="Times New Roman"/>
                <w:lang w:val="en-US"/>
              </w:rPr>
              <w:t xml:space="preserve"> – </w:t>
            </w:r>
            <w:proofErr w:type="spellStart"/>
            <w:r w:rsidRPr="002F1DA3">
              <w:rPr>
                <w:rFonts w:ascii="Times New Roman" w:eastAsia="Times New Roman" w:hAnsi="Times New Roman"/>
                <w:lang w:val="en-US"/>
              </w:rPr>
              <w:t>kuo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pigesnis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transportas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Technologijos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taip</w:t>
            </w:r>
            <w:proofErr w:type="spellEnd"/>
            <w:r w:rsidRPr="002F1DA3">
              <w:rPr>
                <w:rFonts w:ascii="Times New Roman" w:eastAsia="Times New Roman" w:hAnsi="Times New Roman"/>
                <w:lang w:val="en-US"/>
              </w:rPr>
              <w:t xml:space="preserve"> pat </w:t>
            </w:r>
            <w:proofErr w:type="spellStart"/>
            <w:r w:rsidRPr="002F1DA3">
              <w:rPr>
                <w:rFonts w:ascii="Times New Roman" w:eastAsia="Times New Roman" w:hAnsi="Times New Roman"/>
                <w:lang w:val="en-US"/>
              </w:rPr>
              <w:t>keičia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įpročius</w:t>
            </w:r>
            <w:proofErr w:type="spellEnd"/>
            <w:r w:rsidRPr="002F1DA3">
              <w:rPr>
                <w:rFonts w:ascii="Times New Roman" w:eastAsia="Times New Roman" w:hAnsi="Times New Roman"/>
                <w:lang w:val="en-US"/>
              </w:rPr>
              <w:t xml:space="preserve"> – kas </w:t>
            </w:r>
            <w:proofErr w:type="spellStart"/>
            <w:r w:rsidRPr="002F1DA3">
              <w:rPr>
                <w:rFonts w:ascii="Times New Roman" w:eastAsia="Times New Roman" w:hAnsi="Times New Roman"/>
                <w:lang w:val="en-US"/>
              </w:rPr>
              <w:t>penktas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norvegas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atostogų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planavimui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naudoja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dirbtinio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intelekto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įrankius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tokius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kaip</w:t>
            </w:r>
            <w:proofErr w:type="spellEnd"/>
            <w:r w:rsidRPr="002F1DA3">
              <w:rPr>
                <w:rFonts w:ascii="Times New Roman" w:eastAsia="Times New Roman" w:hAnsi="Times New Roman"/>
                <w:lang w:val="en-US"/>
              </w:rPr>
              <w:t xml:space="preserve"> ChatGPT. Vis </w:t>
            </w:r>
            <w:proofErr w:type="spellStart"/>
            <w:r w:rsidRPr="002F1DA3">
              <w:rPr>
                <w:rFonts w:ascii="Times New Roman" w:eastAsia="Times New Roman" w:hAnsi="Times New Roman"/>
                <w:lang w:val="en-US"/>
              </w:rPr>
              <w:t>dėlto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rekomendacijos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iš</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draugų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ir</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šeimos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išlieka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svarbiausiu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informacijos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šaltiniu</w:t>
            </w:r>
            <w:proofErr w:type="spellEnd"/>
            <w:r w:rsidRPr="002F1DA3">
              <w:rPr>
                <w:rFonts w:ascii="Times New Roman" w:eastAsia="Times New Roman" w:hAnsi="Times New Roman"/>
                <w:lang w:val="en-US"/>
              </w:rPr>
              <w:t xml:space="preserve"> (52 proc.).</w:t>
            </w:r>
            <w:r>
              <w:rPr>
                <w:rFonts w:ascii="Times New Roman" w:eastAsia="Times New Roman" w:hAnsi="Times New Roman"/>
                <w:lang w:val="en-US"/>
              </w:rPr>
              <w:t xml:space="preserve"> </w:t>
            </w:r>
            <w:r w:rsidRPr="002F1DA3">
              <w:rPr>
                <w:rFonts w:ascii="Times New Roman" w:eastAsia="Times New Roman" w:hAnsi="Times New Roman"/>
                <w:lang w:val="en-US"/>
              </w:rPr>
              <w:t xml:space="preserve">FINN </w:t>
            </w:r>
            <w:proofErr w:type="spellStart"/>
            <w:r w:rsidRPr="002F1DA3">
              <w:rPr>
                <w:rFonts w:ascii="Times New Roman" w:eastAsia="Times New Roman" w:hAnsi="Times New Roman"/>
                <w:lang w:val="en-US"/>
              </w:rPr>
              <w:t>duomenimis</w:t>
            </w:r>
            <w:proofErr w:type="spellEnd"/>
            <w:r w:rsidRPr="002F1DA3">
              <w:rPr>
                <w:rFonts w:ascii="Times New Roman" w:eastAsia="Times New Roman" w:hAnsi="Times New Roman"/>
                <w:lang w:val="en-US"/>
              </w:rPr>
              <w:t xml:space="preserve">, per </w:t>
            </w:r>
            <w:proofErr w:type="spellStart"/>
            <w:r w:rsidRPr="002F1DA3">
              <w:rPr>
                <w:rFonts w:ascii="Times New Roman" w:eastAsia="Times New Roman" w:hAnsi="Times New Roman"/>
                <w:lang w:val="en-US"/>
              </w:rPr>
              <w:t>platformą</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kasmet</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atliekama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daugiau</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nei</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pusė</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milijono</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užsakymų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Bendrovė</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pabrėžia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kad</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vietinis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patikimumas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ir</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partnerių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kokybės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užtikrinimas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suteikia</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konkurencinį</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pranašumą</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pasaulinių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rinkos</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dalyvių</w:t>
            </w:r>
            <w:proofErr w:type="spellEnd"/>
            <w:r w:rsidRPr="002F1DA3">
              <w:rPr>
                <w:rFonts w:ascii="Times New Roman" w:eastAsia="Times New Roman" w:hAnsi="Times New Roman"/>
                <w:lang w:val="en-US"/>
              </w:rPr>
              <w:t xml:space="preserve"> </w:t>
            </w:r>
            <w:proofErr w:type="spellStart"/>
            <w:r w:rsidRPr="002F1DA3">
              <w:rPr>
                <w:rFonts w:ascii="Times New Roman" w:eastAsia="Times New Roman" w:hAnsi="Times New Roman"/>
                <w:lang w:val="en-US"/>
              </w:rPr>
              <w:t>aplinkoje</w:t>
            </w:r>
            <w:proofErr w:type="spellEnd"/>
            <w:r w:rsidRPr="002F1DA3">
              <w:rPr>
                <w:rFonts w:ascii="Times New Roman" w:eastAsia="Times New Roman" w:hAnsi="Times New Roman"/>
                <w:lang w:val="en-US"/>
              </w:rPr>
              <w:t>.</w:t>
            </w:r>
          </w:p>
          <w:p w14:paraId="7D14CF47" w14:textId="676047E4" w:rsidR="00C41F26" w:rsidRPr="00F50348" w:rsidRDefault="00C41F26" w:rsidP="006B5BCB">
            <w:pPr>
              <w:spacing w:after="0" w:line="240" w:lineRule="auto"/>
              <w:jc w:val="both"/>
              <w:rPr>
                <w:rFonts w:ascii="Times New Roman" w:eastAsia="Times New Roman" w:hAnsi="Times New Roman"/>
              </w:rPr>
            </w:pPr>
          </w:p>
        </w:tc>
        <w:tc>
          <w:tcPr>
            <w:tcW w:w="2268" w:type="dxa"/>
            <w:tcMar>
              <w:top w:w="29" w:type="dxa"/>
              <w:left w:w="115" w:type="dxa"/>
              <w:bottom w:w="29" w:type="dxa"/>
              <w:right w:w="115" w:type="dxa"/>
            </w:tcMar>
          </w:tcPr>
          <w:p w14:paraId="2260D580" w14:textId="26281546" w:rsidR="00C41F26" w:rsidRPr="00F50348" w:rsidRDefault="002F1DA3" w:rsidP="00C41F26">
            <w:pPr>
              <w:spacing w:after="0" w:line="240" w:lineRule="auto"/>
              <w:rPr>
                <w:rFonts w:ascii="Times New Roman" w:eastAsia="Times New Roman" w:hAnsi="Times New Roman"/>
              </w:rPr>
            </w:pPr>
            <w:hyperlink r:id="rId13" w:history="1">
              <w:proofErr w:type="spellStart"/>
              <w:r w:rsidRPr="002F1DA3">
                <w:rPr>
                  <w:rStyle w:val="Hyperlink"/>
                  <w:rFonts w:ascii="Times New Roman" w:eastAsia="Times New Roman" w:hAnsi="Times New Roman"/>
                </w:rPr>
                <w:t>Norwegians</w:t>
              </w:r>
              <w:proofErr w:type="spellEnd"/>
              <w:r w:rsidRPr="002F1DA3">
                <w:rPr>
                  <w:rStyle w:val="Hyperlink"/>
                  <w:rFonts w:ascii="Times New Roman" w:eastAsia="Times New Roman" w:hAnsi="Times New Roman"/>
                </w:rPr>
                <w:t xml:space="preserve"> </w:t>
              </w:r>
              <w:proofErr w:type="spellStart"/>
              <w:r w:rsidRPr="002F1DA3">
                <w:rPr>
                  <w:rStyle w:val="Hyperlink"/>
                  <w:rFonts w:ascii="Times New Roman" w:eastAsia="Times New Roman" w:hAnsi="Times New Roman"/>
                </w:rPr>
                <w:t>continue</w:t>
              </w:r>
              <w:proofErr w:type="spellEnd"/>
              <w:r w:rsidRPr="002F1DA3">
                <w:rPr>
                  <w:rStyle w:val="Hyperlink"/>
                  <w:rFonts w:ascii="Times New Roman" w:eastAsia="Times New Roman" w:hAnsi="Times New Roman"/>
                </w:rPr>
                <w:t xml:space="preserve"> to </w:t>
              </w:r>
              <w:proofErr w:type="spellStart"/>
              <w:r w:rsidRPr="002F1DA3">
                <w:rPr>
                  <w:rStyle w:val="Hyperlink"/>
                  <w:rFonts w:ascii="Times New Roman" w:eastAsia="Times New Roman" w:hAnsi="Times New Roman"/>
                </w:rPr>
                <w:t>prioritize</w:t>
              </w:r>
              <w:proofErr w:type="spellEnd"/>
              <w:r w:rsidRPr="002F1DA3">
                <w:rPr>
                  <w:rStyle w:val="Hyperlink"/>
                  <w:rFonts w:ascii="Times New Roman" w:eastAsia="Times New Roman" w:hAnsi="Times New Roman"/>
                </w:rPr>
                <w:t xml:space="preserve"> </w:t>
              </w:r>
              <w:proofErr w:type="spellStart"/>
              <w:r w:rsidRPr="002F1DA3">
                <w:rPr>
                  <w:rStyle w:val="Hyperlink"/>
                  <w:rFonts w:ascii="Times New Roman" w:eastAsia="Times New Roman" w:hAnsi="Times New Roman"/>
                </w:rPr>
                <w:t>travel</w:t>
              </w:r>
              <w:proofErr w:type="spellEnd"/>
              <w:r w:rsidRPr="002F1DA3">
                <w:rPr>
                  <w:rStyle w:val="Hyperlink"/>
                  <w:rFonts w:ascii="Times New Roman" w:eastAsia="Times New Roman" w:hAnsi="Times New Roman"/>
                </w:rPr>
                <w:t xml:space="preserve"> </w:t>
              </w:r>
              <w:proofErr w:type="spellStart"/>
              <w:r w:rsidRPr="002F1DA3">
                <w:rPr>
                  <w:rStyle w:val="Hyperlink"/>
                  <w:rFonts w:ascii="Times New Roman" w:eastAsia="Times New Roman" w:hAnsi="Times New Roman"/>
                </w:rPr>
                <w:t>according</w:t>
              </w:r>
              <w:proofErr w:type="spellEnd"/>
              <w:r w:rsidRPr="002F1DA3">
                <w:rPr>
                  <w:rStyle w:val="Hyperlink"/>
                  <w:rFonts w:ascii="Times New Roman" w:eastAsia="Times New Roman" w:hAnsi="Times New Roman"/>
                </w:rPr>
                <w:t xml:space="preserve"> to Finn </w:t>
              </w:r>
              <w:proofErr w:type="spellStart"/>
              <w:r w:rsidRPr="002F1DA3">
                <w:rPr>
                  <w:rStyle w:val="Hyperlink"/>
                  <w:rFonts w:ascii="Times New Roman" w:eastAsia="Times New Roman" w:hAnsi="Times New Roman"/>
                </w:rPr>
                <w:t>travel</w:t>
              </w:r>
              <w:proofErr w:type="spellEnd"/>
              <w:r w:rsidRPr="002F1DA3">
                <w:rPr>
                  <w:rStyle w:val="Hyperlink"/>
                  <w:rFonts w:ascii="Times New Roman" w:eastAsia="Times New Roman" w:hAnsi="Times New Roman"/>
                </w:rPr>
                <w:t xml:space="preserve"> - Travel News </w:t>
              </w:r>
              <w:proofErr w:type="spellStart"/>
              <w:r w:rsidRPr="002F1DA3">
                <w:rPr>
                  <w:rStyle w:val="Hyperlink"/>
                  <w:rFonts w:ascii="Times New Roman" w:eastAsia="Times New Roman" w:hAnsi="Times New Roman"/>
                </w:rPr>
                <w:t>Norway</w:t>
              </w:r>
              <w:proofErr w:type="spellEnd"/>
            </w:hyperlink>
          </w:p>
        </w:tc>
        <w:tc>
          <w:tcPr>
            <w:tcW w:w="1436" w:type="dxa"/>
            <w:tcMar>
              <w:top w:w="29" w:type="dxa"/>
              <w:left w:w="115" w:type="dxa"/>
              <w:bottom w:w="29" w:type="dxa"/>
              <w:right w:w="115" w:type="dxa"/>
            </w:tcMar>
          </w:tcPr>
          <w:p w14:paraId="77EB48F8" w14:textId="77777777" w:rsidR="00C41F26" w:rsidRPr="00F50348" w:rsidRDefault="00C41F2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4CAD7BCC" w:rsidR="00C41F26" w:rsidRPr="00F50348" w:rsidRDefault="00C5001F" w:rsidP="00C41F26">
            <w:pPr>
              <w:spacing w:after="0" w:line="240" w:lineRule="auto"/>
              <w:rPr>
                <w:rFonts w:ascii="Times New Roman" w:eastAsia="Times New Roman" w:hAnsi="Times New Roman"/>
              </w:rPr>
            </w:pPr>
            <w:r>
              <w:rPr>
                <w:rFonts w:ascii="Times New Roman" w:eastAsia="Times New Roman" w:hAnsi="Times New Roman"/>
              </w:rPr>
              <w:t>2026 02 06</w:t>
            </w:r>
          </w:p>
        </w:tc>
        <w:tc>
          <w:tcPr>
            <w:tcW w:w="5811" w:type="dxa"/>
            <w:tcMar>
              <w:top w:w="29" w:type="dxa"/>
              <w:left w:w="115" w:type="dxa"/>
              <w:bottom w:w="29" w:type="dxa"/>
              <w:right w:w="115" w:type="dxa"/>
            </w:tcMar>
          </w:tcPr>
          <w:p w14:paraId="7D9020AF" w14:textId="79C7D754" w:rsidR="00C41F26" w:rsidRPr="00F50348" w:rsidRDefault="00C5001F" w:rsidP="00036A7E">
            <w:pPr>
              <w:spacing w:after="0" w:line="240" w:lineRule="auto"/>
              <w:jc w:val="both"/>
              <w:rPr>
                <w:rFonts w:ascii="Times New Roman" w:eastAsia="Times New Roman" w:hAnsi="Times New Roman"/>
              </w:rPr>
            </w:pPr>
            <w:proofErr w:type="spellStart"/>
            <w:r w:rsidRPr="00C5001F">
              <w:rPr>
                <w:rFonts w:ascii="Times New Roman" w:eastAsia="Times New Roman" w:hAnsi="Times New Roman"/>
                <w:lang w:val="en-US"/>
              </w:rPr>
              <w:t>Norvegijos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nacionalinio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saugumo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tarnybos</w:t>
            </w:r>
            <w:proofErr w:type="spellEnd"/>
            <w:r w:rsidRPr="00C5001F">
              <w:rPr>
                <w:rFonts w:ascii="Times New Roman" w:eastAsia="Times New Roman" w:hAnsi="Times New Roman"/>
                <w:lang w:val="en-US"/>
              </w:rPr>
              <w:t xml:space="preserve"> (NSM) 2026 m. </w:t>
            </w:r>
            <w:proofErr w:type="spellStart"/>
            <w:r w:rsidRPr="00C5001F">
              <w:rPr>
                <w:rFonts w:ascii="Times New Roman" w:eastAsia="Times New Roman" w:hAnsi="Times New Roman"/>
                <w:lang w:val="en-US"/>
              </w:rPr>
              <w:t>rizikos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vertinimo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ataskaitoje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pabrėžiamos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saugumo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grėsmės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susijusios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su</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Kinijos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vaidmeniu</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saulės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vėjo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energetikos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tiekimo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grandinėse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Pažymima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kad</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Norvegijai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vykdant</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žaliąją</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transformaciją</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didinant</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atsinaujinančios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energijos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naudojimą</w:t>
            </w:r>
            <w:proofErr w:type="spellEnd"/>
            <w:r w:rsidRPr="00C5001F">
              <w:rPr>
                <w:rFonts w:ascii="Times New Roman" w:eastAsia="Times New Roman" w:hAnsi="Times New Roman"/>
                <w:lang w:val="en-US"/>
              </w:rPr>
              <w:t xml:space="preserve">, Kinija </w:t>
            </w:r>
            <w:proofErr w:type="spellStart"/>
            <w:r w:rsidRPr="00C5001F">
              <w:rPr>
                <w:rFonts w:ascii="Times New Roman" w:eastAsia="Times New Roman" w:hAnsi="Times New Roman"/>
                <w:lang w:val="en-US"/>
              </w:rPr>
              <w:t>tapo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dominuojančia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pasauline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tiekėja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saulės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vėjo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energetikos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technologijų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srityje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Tarptautiniai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pavyzdžiai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rodo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galimas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rizikas</w:t>
            </w:r>
            <w:proofErr w:type="spellEnd"/>
            <w:r w:rsidRPr="00C5001F">
              <w:rPr>
                <w:rFonts w:ascii="Times New Roman" w:eastAsia="Times New Roman" w:hAnsi="Times New Roman"/>
                <w:lang w:val="en-US"/>
              </w:rPr>
              <w:t xml:space="preserve">: Jungtinės </w:t>
            </w:r>
            <w:proofErr w:type="spellStart"/>
            <w:r w:rsidRPr="00C5001F">
              <w:rPr>
                <w:rFonts w:ascii="Times New Roman" w:eastAsia="Times New Roman" w:hAnsi="Times New Roman"/>
                <w:lang w:val="en-US"/>
              </w:rPr>
              <w:t>Karalystės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žvalgybos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tarnybos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vertina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kad</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kinų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technologijos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jūrinių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vėjo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elektrinių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projektuose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gali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kelti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nacionalinio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saugumo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grėsmę</w:t>
            </w:r>
            <w:proofErr w:type="spellEnd"/>
            <w:r w:rsidRPr="00C5001F">
              <w:rPr>
                <w:rFonts w:ascii="Times New Roman" w:eastAsia="Times New Roman" w:hAnsi="Times New Roman"/>
                <w:lang w:val="en-US"/>
              </w:rPr>
              <w:t xml:space="preserve">, o JAV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Danijoje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nustatyti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atvejai</w:t>
            </w:r>
            <w:proofErr w:type="spellEnd"/>
            <w:r w:rsidRPr="00C5001F">
              <w:rPr>
                <w:rFonts w:ascii="Times New Roman" w:eastAsia="Times New Roman" w:hAnsi="Times New Roman"/>
                <w:lang w:val="en-US"/>
              </w:rPr>
              <w:t xml:space="preserve">, kai </w:t>
            </w:r>
            <w:proofErr w:type="spellStart"/>
            <w:r w:rsidRPr="00C5001F">
              <w:rPr>
                <w:rFonts w:ascii="Times New Roman" w:eastAsia="Times New Roman" w:hAnsi="Times New Roman"/>
                <w:lang w:val="en-US"/>
              </w:rPr>
              <w:t>kiniškoje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energetikos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įrangoje</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aptikta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įtartinų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ar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nedokumentuotų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komponentų</w:t>
            </w:r>
            <w:proofErr w:type="spellEnd"/>
            <w:r w:rsidRPr="00C5001F">
              <w:rPr>
                <w:rFonts w:ascii="Times New Roman" w:eastAsia="Times New Roman" w:hAnsi="Times New Roman"/>
                <w:lang w:val="en-US"/>
              </w:rPr>
              <w:t xml:space="preserve">. NSM </w:t>
            </w:r>
            <w:proofErr w:type="spellStart"/>
            <w:r w:rsidRPr="00C5001F">
              <w:rPr>
                <w:rFonts w:ascii="Times New Roman" w:eastAsia="Times New Roman" w:hAnsi="Times New Roman"/>
                <w:lang w:val="en-US"/>
              </w:rPr>
              <w:t>ragina</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įmones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saugumą</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vertinti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visais</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technologijų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įsigijimo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etapais</w:t>
            </w:r>
            <w:proofErr w:type="spellEnd"/>
            <w:r w:rsidRPr="00C5001F">
              <w:rPr>
                <w:rFonts w:ascii="Times New Roman" w:eastAsia="Times New Roman" w:hAnsi="Times New Roman"/>
                <w:lang w:val="en-US"/>
              </w:rPr>
              <w:t xml:space="preserve"> – </w:t>
            </w:r>
            <w:proofErr w:type="spellStart"/>
            <w:r w:rsidRPr="00C5001F">
              <w:rPr>
                <w:rFonts w:ascii="Times New Roman" w:eastAsia="Times New Roman" w:hAnsi="Times New Roman"/>
                <w:lang w:val="en-US"/>
              </w:rPr>
              <w:t>nuo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planavimo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iki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diegimo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eksploatavimo</w:t>
            </w:r>
            <w:proofErr w:type="spellEnd"/>
            <w:r w:rsidRPr="00C5001F">
              <w:rPr>
                <w:rFonts w:ascii="Times New Roman" w:eastAsia="Times New Roman" w:hAnsi="Times New Roman"/>
                <w:lang w:val="en-US"/>
              </w:rPr>
              <w:t xml:space="preserve"> – </w:t>
            </w:r>
            <w:proofErr w:type="spellStart"/>
            <w:r w:rsidRPr="00C5001F">
              <w:rPr>
                <w:rFonts w:ascii="Times New Roman" w:eastAsia="Times New Roman" w:hAnsi="Times New Roman"/>
                <w:lang w:val="en-US"/>
              </w:rPr>
              <w:t>siekiant</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sumažinti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priklausomybę</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nuo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rizikingų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tiekimo</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grandinių</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ir</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užtikrinti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nacionalinį</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bei</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energetinį</w:t>
            </w:r>
            <w:proofErr w:type="spellEnd"/>
            <w:r w:rsidRPr="00C5001F">
              <w:rPr>
                <w:rFonts w:ascii="Times New Roman" w:eastAsia="Times New Roman" w:hAnsi="Times New Roman"/>
                <w:lang w:val="en-US"/>
              </w:rPr>
              <w:t xml:space="preserve"> </w:t>
            </w:r>
            <w:proofErr w:type="spellStart"/>
            <w:r w:rsidRPr="00C5001F">
              <w:rPr>
                <w:rFonts w:ascii="Times New Roman" w:eastAsia="Times New Roman" w:hAnsi="Times New Roman"/>
                <w:lang w:val="en-US"/>
              </w:rPr>
              <w:t>saugumą</w:t>
            </w:r>
            <w:proofErr w:type="spellEnd"/>
            <w:r w:rsidRPr="00C5001F">
              <w:rPr>
                <w:rFonts w:ascii="Times New Roman" w:eastAsia="Times New Roman" w:hAnsi="Times New Roman"/>
                <w:lang w:val="en-US"/>
              </w:rPr>
              <w:t>.</w:t>
            </w:r>
          </w:p>
        </w:tc>
        <w:tc>
          <w:tcPr>
            <w:tcW w:w="2268" w:type="dxa"/>
            <w:tcMar>
              <w:top w:w="29" w:type="dxa"/>
              <w:left w:w="115" w:type="dxa"/>
              <w:bottom w:w="29" w:type="dxa"/>
              <w:right w:w="115" w:type="dxa"/>
            </w:tcMar>
          </w:tcPr>
          <w:p w14:paraId="1D42D103" w14:textId="01267FEF" w:rsidR="00C41F26" w:rsidRPr="00F50348" w:rsidRDefault="00C5001F" w:rsidP="00C41F26">
            <w:pPr>
              <w:spacing w:after="0" w:line="240" w:lineRule="auto"/>
              <w:rPr>
                <w:rFonts w:ascii="Times New Roman" w:eastAsia="Times New Roman" w:hAnsi="Times New Roman"/>
              </w:rPr>
            </w:pPr>
            <w:hyperlink r:id="rId14" w:history="1">
              <w:r w:rsidRPr="00C940AF">
                <w:rPr>
                  <w:rStyle w:val="Hyperlink"/>
                </w:rPr>
                <w:t xml:space="preserve">NSM </w:t>
              </w:r>
              <w:proofErr w:type="spellStart"/>
              <w:r w:rsidRPr="00C940AF">
                <w:rPr>
                  <w:rStyle w:val="Hyperlink"/>
                </w:rPr>
                <w:t>Risikorapport</w:t>
              </w:r>
              <w:proofErr w:type="spellEnd"/>
              <w:r w:rsidRPr="00C940AF">
                <w:rPr>
                  <w:rStyle w:val="Hyperlink"/>
                </w:rPr>
                <w:t xml:space="preserve"> 2025</w:t>
              </w:r>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35A19C1B" w:rsidR="00C41F26" w:rsidRPr="00F50348" w:rsidRDefault="00C5001F" w:rsidP="00C41F26">
            <w:pPr>
              <w:spacing w:after="0" w:line="240" w:lineRule="auto"/>
              <w:rPr>
                <w:rFonts w:ascii="Times New Roman" w:eastAsia="Times New Roman" w:hAnsi="Times New Roman"/>
              </w:rPr>
            </w:pPr>
            <w:r>
              <w:rPr>
                <w:rFonts w:ascii="Times New Roman" w:eastAsia="Times New Roman" w:hAnsi="Times New Roman"/>
              </w:rPr>
              <w:t>2026 02 11</w:t>
            </w:r>
          </w:p>
        </w:tc>
        <w:tc>
          <w:tcPr>
            <w:tcW w:w="5811" w:type="dxa"/>
            <w:tcMar>
              <w:top w:w="29" w:type="dxa"/>
              <w:left w:w="115" w:type="dxa"/>
              <w:bottom w:w="29" w:type="dxa"/>
              <w:right w:w="115" w:type="dxa"/>
            </w:tcMar>
          </w:tcPr>
          <w:p w14:paraId="5672393D" w14:textId="13EE769A" w:rsidR="00C41F26" w:rsidRPr="006E38A4" w:rsidRDefault="00C5001F" w:rsidP="00C5001F">
            <w:pPr>
              <w:tabs>
                <w:tab w:val="left" w:pos="1008"/>
              </w:tabs>
              <w:spacing w:after="0" w:line="240" w:lineRule="auto"/>
              <w:jc w:val="both"/>
              <w:rPr>
                <w:rFonts w:ascii="Times New Roman" w:eastAsia="Times New Roman" w:hAnsi="Times New Roman"/>
              </w:rPr>
            </w:pPr>
            <w:r w:rsidRPr="00C5001F">
              <w:rPr>
                <w:rFonts w:ascii="Times New Roman" w:eastAsia="Times New Roman" w:hAnsi="Times New Roman"/>
              </w:rPr>
              <w:t xml:space="preserve">Norvegijos Vyriausybė neribotam laikui pratęsė Rusijos „šešėlinio laivyno“ kontrolės priemones, kurios numato užsienyje registruotiems naftos tanklaiviam reikalavimą pateikti aktualią informaciją, visų pirma draudimo įrodymus ir CLC sertifikatus. Žuvininkystės ir jūrų politikos ministrė Marianne </w:t>
            </w:r>
            <w:proofErr w:type="spellStart"/>
            <w:r w:rsidRPr="00C5001F">
              <w:rPr>
                <w:rFonts w:ascii="Times New Roman" w:eastAsia="Times New Roman" w:hAnsi="Times New Roman"/>
              </w:rPr>
              <w:t>Sivertsen</w:t>
            </w:r>
            <w:proofErr w:type="spellEnd"/>
            <w:r w:rsidRPr="00C5001F">
              <w:rPr>
                <w:rFonts w:ascii="Times New Roman" w:eastAsia="Times New Roman" w:hAnsi="Times New Roman"/>
              </w:rPr>
              <w:t xml:space="preserve"> </w:t>
            </w:r>
            <w:proofErr w:type="spellStart"/>
            <w:r w:rsidRPr="00C5001F">
              <w:rPr>
                <w:rFonts w:ascii="Times New Roman" w:eastAsia="Times New Roman" w:hAnsi="Times New Roman"/>
              </w:rPr>
              <w:t>Næss</w:t>
            </w:r>
            <w:proofErr w:type="spellEnd"/>
            <w:r w:rsidRPr="00C5001F">
              <w:rPr>
                <w:rFonts w:ascii="Times New Roman" w:eastAsia="Times New Roman" w:hAnsi="Times New Roman"/>
              </w:rPr>
              <w:t xml:space="preserve"> teigia, kad šios užklausos suteikė vertingų įžvalgų apie “šešėlinio laivyno” veiklą, ypač dėl neaiškių draudimo schemų ir klaidingo vėliavų naudojimo. Šios žinios yra svarbios kuriant tvirtą ir ilgalaikį atsaką į šio laivyno veiklą. Informacija taip pat dalijamasi su kitomis valstybėmis, kurios ją naudoja formuodamos įrodymų bazę laivų registravimui. </w:t>
            </w:r>
          </w:p>
        </w:tc>
        <w:tc>
          <w:tcPr>
            <w:tcW w:w="2268" w:type="dxa"/>
            <w:tcMar>
              <w:top w:w="29" w:type="dxa"/>
              <w:left w:w="115" w:type="dxa"/>
              <w:bottom w:w="29" w:type="dxa"/>
              <w:right w:w="115" w:type="dxa"/>
            </w:tcMar>
          </w:tcPr>
          <w:p w14:paraId="3E48ADAA" w14:textId="585C7BDA" w:rsidR="00C5001F" w:rsidRDefault="00C5001F" w:rsidP="00C5001F">
            <w:pPr>
              <w:jc w:val="both"/>
              <w:rPr>
                <w:lang w:val="en-US"/>
              </w:rPr>
            </w:pPr>
            <w:hyperlink r:id="rId15" w:history="1">
              <w:proofErr w:type="spellStart"/>
              <w:r w:rsidRPr="00A714F9">
                <w:rPr>
                  <w:rStyle w:val="Hyperlink"/>
                </w:rPr>
                <w:t>The</w:t>
              </w:r>
              <w:proofErr w:type="spellEnd"/>
              <w:r w:rsidRPr="00A714F9">
                <w:rPr>
                  <w:rStyle w:val="Hyperlink"/>
                </w:rPr>
                <w:t xml:space="preserve"> </w:t>
              </w:r>
              <w:proofErr w:type="spellStart"/>
              <w:r w:rsidRPr="00A714F9">
                <w:rPr>
                  <w:rStyle w:val="Hyperlink"/>
                </w:rPr>
                <w:t>Government</w:t>
              </w:r>
              <w:proofErr w:type="spellEnd"/>
              <w:r w:rsidRPr="00A714F9">
                <w:rPr>
                  <w:rStyle w:val="Hyperlink"/>
                </w:rPr>
                <w:t xml:space="preserve"> </w:t>
              </w:r>
              <w:proofErr w:type="spellStart"/>
              <w:r w:rsidRPr="00A714F9">
                <w:rPr>
                  <w:rStyle w:val="Hyperlink"/>
                </w:rPr>
                <w:t>is</w:t>
              </w:r>
              <w:proofErr w:type="spellEnd"/>
              <w:r w:rsidRPr="00A714F9">
                <w:rPr>
                  <w:rStyle w:val="Hyperlink"/>
                </w:rPr>
                <w:t xml:space="preserve"> </w:t>
              </w:r>
              <w:proofErr w:type="spellStart"/>
              <w:r w:rsidRPr="00A714F9">
                <w:rPr>
                  <w:rStyle w:val="Hyperlink"/>
                </w:rPr>
                <w:t>continuing</w:t>
              </w:r>
              <w:proofErr w:type="spellEnd"/>
              <w:r w:rsidRPr="00A714F9">
                <w:rPr>
                  <w:rStyle w:val="Hyperlink"/>
                </w:rPr>
                <w:t xml:space="preserve"> </w:t>
              </w:r>
              <w:proofErr w:type="spellStart"/>
              <w:r w:rsidRPr="00A714F9">
                <w:rPr>
                  <w:rStyle w:val="Hyperlink"/>
                </w:rPr>
                <w:t>its</w:t>
              </w:r>
              <w:proofErr w:type="spellEnd"/>
              <w:r w:rsidRPr="00A714F9">
                <w:rPr>
                  <w:rStyle w:val="Hyperlink"/>
                </w:rPr>
                <w:t xml:space="preserve"> </w:t>
              </w:r>
              <w:proofErr w:type="spellStart"/>
              <w:r w:rsidRPr="00A714F9">
                <w:rPr>
                  <w:rStyle w:val="Hyperlink"/>
                </w:rPr>
                <w:t>efforts</w:t>
              </w:r>
              <w:proofErr w:type="spellEnd"/>
              <w:r w:rsidRPr="00A714F9">
                <w:rPr>
                  <w:rStyle w:val="Hyperlink"/>
                </w:rPr>
                <w:t xml:space="preserve"> to </w:t>
              </w:r>
              <w:proofErr w:type="spellStart"/>
              <w:r w:rsidRPr="00A714F9">
                <w:rPr>
                  <w:rStyle w:val="Hyperlink"/>
                </w:rPr>
                <w:t>combat</w:t>
              </w:r>
              <w:proofErr w:type="spellEnd"/>
              <w:r w:rsidRPr="00A714F9">
                <w:rPr>
                  <w:rStyle w:val="Hyperlink"/>
                </w:rPr>
                <w:t xml:space="preserve"> </w:t>
              </w:r>
              <w:proofErr w:type="spellStart"/>
              <w:r w:rsidRPr="00A714F9">
                <w:rPr>
                  <w:rStyle w:val="Hyperlink"/>
                </w:rPr>
                <w:t>the</w:t>
              </w:r>
              <w:proofErr w:type="spellEnd"/>
              <w:r w:rsidRPr="00A714F9">
                <w:rPr>
                  <w:rStyle w:val="Hyperlink"/>
                </w:rPr>
                <w:t xml:space="preserve"> </w:t>
              </w:r>
              <w:proofErr w:type="spellStart"/>
              <w:r w:rsidRPr="00A714F9">
                <w:rPr>
                  <w:rStyle w:val="Hyperlink"/>
                </w:rPr>
                <w:t>shadow</w:t>
              </w:r>
              <w:proofErr w:type="spellEnd"/>
              <w:r w:rsidRPr="00A714F9">
                <w:rPr>
                  <w:rStyle w:val="Hyperlink"/>
                </w:rPr>
                <w:t xml:space="preserve"> </w:t>
              </w:r>
              <w:proofErr w:type="spellStart"/>
              <w:r w:rsidRPr="00A714F9">
                <w:rPr>
                  <w:rStyle w:val="Hyperlink"/>
                </w:rPr>
                <w:t>fleet</w:t>
              </w:r>
              <w:proofErr w:type="spellEnd"/>
              <w:r w:rsidRPr="00A714F9">
                <w:rPr>
                  <w:rStyle w:val="Hyperlink"/>
                </w:rPr>
                <w:t xml:space="preserve"> - regjeringen.no</w:t>
              </w:r>
            </w:hyperlink>
          </w:p>
          <w:p w14:paraId="770AB70B" w14:textId="7E569004" w:rsidR="00C41F26" w:rsidRPr="00F50348" w:rsidRDefault="00C41F26" w:rsidP="00C41F26">
            <w:pPr>
              <w:spacing w:after="0" w:line="240" w:lineRule="auto"/>
              <w:rPr>
                <w:rFonts w:ascii="Times New Roman" w:eastAsia="Times New Roman" w:hAnsi="Times New Roman"/>
              </w:rPr>
            </w:pPr>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5E16AE45" w:rsidR="001E14EC" w:rsidRPr="00F50348" w:rsidRDefault="007435A0" w:rsidP="001E14EC">
            <w:pPr>
              <w:spacing w:after="0" w:line="240" w:lineRule="auto"/>
              <w:rPr>
                <w:rFonts w:ascii="Times New Roman" w:eastAsia="Times New Roman" w:hAnsi="Times New Roman"/>
              </w:rPr>
            </w:pPr>
            <w:r>
              <w:rPr>
                <w:rFonts w:ascii="Times New Roman" w:eastAsia="Times New Roman" w:hAnsi="Times New Roman"/>
              </w:rPr>
              <w:t>2026 02 09</w:t>
            </w:r>
          </w:p>
        </w:tc>
        <w:tc>
          <w:tcPr>
            <w:tcW w:w="5811" w:type="dxa"/>
            <w:tcMar>
              <w:top w:w="29" w:type="dxa"/>
              <w:left w:w="115" w:type="dxa"/>
              <w:bottom w:w="29" w:type="dxa"/>
              <w:right w:w="115" w:type="dxa"/>
            </w:tcMar>
          </w:tcPr>
          <w:p w14:paraId="01A28702" w14:textId="1EA0EF82" w:rsidR="001E14EC" w:rsidRPr="00E06183" w:rsidRDefault="007435A0" w:rsidP="001E14EC">
            <w:pPr>
              <w:spacing w:after="0" w:line="240" w:lineRule="auto"/>
              <w:rPr>
                <w:rFonts w:ascii="Times New Roman" w:eastAsia="Times New Roman" w:hAnsi="Times New Roman"/>
              </w:rPr>
            </w:pPr>
            <w:r w:rsidRPr="007435A0">
              <w:rPr>
                <w:rFonts w:ascii="Times New Roman" w:eastAsia="Times New Roman" w:hAnsi="Times New Roman"/>
              </w:rPr>
              <w:t xml:space="preserve">Naujausi statistikos duomenys rodo, kad Norvegijos žemyninis BVP 2025 m. išaugo 1,8 %, palyginti su 0,6 % augimu 2024 m. Pasak ekonomistų, augimas artimas ilgalaikiam normaliam tempui, o metų pabaigoje ekonominė veikla vystėsi pagal lūkesčius. Tuo pat metu metinė infliacija sausį siekė 3 % ir viršijo </w:t>
            </w:r>
            <w:proofErr w:type="spellStart"/>
            <w:r w:rsidRPr="007435A0">
              <w:rPr>
                <w:rFonts w:ascii="Times New Roman" w:eastAsia="Times New Roman" w:hAnsi="Times New Roman"/>
              </w:rPr>
              <w:t>Norges</w:t>
            </w:r>
            <w:proofErr w:type="spellEnd"/>
            <w:r w:rsidRPr="007435A0">
              <w:rPr>
                <w:rFonts w:ascii="Times New Roman" w:eastAsia="Times New Roman" w:hAnsi="Times New Roman"/>
              </w:rPr>
              <w:t xml:space="preserve"> Bank 2% tikslą, tačiau ekonomistai pažymi, kad tokio augimo pakanka palaikyti žemą ir stabilų nedarbo lygį</w:t>
            </w:r>
            <w:r>
              <w:rPr>
                <w:rFonts w:ascii="Times New Roman" w:eastAsia="Times New Roman" w:hAnsi="Times New Roman"/>
              </w:rPr>
              <w:t>.</w:t>
            </w:r>
          </w:p>
        </w:tc>
        <w:tc>
          <w:tcPr>
            <w:tcW w:w="2268" w:type="dxa"/>
            <w:tcMar>
              <w:top w:w="29" w:type="dxa"/>
              <w:left w:w="115" w:type="dxa"/>
              <w:bottom w:w="29" w:type="dxa"/>
              <w:right w:w="115" w:type="dxa"/>
            </w:tcMar>
          </w:tcPr>
          <w:p w14:paraId="532209A1" w14:textId="3B4004F5" w:rsidR="001E14EC" w:rsidRDefault="007435A0" w:rsidP="001E14EC">
            <w:pPr>
              <w:spacing w:after="0" w:line="240" w:lineRule="auto"/>
            </w:pPr>
            <w:hyperlink r:id="rId16" w:history="1">
              <w:proofErr w:type="spellStart"/>
              <w:r w:rsidRPr="007435A0">
                <w:rPr>
                  <w:rStyle w:val="Hyperlink"/>
                </w:rPr>
                <w:t>Norsk</w:t>
              </w:r>
              <w:proofErr w:type="spellEnd"/>
              <w:r w:rsidRPr="007435A0">
                <w:rPr>
                  <w:rStyle w:val="Hyperlink"/>
                </w:rPr>
                <w:t xml:space="preserve"> </w:t>
              </w:r>
              <w:proofErr w:type="spellStart"/>
              <w:r w:rsidRPr="007435A0">
                <w:rPr>
                  <w:rStyle w:val="Hyperlink"/>
                </w:rPr>
                <w:t>fastlandsøkonomi</w:t>
              </w:r>
              <w:proofErr w:type="spellEnd"/>
              <w:r w:rsidRPr="007435A0">
                <w:rPr>
                  <w:rStyle w:val="Hyperlink"/>
                </w:rPr>
                <w:t xml:space="preserve"> </w:t>
              </w:r>
              <w:proofErr w:type="spellStart"/>
              <w:r w:rsidRPr="007435A0">
                <w:rPr>
                  <w:rStyle w:val="Hyperlink"/>
                </w:rPr>
                <w:t>vokste</w:t>
              </w:r>
              <w:proofErr w:type="spellEnd"/>
              <w:r w:rsidRPr="007435A0">
                <w:rPr>
                  <w:rStyle w:val="Hyperlink"/>
                </w:rPr>
                <w:t xml:space="preserve"> 1,8 </w:t>
              </w:r>
              <w:proofErr w:type="spellStart"/>
              <w:r w:rsidRPr="007435A0">
                <w:rPr>
                  <w:rStyle w:val="Hyperlink"/>
                </w:rPr>
                <w:t>prosent</w:t>
              </w:r>
              <w:proofErr w:type="spellEnd"/>
              <w:r w:rsidRPr="007435A0">
                <w:rPr>
                  <w:rStyle w:val="Hyperlink"/>
                </w:rPr>
                <w:t xml:space="preserve"> i 2025 – E24</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7D650658" w:rsidR="001E14EC" w:rsidRDefault="001E14EC" w:rsidP="001E14EC">
            <w:pPr>
              <w:spacing w:after="0" w:line="240" w:lineRule="auto"/>
              <w:rPr>
                <w:rFonts w:ascii="Times New Roman" w:eastAsia="Times New Roman" w:hAnsi="Times New Roman"/>
              </w:rPr>
            </w:pPr>
          </w:p>
        </w:tc>
        <w:tc>
          <w:tcPr>
            <w:tcW w:w="5811" w:type="dxa"/>
            <w:tcMar>
              <w:top w:w="29" w:type="dxa"/>
              <w:left w:w="115" w:type="dxa"/>
              <w:bottom w:w="29" w:type="dxa"/>
              <w:right w:w="115" w:type="dxa"/>
            </w:tcMar>
          </w:tcPr>
          <w:p w14:paraId="4949CCE6" w14:textId="1F4B76B0" w:rsidR="001E14EC" w:rsidRPr="00E46E0F" w:rsidRDefault="007435A0" w:rsidP="001E14EC">
            <w:pPr>
              <w:spacing w:after="0" w:line="240" w:lineRule="auto"/>
              <w:jc w:val="both"/>
              <w:rPr>
                <w:rFonts w:ascii="Times New Roman" w:eastAsia="Times New Roman" w:hAnsi="Times New Roman"/>
              </w:rPr>
            </w:pPr>
            <w:r w:rsidRPr="007435A0">
              <w:rPr>
                <w:rFonts w:ascii="Times New Roman" w:eastAsia="Times New Roman" w:hAnsi="Times New Roman"/>
              </w:rPr>
              <w:t xml:space="preserve">2026 m. sausį Norvegija eksportavo jūrų gėrybių už 14,8 mlrd. NOK, t. y. 3 % mažiau nei tuo pačiu laikotarpiu pernai. Eksporto į JAV vertė sumažėjo 37 % (416 mln. NOK), o tai siejama su mažesnėmis lašišų kainomis, susilpnėjusiu JAV doleriu, sumažintomis kvotomis kai kurioms </w:t>
            </w:r>
            <w:proofErr w:type="spellStart"/>
            <w:r w:rsidRPr="007435A0">
              <w:rPr>
                <w:rFonts w:ascii="Times New Roman" w:eastAsia="Times New Roman" w:hAnsi="Times New Roman"/>
              </w:rPr>
              <w:t>neakvakultūrinėms</w:t>
            </w:r>
            <w:proofErr w:type="spellEnd"/>
            <w:r w:rsidRPr="007435A0">
              <w:rPr>
                <w:rFonts w:ascii="Times New Roman" w:eastAsia="Times New Roman" w:hAnsi="Times New Roman"/>
              </w:rPr>
              <w:t xml:space="preserve"> rūšims ir didesne konkurencija pagrindinėse rinkose. Dėl to JAV nukrito iš didžiausių Norvegijos jūrų gėrybių eksporto rinkų trejetuko, ją aplenkė Lenkija, Nyderlandai ir Kinija.</w:t>
            </w:r>
          </w:p>
        </w:tc>
        <w:tc>
          <w:tcPr>
            <w:tcW w:w="2268" w:type="dxa"/>
            <w:tcMar>
              <w:top w:w="29" w:type="dxa"/>
              <w:left w:w="115" w:type="dxa"/>
              <w:bottom w:w="29" w:type="dxa"/>
              <w:right w:w="115" w:type="dxa"/>
            </w:tcMar>
          </w:tcPr>
          <w:p w14:paraId="2F466CF2" w14:textId="3BF2ACB6" w:rsidR="001E14EC" w:rsidRPr="00F001DB" w:rsidRDefault="001E14EC" w:rsidP="001E14EC">
            <w:pPr>
              <w:spacing w:after="0" w:line="240" w:lineRule="auto"/>
              <w:rPr>
                <w:rFonts w:ascii="Times New Roman" w:eastAsia="Times New Roman" w:hAnsi="Times New Roman"/>
              </w:rPr>
            </w:pPr>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519772CF" w:rsidR="001E14EC" w:rsidRDefault="001C4A1E" w:rsidP="001E14EC">
            <w:pPr>
              <w:spacing w:after="0" w:line="240" w:lineRule="auto"/>
              <w:rPr>
                <w:rFonts w:ascii="Times New Roman" w:eastAsia="Times New Roman" w:hAnsi="Times New Roman"/>
              </w:rPr>
            </w:pPr>
            <w:r>
              <w:rPr>
                <w:rFonts w:ascii="Times New Roman" w:eastAsia="Times New Roman" w:hAnsi="Times New Roman"/>
              </w:rPr>
              <w:lastRenderedPageBreak/>
              <w:t>2026 02 10</w:t>
            </w:r>
          </w:p>
        </w:tc>
        <w:tc>
          <w:tcPr>
            <w:tcW w:w="5811" w:type="dxa"/>
            <w:tcMar>
              <w:top w:w="29" w:type="dxa"/>
              <w:left w:w="115" w:type="dxa"/>
              <w:bottom w:w="29" w:type="dxa"/>
              <w:right w:w="115" w:type="dxa"/>
            </w:tcMar>
          </w:tcPr>
          <w:p w14:paraId="05837F8F" w14:textId="5E1F75DB" w:rsidR="001E14EC" w:rsidRPr="00206FF8" w:rsidRDefault="001C4A1E" w:rsidP="001C4A1E">
            <w:pPr>
              <w:spacing w:after="0" w:line="240" w:lineRule="auto"/>
              <w:jc w:val="both"/>
              <w:rPr>
                <w:rFonts w:ascii="Times New Roman" w:eastAsia="Times New Roman" w:hAnsi="Times New Roman"/>
              </w:rPr>
            </w:pPr>
            <w:r w:rsidRPr="001C4A1E">
              <w:rPr>
                <w:rFonts w:ascii="Times New Roman" w:eastAsia="Times New Roman" w:hAnsi="Times New Roman"/>
              </w:rPr>
              <w:t>Sausį Norvegijoje infliacija išaugo iki 3,6 proc., o bazinė infliacija – iki 3,4 proc.. Abu rodikliai gerokai viršijo ekonomistų prognozes (3 proc.) ir gruodžio mėnesio lygį. Tai gali apsunkinti planus mažinti palūkanų normas</w:t>
            </w:r>
            <w:r>
              <w:rPr>
                <w:rFonts w:ascii="Times New Roman" w:eastAsia="Times New Roman" w:hAnsi="Times New Roman"/>
              </w:rPr>
              <w:t xml:space="preserve">. </w:t>
            </w:r>
            <w:r w:rsidRPr="001C4A1E">
              <w:rPr>
                <w:rFonts w:ascii="Times New Roman" w:eastAsia="Times New Roman" w:hAnsi="Times New Roman"/>
              </w:rPr>
              <w:t xml:space="preserve">Didžiausią įtaką kainų augimui turėjo būsto nuoma, automobilių ir elektros kainos. </w:t>
            </w:r>
            <w:proofErr w:type="spellStart"/>
            <w:r w:rsidRPr="001C4A1E">
              <w:rPr>
                <w:rFonts w:ascii="Times New Roman" w:eastAsia="Times New Roman" w:hAnsi="Times New Roman"/>
              </w:rPr>
              <w:t>Norges</w:t>
            </w:r>
            <w:proofErr w:type="spellEnd"/>
            <w:r w:rsidRPr="001C4A1E">
              <w:rPr>
                <w:rFonts w:ascii="Times New Roman" w:eastAsia="Times New Roman" w:hAnsi="Times New Roman"/>
              </w:rPr>
              <w:t xml:space="preserve"> Bank siekia 2 proc. infliacijos tikslo ir anksčiau signalizavo apie galimus 1–2 palūkanų mažinimus 2026 m., tačiau pabrėžė, kad neskuba jų mažinti, nes infliacija vis dar per aukšta.</w:t>
            </w:r>
          </w:p>
        </w:tc>
        <w:tc>
          <w:tcPr>
            <w:tcW w:w="2268" w:type="dxa"/>
            <w:tcMar>
              <w:top w:w="29" w:type="dxa"/>
              <w:left w:w="115" w:type="dxa"/>
              <w:bottom w:w="29" w:type="dxa"/>
              <w:right w:w="115" w:type="dxa"/>
            </w:tcMar>
          </w:tcPr>
          <w:p w14:paraId="20C14E51" w14:textId="2C6397DD" w:rsidR="001E14EC" w:rsidRPr="00206FF8" w:rsidRDefault="001C4A1E" w:rsidP="001E14EC">
            <w:pPr>
              <w:spacing w:after="0" w:line="240" w:lineRule="auto"/>
            </w:pPr>
            <w:hyperlink r:id="rId17" w:history="1">
              <w:proofErr w:type="spellStart"/>
              <w:r w:rsidRPr="001C4A1E">
                <w:rPr>
                  <w:rStyle w:val="Hyperlink"/>
                </w:rPr>
                <w:t>Overraskende</w:t>
              </w:r>
              <w:proofErr w:type="spellEnd"/>
              <w:r w:rsidRPr="001C4A1E">
                <w:rPr>
                  <w:rStyle w:val="Hyperlink"/>
                </w:rPr>
                <w:t xml:space="preserve"> </w:t>
              </w:r>
              <w:proofErr w:type="spellStart"/>
              <w:r w:rsidRPr="001C4A1E">
                <w:rPr>
                  <w:rStyle w:val="Hyperlink"/>
                </w:rPr>
                <w:t>hopp</w:t>
              </w:r>
              <w:proofErr w:type="spellEnd"/>
              <w:r w:rsidRPr="001C4A1E">
                <w:rPr>
                  <w:rStyle w:val="Hyperlink"/>
                </w:rPr>
                <w:t xml:space="preserve"> </w:t>
              </w:r>
              <w:proofErr w:type="spellStart"/>
              <w:r w:rsidRPr="001C4A1E">
                <w:rPr>
                  <w:rStyle w:val="Hyperlink"/>
                </w:rPr>
                <w:t>for</w:t>
              </w:r>
              <w:proofErr w:type="spellEnd"/>
              <w:r w:rsidRPr="001C4A1E">
                <w:rPr>
                  <w:rStyle w:val="Hyperlink"/>
                </w:rPr>
                <w:t xml:space="preserve"> </w:t>
              </w:r>
              <w:proofErr w:type="spellStart"/>
              <w:r w:rsidRPr="001C4A1E">
                <w:rPr>
                  <w:rStyle w:val="Hyperlink"/>
                </w:rPr>
                <w:t>prisveksten</w:t>
              </w:r>
              <w:proofErr w:type="spellEnd"/>
              <w:r w:rsidRPr="001C4A1E">
                <w:rPr>
                  <w:rStyle w:val="Hyperlink"/>
                </w:rPr>
                <w:t xml:space="preserve"> i </w:t>
              </w:r>
              <w:proofErr w:type="spellStart"/>
              <w:r w:rsidRPr="001C4A1E">
                <w:rPr>
                  <w:rStyle w:val="Hyperlink"/>
                </w:rPr>
                <w:t>januar</w:t>
              </w:r>
              <w:proofErr w:type="spellEnd"/>
              <w:r w:rsidRPr="001C4A1E">
                <w:rPr>
                  <w:rStyle w:val="Hyperlink"/>
                </w:rPr>
                <w:t xml:space="preserve"> – E24</w:t>
              </w:r>
            </w:hyperlink>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6FB834E6" w:rsidR="009C37F3" w:rsidRDefault="00072A65" w:rsidP="001E14EC">
            <w:pPr>
              <w:spacing w:after="0" w:line="240" w:lineRule="auto"/>
              <w:rPr>
                <w:rFonts w:ascii="Times New Roman" w:eastAsia="Times New Roman" w:hAnsi="Times New Roman"/>
              </w:rPr>
            </w:pPr>
            <w:r>
              <w:rPr>
                <w:rFonts w:ascii="Times New Roman" w:eastAsia="Times New Roman" w:hAnsi="Times New Roman"/>
              </w:rPr>
              <w:t>2026 02 16</w:t>
            </w:r>
          </w:p>
        </w:tc>
        <w:tc>
          <w:tcPr>
            <w:tcW w:w="5811" w:type="dxa"/>
            <w:tcMar>
              <w:top w:w="29" w:type="dxa"/>
              <w:left w:w="115" w:type="dxa"/>
              <w:bottom w:w="29" w:type="dxa"/>
              <w:right w:w="115" w:type="dxa"/>
            </w:tcMar>
          </w:tcPr>
          <w:p w14:paraId="4C9D6FD4" w14:textId="473A3299" w:rsidR="009C37F3" w:rsidRPr="00232ABB" w:rsidRDefault="008D40AA" w:rsidP="00C526F9">
            <w:pPr>
              <w:spacing w:after="240"/>
              <w:jc w:val="both"/>
              <w:rPr>
                <w:rFonts w:ascii="Times New Roman" w:eastAsia="Times New Roman" w:hAnsi="Times New Roman"/>
              </w:rPr>
            </w:pPr>
            <w:r w:rsidRPr="00D75D5A">
              <w:rPr>
                <w:rFonts w:ascii="Times New Roman" w:hAnsi="Times New Roman"/>
                <w:bCs/>
              </w:rPr>
              <w:t>Norvegijos krona (NOK) nuo metų pradžios sustiprėjo apie 6 proc. JAV dolerio atžvilgiu ir aplenkė visas kitas G10 šalių valiutas, taip pat pakilo maždaug 5 proc. euro atžvilgiu. Kronos stiprėjimą lėmė silpnesnis JAV doleris, didesnė nei tikėtasi infliacija Norvegijoje ir sumažėję lūkesčiai dėl artimo palūkanų normų mažinimo – dalis rinkos dalyvių net pradėjo svarstyti galimą palūkanų didinimą. Stipresnė krona reiškia pigesnes keliones į užsienį ir importą Norvegijos vartotojams, tačiau kartu apsunkina Norvegijos eksportuotojų padėtį, nes jų prekės tampa brangesnės užsienio rinkose</w:t>
            </w:r>
            <w:r w:rsidRPr="004E17A2">
              <w:rPr>
                <w:rFonts w:ascii="Times New Roman" w:hAnsi="Times New Roman"/>
                <w:bCs/>
              </w:rPr>
              <w:t>.</w:t>
            </w:r>
            <w:r w:rsidRPr="004E17A2">
              <w:rPr>
                <w:rFonts w:ascii="Times New Roman" w:hAnsi="Times New Roman"/>
              </w:rPr>
              <w:t xml:space="preserve"> </w:t>
            </w:r>
          </w:p>
        </w:tc>
        <w:tc>
          <w:tcPr>
            <w:tcW w:w="2268" w:type="dxa"/>
            <w:tcMar>
              <w:top w:w="29" w:type="dxa"/>
              <w:left w:w="115" w:type="dxa"/>
              <w:bottom w:w="29" w:type="dxa"/>
              <w:right w:w="115" w:type="dxa"/>
            </w:tcMar>
          </w:tcPr>
          <w:p w14:paraId="4ED7FA79" w14:textId="2A0E68F6" w:rsidR="009C37F3" w:rsidRPr="00232ABB" w:rsidRDefault="00072A65" w:rsidP="001E14EC">
            <w:pPr>
              <w:spacing w:after="0" w:line="240" w:lineRule="auto"/>
              <w:rPr>
                <w:rFonts w:ascii="Times New Roman" w:eastAsia="Times New Roman" w:hAnsi="Times New Roman"/>
              </w:rPr>
            </w:pPr>
            <w:hyperlink r:id="rId18" w:history="1">
              <w:proofErr w:type="spellStart"/>
              <w:r w:rsidRPr="00072A65">
                <w:rPr>
                  <w:rStyle w:val="Hyperlink"/>
                  <w:rFonts w:ascii="Times New Roman" w:eastAsia="Times New Roman" w:hAnsi="Times New Roman"/>
                </w:rPr>
                <w:t>Kronen</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gjør</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det</w:t>
              </w:r>
              <w:proofErr w:type="spellEnd"/>
              <w:r w:rsidRPr="00072A65">
                <w:rPr>
                  <w:rStyle w:val="Hyperlink"/>
                  <w:rFonts w:ascii="Times New Roman" w:eastAsia="Times New Roman" w:hAnsi="Times New Roman"/>
                </w:rPr>
                <w:t xml:space="preserve"> best </w:t>
              </w:r>
              <w:proofErr w:type="spellStart"/>
              <w:r w:rsidRPr="00072A65">
                <w:rPr>
                  <w:rStyle w:val="Hyperlink"/>
                  <w:rFonts w:ascii="Times New Roman" w:eastAsia="Times New Roman" w:hAnsi="Times New Roman"/>
                </w:rPr>
                <w:t>av</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alle</w:t>
              </w:r>
              <w:proofErr w:type="spellEnd"/>
              <w:r w:rsidRPr="00072A65">
                <w:rPr>
                  <w:rStyle w:val="Hyperlink"/>
                  <w:rFonts w:ascii="Times New Roman" w:eastAsia="Times New Roman" w:hAnsi="Times New Roman"/>
                </w:rPr>
                <w:t xml:space="preserve"> de </w:t>
              </w:r>
              <w:proofErr w:type="spellStart"/>
              <w:r w:rsidRPr="00072A65">
                <w:rPr>
                  <w:rStyle w:val="Hyperlink"/>
                  <w:rFonts w:ascii="Times New Roman" w:eastAsia="Times New Roman" w:hAnsi="Times New Roman"/>
                </w:rPr>
                <w:t>store</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valutaene</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så</w:t>
              </w:r>
              <w:proofErr w:type="spellEnd"/>
              <w:r w:rsidRPr="00072A65">
                <w:rPr>
                  <w:rStyle w:val="Hyperlink"/>
                  <w:rFonts w:ascii="Times New Roman" w:eastAsia="Times New Roman" w:hAnsi="Times New Roman"/>
                </w:rPr>
                <w:t xml:space="preserve"> </w:t>
              </w:r>
              <w:proofErr w:type="spellStart"/>
              <w:r w:rsidRPr="00072A65">
                <w:rPr>
                  <w:rStyle w:val="Hyperlink"/>
                  <w:rFonts w:ascii="Times New Roman" w:eastAsia="Times New Roman" w:hAnsi="Times New Roman"/>
                </w:rPr>
                <w:t>langt</w:t>
              </w:r>
              <w:proofErr w:type="spellEnd"/>
              <w:r w:rsidRPr="00072A65">
                <w:rPr>
                  <w:rStyle w:val="Hyperlink"/>
                  <w:rFonts w:ascii="Times New Roman" w:eastAsia="Times New Roman" w:hAnsi="Times New Roman"/>
                </w:rPr>
                <w:t xml:space="preserve"> i </w:t>
              </w:r>
              <w:proofErr w:type="spellStart"/>
              <w:r w:rsidRPr="00072A65">
                <w:rPr>
                  <w:rStyle w:val="Hyperlink"/>
                  <w:rFonts w:ascii="Times New Roman" w:eastAsia="Times New Roman" w:hAnsi="Times New Roman"/>
                </w:rPr>
                <w:t>år</w:t>
              </w:r>
              <w:proofErr w:type="spellEnd"/>
            </w:hyperlink>
          </w:p>
        </w:tc>
        <w:tc>
          <w:tcPr>
            <w:tcW w:w="1436" w:type="dxa"/>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49A78620" w:rsidR="00F20C2C" w:rsidRDefault="00966BCC" w:rsidP="001E14EC">
            <w:pPr>
              <w:spacing w:after="0" w:line="240" w:lineRule="auto"/>
              <w:rPr>
                <w:rFonts w:ascii="Times New Roman" w:eastAsia="Times New Roman" w:hAnsi="Times New Roman"/>
              </w:rPr>
            </w:pPr>
            <w:r>
              <w:rPr>
                <w:rFonts w:ascii="Times New Roman" w:eastAsia="Times New Roman" w:hAnsi="Times New Roman"/>
              </w:rPr>
              <w:t>2026 02 2</w:t>
            </w:r>
            <w:r w:rsidR="00B50C2B">
              <w:rPr>
                <w:rFonts w:ascii="Times New Roman" w:eastAsia="Times New Roman" w:hAnsi="Times New Roman"/>
              </w:rPr>
              <w:t>2</w:t>
            </w:r>
          </w:p>
        </w:tc>
        <w:tc>
          <w:tcPr>
            <w:tcW w:w="5811" w:type="dxa"/>
            <w:tcMar>
              <w:top w:w="29" w:type="dxa"/>
              <w:left w:w="115" w:type="dxa"/>
              <w:bottom w:w="29" w:type="dxa"/>
              <w:right w:w="115" w:type="dxa"/>
            </w:tcMar>
          </w:tcPr>
          <w:p w14:paraId="0E48DAE8" w14:textId="362A0567" w:rsidR="00F20C2C" w:rsidRPr="009C37F3" w:rsidRDefault="00B50C2B" w:rsidP="00B50C2B">
            <w:pPr>
              <w:spacing w:after="0" w:line="240" w:lineRule="auto"/>
              <w:jc w:val="both"/>
              <w:rPr>
                <w:rFonts w:ascii="Times New Roman" w:eastAsia="Times New Roman" w:hAnsi="Times New Roman"/>
              </w:rPr>
            </w:pPr>
            <w:r w:rsidRPr="00B50C2B">
              <w:rPr>
                <w:rFonts w:ascii="Times New Roman" w:eastAsia="Times New Roman" w:hAnsi="Times New Roman"/>
              </w:rPr>
              <w:t>Norvegijos darbo ir gerovės tarnyba NAV pranešė, kad vasarį nedarbo lygis išliko stabilus – 2,1 proc. darbo jėgos. Sezoniškai pakoregavus duomenis, visiškai bedarbių buvo 62 112 – 533 mažiau nei sausį.</w:t>
            </w:r>
            <w:r>
              <w:rPr>
                <w:rFonts w:ascii="Times New Roman" w:eastAsia="Times New Roman" w:hAnsi="Times New Roman"/>
              </w:rPr>
              <w:t xml:space="preserve"> </w:t>
            </w:r>
            <w:r w:rsidRPr="00B50C2B">
              <w:rPr>
                <w:rFonts w:ascii="Times New Roman" w:eastAsia="Times New Roman" w:hAnsi="Times New Roman"/>
              </w:rPr>
              <w:t>Ypač didelė darbuotojų paklausa išlieka sveikatos sektoriuje – slaugytojams ir sveikatos priežiūros specialistams, kur nedarbo lygis žemas.</w:t>
            </w:r>
            <w:r>
              <w:rPr>
                <w:rFonts w:ascii="Times New Roman" w:eastAsia="Times New Roman" w:hAnsi="Times New Roman"/>
              </w:rPr>
              <w:t xml:space="preserve"> </w:t>
            </w:r>
            <w:r w:rsidRPr="00B50C2B">
              <w:rPr>
                <w:rFonts w:ascii="Times New Roman" w:eastAsia="Times New Roman" w:hAnsi="Times New Roman"/>
              </w:rPr>
              <w:t>Iš viso, įskaitant iš dalies bedarbius ir dalyvaujančius užimtumo programose, spalį buvo registruota 103 900 darbo ieškančių asmenų – tai sudaro 3,4 proc. darbo jėgos.</w:t>
            </w:r>
          </w:p>
        </w:tc>
        <w:tc>
          <w:tcPr>
            <w:tcW w:w="2268" w:type="dxa"/>
            <w:tcMar>
              <w:top w:w="29" w:type="dxa"/>
              <w:left w:w="115" w:type="dxa"/>
              <w:bottom w:w="29" w:type="dxa"/>
              <w:right w:w="115" w:type="dxa"/>
            </w:tcMar>
          </w:tcPr>
          <w:p w14:paraId="1C02B05A" w14:textId="0948BEBD" w:rsidR="00F20C2C" w:rsidRPr="009C37F3" w:rsidRDefault="00B50C2B" w:rsidP="001E14EC">
            <w:pPr>
              <w:spacing w:after="0" w:line="240" w:lineRule="auto"/>
              <w:rPr>
                <w:rFonts w:ascii="Times New Roman" w:eastAsia="Times New Roman" w:hAnsi="Times New Roman"/>
              </w:rPr>
            </w:pPr>
            <w:hyperlink r:id="rId19" w:history="1">
              <w:r w:rsidRPr="00B50C2B">
                <w:rPr>
                  <w:rStyle w:val="Hyperlink"/>
                  <w:rFonts w:ascii="Times New Roman" w:eastAsia="Times New Roman" w:hAnsi="Times New Roman"/>
                </w:rPr>
                <w:t xml:space="preserve">NAV: </w:t>
              </w:r>
              <w:proofErr w:type="spellStart"/>
              <w:r w:rsidRPr="00B50C2B">
                <w:rPr>
                  <w:rStyle w:val="Hyperlink"/>
                  <w:rFonts w:ascii="Times New Roman" w:eastAsia="Times New Roman" w:hAnsi="Times New Roman"/>
                </w:rPr>
                <w:t>Unemployment</w:t>
              </w:r>
              <w:proofErr w:type="spellEnd"/>
              <w:r w:rsidRPr="00B50C2B">
                <w:rPr>
                  <w:rStyle w:val="Hyperlink"/>
                  <w:rFonts w:ascii="Times New Roman" w:eastAsia="Times New Roman" w:hAnsi="Times New Roman"/>
                </w:rPr>
                <w:t xml:space="preserve"> </w:t>
              </w:r>
              <w:proofErr w:type="spellStart"/>
              <w:r w:rsidRPr="00B50C2B">
                <w:rPr>
                  <w:rStyle w:val="Hyperlink"/>
                  <w:rFonts w:ascii="Times New Roman" w:eastAsia="Times New Roman" w:hAnsi="Times New Roman"/>
                </w:rPr>
                <w:t>stable</w:t>
              </w:r>
              <w:proofErr w:type="spellEnd"/>
              <w:r w:rsidRPr="00B50C2B">
                <w:rPr>
                  <w:rStyle w:val="Hyperlink"/>
                  <w:rFonts w:ascii="Times New Roman" w:eastAsia="Times New Roman" w:hAnsi="Times New Roman"/>
                </w:rPr>
                <w:t xml:space="preserve"> at 2.1 per </w:t>
              </w:r>
              <w:proofErr w:type="spellStart"/>
              <w:r w:rsidRPr="00B50C2B">
                <w:rPr>
                  <w:rStyle w:val="Hyperlink"/>
                  <w:rFonts w:ascii="Times New Roman" w:eastAsia="Times New Roman" w:hAnsi="Times New Roman"/>
                </w:rPr>
                <w:t>cent</w:t>
              </w:r>
              <w:proofErr w:type="spellEnd"/>
              <w:r w:rsidRPr="00B50C2B">
                <w:rPr>
                  <w:rStyle w:val="Hyperlink"/>
                  <w:rFonts w:ascii="Times New Roman" w:eastAsia="Times New Roman" w:hAnsi="Times New Roman"/>
                </w:rPr>
                <w:t xml:space="preserve"> </w:t>
              </w:r>
              <w:proofErr w:type="spellStart"/>
              <w:r w:rsidRPr="00B50C2B">
                <w:rPr>
                  <w:rStyle w:val="Hyperlink"/>
                  <w:rFonts w:ascii="Times New Roman" w:eastAsia="Times New Roman" w:hAnsi="Times New Roman"/>
                </w:rPr>
                <w:t>in</w:t>
              </w:r>
              <w:proofErr w:type="spellEnd"/>
              <w:r w:rsidRPr="00B50C2B">
                <w:rPr>
                  <w:rStyle w:val="Hyperlink"/>
                  <w:rFonts w:ascii="Times New Roman" w:eastAsia="Times New Roman" w:hAnsi="Times New Roman"/>
                </w:rPr>
                <w:t xml:space="preserve"> </w:t>
              </w:r>
              <w:proofErr w:type="spellStart"/>
              <w:r w:rsidRPr="00B50C2B">
                <w:rPr>
                  <w:rStyle w:val="Hyperlink"/>
                  <w:rFonts w:ascii="Times New Roman" w:eastAsia="Times New Roman" w:hAnsi="Times New Roman"/>
                </w:rPr>
                <w:t>February</w:t>
              </w:r>
              <w:proofErr w:type="spellEnd"/>
              <w:r w:rsidRPr="00B50C2B">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3746C733"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B4658B">
        <w:rPr>
          <w:rFonts w:ascii="Times New Roman" w:eastAsia="Times New Roman" w:hAnsi="Times New Roman"/>
        </w:rPr>
        <w:t xml:space="preserve">€1= </w:t>
      </w:r>
      <w:r w:rsidR="00EC0E6E" w:rsidRPr="00EC0E6E">
        <w:rPr>
          <w:rFonts w:ascii="Times New Roman" w:eastAsia="Times New Roman" w:hAnsi="Times New Roman"/>
        </w:rPr>
        <w:t>11.268NOK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20"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p w14:paraId="59920A38" w14:textId="77777777" w:rsidR="00F92CBA" w:rsidRPr="00F50348" w:rsidRDefault="00F92CBA" w:rsidP="00F92CBA">
      <w:pPr>
        <w:spacing w:after="0" w:line="240" w:lineRule="auto"/>
        <w:rPr>
          <w:rFonts w:ascii="Times New Roman" w:eastAsia="Times New Roman" w:hAnsi="Times New Roman"/>
        </w:rPr>
      </w:pPr>
    </w:p>
    <w:p w14:paraId="253E5D05" w14:textId="12C16D7A" w:rsidR="0023658A" w:rsidRPr="00FF65B6" w:rsidRDefault="0023658A" w:rsidP="003E1B80">
      <w:pPr>
        <w:pBdr>
          <w:top w:val="nil"/>
          <w:left w:val="nil"/>
          <w:bottom w:val="nil"/>
          <w:right w:val="nil"/>
          <w:between w:val="nil"/>
        </w:pBdr>
        <w:spacing w:after="0" w:line="240" w:lineRule="auto"/>
        <w:rPr>
          <w:rFonts w:ascii="Times New Roman" w:eastAsia="Times New Roman" w:hAnsi="Times New Roman"/>
          <w:lang w:val="en-US"/>
        </w:rPr>
      </w:pPr>
    </w:p>
    <w:sectPr w:rsidR="0023658A" w:rsidRPr="00FF65B6">
      <w:footerReference w:type="default" r:id="rId21"/>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2664"/>
    <w:rsid w:val="00005561"/>
    <w:rsid w:val="000055CF"/>
    <w:rsid w:val="000105DA"/>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2A65"/>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C4A1E"/>
    <w:rsid w:val="001D0F0D"/>
    <w:rsid w:val="001D1490"/>
    <w:rsid w:val="001D2912"/>
    <w:rsid w:val="001D5450"/>
    <w:rsid w:val="001E14EC"/>
    <w:rsid w:val="001E213D"/>
    <w:rsid w:val="001E4F0B"/>
    <w:rsid w:val="001E5C73"/>
    <w:rsid w:val="001E6FB0"/>
    <w:rsid w:val="001F0C13"/>
    <w:rsid w:val="001F12BC"/>
    <w:rsid w:val="001F1CEE"/>
    <w:rsid w:val="001F5B4F"/>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7567"/>
    <w:rsid w:val="002D13D8"/>
    <w:rsid w:val="002D42F8"/>
    <w:rsid w:val="002D495E"/>
    <w:rsid w:val="002D6000"/>
    <w:rsid w:val="002D6883"/>
    <w:rsid w:val="002E1878"/>
    <w:rsid w:val="002E4FB7"/>
    <w:rsid w:val="002F0320"/>
    <w:rsid w:val="002F0E13"/>
    <w:rsid w:val="002F1AF8"/>
    <w:rsid w:val="002F1DA3"/>
    <w:rsid w:val="002F2A06"/>
    <w:rsid w:val="002F2AA1"/>
    <w:rsid w:val="002F2EDE"/>
    <w:rsid w:val="002F3D3A"/>
    <w:rsid w:val="002F456D"/>
    <w:rsid w:val="002F4A3E"/>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33E"/>
    <w:rsid w:val="003B1687"/>
    <w:rsid w:val="003B3CC9"/>
    <w:rsid w:val="003B4FF0"/>
    <w:rsid w:val="003B62EE"/>
    <w:rsid w:val="003B6A8A"/>
    <w:rsid w:val="003B739C"/>
    <w:rsid w:val="003C41B7"/>
    <w:rsid w:val="003D1686"/>
    <w:rsid w:val="003D20B2"/>
    <w:rsid w:val="003D2238"/>
    <w:rsid w:val="003D256C"/>
    <w:rsid w:val="003D4632"/>
    <w:rsid w:val="003D780C"/>
    <w:rsid w:val="003E0EBA"/>
    <w:rsid w:val="003E1B80"/>
    <w:rsid w:val="003E5B66"/>
    <w:rsid w:val="003F1144"/>
    <w:rsid w:val="003F64C7"/>
    <w:rsid w:val="0040009E"/>
    <w:rsid w:val="004044F1"/>
    <w:rsid w:val="00405B61"/>
    <w:rsid w:val="00411919"/>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7B0"/>
    <w:rsid w:val="00504987"/>
    <w:rsid w:val="00504D66"/>
    <w:rsid w:val="0050504B"/>
    <w:rsid w:val="00507FAA"/>
    <w:rsid w:val="0051260B"/>
    <w:rsid w:val="00514704"/>
    <w:rsid w:val="00520FC6"/>
    <w:rsid w:val="00521F8A"/>
    <w:rsid w:val="00522FE1"/>
    <w:rsid w:val="00525A66"/>
    <w:rsid w:val="00526972"/>
    <w:rsid w:val="005279E7"/>
    <w:rsid w:val="00530E57"/>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22B4"/>
    <w:rsid w:val="00682893"/>
    <w:rsid w:val="00684DAC"/>
    <w:rsid w:val="006856E3"/>
    <w:rsid w:val="006858FB"/>
    <w:rsid w:val="00687239"/>
    <w:rsid w:val="00687409"/>
    <w:rsid w:val="006874F6"/>
    <w:rsid w:val="006900BE"/>
    <w:rsid w:val="00690610"/>
    <w:rsid w:val="0069395D"/>
    <w:rsid w:val="00693F3D"/>
    <w:rsid w:val="00694D85"/>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35A0"/>
    <w:rsid w:val="00744B49"/>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7962"/>
    <w:rsid w:val="00897A90"/>
    <w:rsid w:val="008A04D5"/>
    <w:rsid w:val="008A055A"/>
    <w:rsid w:val="008A0F63"/>
    <w:rsid w:val="008A192B"/>
    <w:rsid w:val="008A2354"/>
    <w:rsid w:val="008A27DD"/>
    <w:rsid w:val="008A2A96"/>
    <w:rsid w:val="008A3C9F"/>
    <w:rsid w:val="008A4FD2"/>
    <w:rsid w:val="008B3037"/>
    <w:rsid w:val="008B6955"/>
    <w:rsid w:val="008C134A"/>
    <w:rsid w:val="008C2168"/>
    <w:rsid w:val="008C4A86"/>
    <w:rsid w:val="008C647A"/>
    <w:rsid w:val="008C7646"/>
    <w:rsid w:val="008D0B18"/>
    <w:rsid w:val="008D18E7"/>
    <w:rsid w:val="008D1FD6"/>
    <w:rsid w:val="008D3023"/>
    <w:rsid w:val="008D40AA"/>
    <w:rsid w:val="008D454B"/>
    <w:rsid w:val="008E0CD6"/>
    <w:rsid w:val="008E2185"/>
    <w:rsid w:val="008E23CC"/>
    <w:rsid w:val="008E49FE"/>
    <w:rsid w:val="008E5192"/>
    <w:rsid w:val="008E5F79"/>
    <w:rsid w:val="008F60F6"/>
    <w:rsid w:val="008F7913"/>
    <w:rsid w:val="00904C4D"/>
    <w:rsid w:val="009051BB"/>
    <w:rsid w:val="00905700"/>
    <w:rsid w:val="00905E95"/>
    <w:rsid w:val="00906D8A"/>
    <w:rsid w:val="00906F0A"/>
    <w:rsid w:val="00911D9C"/>
    <w:rsid w:val="00912BDE"/>
    <w:rsid w:val="009134F7"/>
    <w:rsid w:val="009155C2"/>
    <w:rsid w:val="00916A0E"/>
    <w:rsid w:val="00916BA8"/>
    <w:rsid w:val="00917BA5"/>
    <w:rsid w:val="00917E65"/>
    <w:rsid w:val="00917E88"/>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66BCC"/>
    <w:rsid w:val="00970807"/>
    <w:rsid w:val="009738A2"/>
    <w:rsid w:val="00974B7F"/>
    <w:rsid w:val="00977F87"/>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620D"/>
    <w:rsid w:val="00A26EDD"/>
    <w:rsid w:val="00A31B27"/>
    <w:rsid w:val="00A32899"/>
    <w:rsid w:val="00A33466"/>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6735"/>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C2B"/>
    <w:rsid w:val="00B50F67"/>
    <w:rsid w:val="00B50FC1"/>
    <w:rsid w:val="00B5189B"/>
    <w:rsid w:val="00B532AB"/>
    <w:rsid w:val="00B53B7F"/>
    <w:rsid w:val="00B560BB"/>
    <w:rsid w:val="00B560E5"/>
    <w:rsid w:val="00B5762A"/>
    <w:rsid w:val="00B5775F"/>
    <w:rsid w:val="00B60748"/>
    <w:rsid w:val="00B6153B"/>
    <w:rsid w:val="00B621D1"/>
    <w:rsid w:val="00B64065"/>
    <w:rsid w:val="00B649D0"/>
    <w:rsid w:val="00B67090"/>
    <w:rsid w:val="00B717FC"/>
    <w:rsid w:val="00B72169"/>
    <w:rsid w:val="00B732B6"/>
    <w:rsid w:val="00B73396"/>
    <w:rsid w:val="00B74707"/>
    <w:rsid w:val="00B757A3"/>
    <w:rsid w:val="00B759B6"/>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B75D0"/>
    <w:rsid w:val="00BC1167"/>
    <w:rsid w:val="00BC3724"/>
    <w:rsid w:val="00BC4FB6"/>
    <w:rsid w:val="00BC57E0"/>
    <w:rsid w:val="00BC6A13"/>
    <w:rsid w:val="00BC6A28"/>
    <w:rsid w:val="00BC7F68"/>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001F"/>
    <w:rsid w:val="00C524E8"/>
    <w:rsid w:val="00C526F9"/>
    <w:rsid w:val="00C54771"/>
    <w:rsid w:val="00C5526D"/>
    <w:rsid w:val="00C55B69"/>
    <w:rsid w:val="00C568A0"/>
    <w:rsid w:val="00C6246C"/>
    <w:rsid w:val="00C62D32"/>
    <w:rsid w:val="00C62F40"/>
    <w:rsid w:val="00C63961"/>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0F8"/>
    <w:rsid w:val="00CF168E"/>
    <w:rsid w:val="00CF172E"/>
    <w:rsid w:val="00CF5C63"/>
    <w:rsid w:val="00CF72AA"/>
    <w:rsid w:val="00D00B47"/>
    <w:rsid w:val="00D04457"/>
    <w:rsid w:val="00D0586B"/>
    <w:rsid w:val="00D0796F"/>
    <w:rsid w:val="00D12088"/>
    <w:rsid w:val="00D13390"/>
    <w:rsid w:val="00D15022"/>
    <w:rsid w:val="00D174C5"/>
    <w:rsid w:val="00D20679"/>
    <w:rsid w:val="00D21C07"/>
    <w:rsid w:val="00D21CCE"/>
    <w:rsid w:val="00D22474"/>
    <w:rsid w:val="00D22BFD"/>
    <w:rsid w:val="00D2451F"/>
    <w:rsid w:val="00D26B60"/>
    <w:rsid w:val="00D2716F"/>
    <w:rsid w:val="00D30560"/>
    <w:rsid w:val="00D34289"/>
    <w:rsid w:val="00D343E3"/>
    <w:rsid w:val="00D34CF2"/>
    <w:rsid w:val="00D36935"/>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0E6E"/>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E792B"/>
    <w:rsid w:val="00EF0D6A"/>
    <w:rsid w:val="00EF23D2"/>
    <w:rsid w:val="00EF5540"/>
    <w:rsid w:val="00EF5FD6"/>
    <w:rsid w:val="00F001DB"/>
    <w:rsid w:val="00F001F7"/>
    <w:rsid w:val="00F07574"/>
    <w:rsid w:val="00F11C17"/>
    <w:rsid w:val="00F11CC6"/>
    <w:rsid w:val="00F16AC8"/>
    <w:rsid w:val="00F17050"/>
    <w:rsid w:val="00F17DAE"/>
    <w:rsid w:val="00F200C8"/>
    <w:rsid w:val="00F20C2C"/>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753BA"/>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avelnews.no/nyheter/nordmenn-forsetter-a-prioritere-reiser-ifolge-finn-reise/" TargetMode="External"/><Relationship Id="rId18" Type="http://schemas.openxmlformats.org/officeDocument/2006/relationships/hyperlink" Target="https://e24.no/boers-og-finans/i/5pGQMK/kronen-gjoer-det-best-av-alle-de-store-valutaene-saa-langt-i-aar"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nrk.no/innlandet/slik-skal-nammo-bruke-potetsprit-fra-toten-i-romfarten-1.17767409" TargetMode="External"/><Relationship Id="rId17" Type="http://schemas.openxmlformats.org/officeDocument/2006/relationships/hyperlink" Target="https://e24.no/norsk-oekonomi/i/Gx3a5Q/prisveksten-hoppet-til-3-6-prosent-i-januar" TargetMode="External"/><Relationship Id="rId2" Type="http://schemas.openxmlformats.org/officeDocument/2006/relationships/customXml" Target="../customXml/item2.xml"/><Relationship Id="rId16" Type="http://schemas.openxmlformats.org/officeDocument/2006/relationships/hyperlink" Target="https://e24.no/norsk-oekonomi/i/aJ7wdd/norsk-fastlandsoekonomi-vokste-1-8-prosent-i-2025" TargetMode="External"/><Relationship Id="rId20" Type="http://schemas.openxmlformats.org/officeDocument/2006/relationships/hyperlink" Target="mailto:neringa.urboniene@urm.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endringer-i-anskaffelsesloven-vedtatt-i-stortinget/id3149139/" TargetMode="External"/><Relationship Id="rId5" Type="http://schemas.openxmlformats.org/officeDocument/2006/relationships/settings" Target="settings.xml"/><Relationship Id="rId15" Type="http://schemas.openxmlformats.org/officeDocument/2006/relationships/hyperlink" Target="https://www.regjeringen.no/no/aktuelt/ny-side2/id3148954/" TargetMode="External"/><Relationship Id="rId23" Type="http://schemas.openxmlformats.org/officeDocument/2006/relationships/theme" Target="theme/theme1.xml"/><Relationship Id="rId10" Type="http://schemas.openxmlformats.org/officeDocument/2006/relationships/hyperlink" Target="https://www.regjeringen.no/no/aktuelt/industriforum-for-standardiserte-fartoy-inviterer-til-moter-og-innspill-til-mulighetskatalog/id3147884/" TargetMode="External"/><Relationship Id="rId19" Type="http://schemas.openxmlformats.org/officeDocument/2006/relationships/hyperlink" Target="https://e24.no/norsk-oekonomi/i/gkEL5k/nav-ledigheten-stabil-paa-2-1-prosent-i-februar" TargetMode="External"/><Relationship Id="rId4" Type="http://schemas.openxmlformats.org/officeDocument/2006/relationships/styles" Target="styles.xml"/><Relationship Id="rId9" Type="http://schemas.openxmlformats.org/officeDocument/2006/relationships/hyperlink" Target="https://emaileditor.provisoevent.no/web-site/b8d5b12c-4e84-4541-8f22-8dd7170e8d97/pages" TargetMode="External"/><Relationship Id="rId14" Type="http://schemas.openxmlformats.org/officeDocument/2006/relationships/hyperlink" Target="https://nsm.no/getfile.php/1314962-1770365229/NSM/Filer/Dokumenter/Rapporter/Risiko%202026.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1511</Words>
  <Characters>11253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26</cp:revision>
  <cp:lastPrinted>2021-07-01T13:41:00Z</cp:lastPrinted>
  <dcterms:created xsi:type="dcterms:W3CDTF">2026-02-09T13:14:00Z</dcterms:created>
  <dcterms:modified xsi:type="dcterms:W3CDTF">2026-02-27T11:36:00Z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