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2B218FDC" w:rsidR="00AC04B6" w:rsidRPr="005205D6" w:rsidRDefault="00AC04B6" w:rsidP="00AC04B6">
      <w:pPr>
        <w:spacing w:line="360" w:lineRule="auto"/>
        <w:jc w:val="center"/>
        <w:rPr>
          <w:rFonts w:ascii="Times New Roman" w:eastAsia="Arial" w:hAnsi="Times New Roman"/>
          <w:sz w:val="24"/>
          <w:szCs w:val="24"/>
        </w:rPr>
      </w:pPr>
      <w:r w:rsidRPr="005205D6">
        <w:rPr>
          <w:rFonts w:ascii="Times New Roman" w:eastAsia="Arial" w:hAnsi="Times New Roman"/>
          <w:sz w:val="24"/>
          <w:szCs w:val="24"/>
        </w:rPr>
        <w:t>202</w:t>
      </w:r>
      <w:r w:rsidR="009B28F4" w:rsidRPr="005205D6">
        <w:rPr>
          <w:rFonts w:ascii="Times New Roman" w:eastAsia="Arial" w:hAnsi="Times New Roman"/>
          <w:sz w:val="24"/>
          <w:szCs w:val="24"/>
        </w:rPr>
        <w:t>5</w:t>
      </w:r>
      <w:r w:rsidRPr="005205D6">
        <w:rPr>
          <w:rFonts w:ascii="Times New Roman" w:eastAsia="Arial" w:hAnsi="Times New Roman"/>
          <w:sz w:val="24"/>
          <w:szCs w:val="24"/>
        </w:rPr>
        <w:t xml:space="preserve"> </w:t>
      </w:r>
      <w:r w:rsidR="005205D6" w:rsidRPr="005205D6">
        <w:rPr>
          <w:rFonts w:ascii="Times New Roman" w:eastAsia="Arial" w:hAnsi="Times New Roman"/>
          <w:sz w:val="24"/>
          <w:szCs w:val="24"/>
        </w:rPr>
        <w:t>11</w:t>
      </w:r>
      <w:r w:rsidRPr="005205D6">
        <w:rPr>
          <w:rFonts w:ascii="Times New Roman" w:eastAsia="Arial" w:hAnsi="Times New Roman"/>
          <w:sz w:val="24"/>
          <w:szCs w:val="24"/>
        </w:rPr>
        <w:t xml:space="preserve"> </w:t>
      </w:r>
      <w:r w:rsidR="005205D6" w:rsidRPr="005205D6">
        <w:rPr>
          <w:rFonts w:ascii="Times New Roman" w:eastAsia="Arial" w:hAnsi="Times New Roman"/>
          <w:sz w:val="24"/>
          <w:szCs w:val="24"/>
        </w:rPr>
        <w:t>28</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4579FDFA" w:rsidR="007226E9" w:rsidRPr="00F50348" w:rsidRDefault="005D087E" w:rsidP="007226E9">
            <w:pPr>
              <w:spacing w:after="0" w:line="240" w:lineRule="auto"/>
              <w:rPr>
                <w:rFonts w:ascii="Times New Roman" w:eastAsia="Times New Roman" w:hAnsi="Times New Roman"/>
              </w:rPr>
            </w:pPr>
            <w:r>
              <w:rPr>
                <w:rFonts w:ascii="Times New Roman" w:eastAsia="Times New Roman" w:hAnsi="Times New Roman"/>
              </w:rPr>
              <w:t>2025 11 19</w:t>
            </w:r>
          </w:p>
        </w:tc>
        <w:tc>
          <w:tcPr>
            <w:tcW w:w="5812" w:type="dxa"/>
            <w:tcMar>
              <w:top w:w="29" w:type="dxa"/>
              <w:left w:w="115" w:type="dxa"/>
              <w:bottom w:w="29" w:type="dxa"/>
              <w:right w:w="115" w:type="dxa"/>
            </w:tcMar>
          </w:tcPr>
          <w:p w14:paraId="125ED5B7" w14:textId="51D22E44" w:rsidR="007226E9" w:rsidRPr="00F50348" w:rsidRDefault="00DF427C" w:rsidP="00036A7E">
            <w:pPr>
              <w:pBdr>
                <w:top w:val="nil"/>
                <w:left w:val="nil"/>
                <w:bottom w:val="nil"/>
                <w:right w:val="nil"/>
                <w:between w:val="nil"/>
              </w:pBdr>
              <w:spacing w:after="0" w:line="240" w:lineRule="auto"/>
              <w:jc w:val="both"/>
              <w:rPr>
                <w:rFonts w:ascii="Times New Roman" w:eastAsia="Times New Roman" w:hAnsi="Times New Roman"/>
              </w:rPr>
            </w:pPr>
            <w:r w:rsidRPr="00DF427C">
              <w:rPr>
                <w:rFonts w:ascii="Times New Roman" w:eastAsia="Times New Roman" w:hAnsi="Times New Roman"/>
              </w:rPr>
              <w:t xml:space="preserve">Norvegija pradeda pirmąją investiciją per savo Ukrainos fondą, skirdama apie 100 mln. NOK M10 pramoninio parko Lvove, vakarų Ukrainoje, plėtrai. Ši investicija padidins sandėlių pajėgumus ir sukurs svarbų tranzito centrą prekių importui į Ukrainą ir eksportui į Europą, taip stiprinant šalies ekonomiką ir kuriant kelis tūkstančius darbo vietų. </w:t>
            </w:r>
          </w:p>
        </w:tc>
        <w:tc>
          <w:tcPr>
            <w:tcW w:w="2268" w:type="dxa"/>
            <w:tcBorders>
              <w:bottom w:val="single" w:sz="4" w:space="0" w:color="000000"/>
            </w:tcBorders>
            <w:tcMar>
              <w:top w:w="29" w:type="dxa"/>
              <w:left w:w="115" w:type="dxa"/>
              <w:bottom w:w="29" w:type="dxa"/>
              <w:right w:w="115" w:type="dxa"/>
            </w:tcMar>
          </w:tcPr>
          <w:p w14:paraId="00823EE7" w14:textId="768D8039" w:rsidR="007226E9" w:rsidRPr="00F50348" w:rsidRDefault="005D087E" w:rsidP="007226E9">
            <w:pPr>
              <w:spacing w:after="0" w:line="240" w:lineRule="auto"/>
              <w:rPr>
                <w:rFonts w:ascii="Times New Roman" w:eastAsia="Times New Roman" w:hAnsi="Times New Roman"/>
              </w:rPr>
            </w:pPr>
            <w:hyperlink r:id="rId9" w:history="1">
              <w:proofErr w:type="spellStart"/>
              <w:r w:rsidRPr="005D087E">
                <w:rPr>
                  <w:rStyle w:val="Hyperlink"/>
                  <w:rFonts w:ascii="Times New Roman" w:eastAsia="Times New Roman" w:hAnsi="Times New Roman"/>
                </w:rPr>
                <w:t>Norwegian</w:t>
              </w:r>
              <w:proofErr w:type="spellEnd"/>
              <w:r w:rsidRPr="005D087E">
                <w:rPr>
                  <w:rStyle w:val="Hyperlink"/>
                  <w:rFonts w:ascii="Times New Roman" w:eastAsia="Times New Roman" w:hAnsi="Times New Roman"/>
                </w:rPr>
                <w:t xml:space="preserve"> </w:t>
              </w:r>
              <w:proofErr w:type="spellStart"/>
              <w:r w:rsidRPr="005D087E">
                <w:rPr>
                  <w:rStyle w:val="Hyperlink"/>
                  <w:rFonts w:ascii="Times New Roman" w:eastAsia="Times New Roman" w:hAnsi="Times New Roman"/>
                </w:rPr>
                <w:t>Ukraine</w:t>
              </w:r>
              <w:proofErr w:type="spellEnd"/>
              <w:r w:rsidRPr="005D087E">
                <w:rPr>
                  <w:rStyle w:val="Hyperlink"/>
                  <w:rFonts w:ascii="Times New Roman" w:eastAsia="Times New Roman" w:hAnsi="Times New Roman"/>
                </w:rPr>
                <w:t xml:space="preserve"> </w:t>
              </w:r>
              <w:proofErr w:type="spellStart"/>
              <w:r w:rsidRPr="005D087E">
                <w:rPr>
                  <w:rStyle w:val="Hyperlink"/>
                  <w:rFonts w:ascii="Times New Roman" w:eastAsia="Times New Roman" w:hAnsi="Times New Roman"/>
                </w:rPr>
                <w:t>Fund</w:t>
              </w:r>
              <w:proofErr w:type="spellEnd"/>
              <w:r w:rsidRPr="005D087E">
                <w:rPr>
                  <w:rStyle w:val="Hyperlink"/>
                  <w:rFonts w:ascii="Times New Roman" w:eastAsia="Times New Roman" w:hAnsi="Times New Roman"/>
                </w:rPr>
                <w:t xml:space="preserve"> </w:t>
              </w:r>
              <w:proofErr w:type="spellStart"/>
              <w:r w:rsidRPr="005D087E">
                <w:rPr>
                  <w:rStyle w:val="Hyperlink"/>
                  <w:rFonts w:ascii="Times New Roman" w:eastAsia="Times New Roman" w:hAnsi="Times New Roman"/>
                </w:rPr>
                <w:t>makes</w:t>
              </w:r>
              <w:proofErr w:type="spellEnd"/>
              <w:r w:rsidRPr="005D087E">
                <w:rPr>
                  <w:rStyle w:val="Hyperlink"/>
                  <w:rFonts w:ascii="Times New Roman" w:eastAsia="Times New Roman" w:hAnsi="Times New Roman"/>
                </w:rPr>
                <w:t xml:space="preserve"> </w:t>
              </w:r>
              <w:proofErr w:type="spellStart"/>
              <w:r w:rsidRPr="005D087E">
                <w:rPr>
                  <w:rStyle w:val="Hyperlink"/>
                  <w:rFonts w:ascii="Times New Roman" w:eastAsia="Times New Roman" w:hAnsi="Times New Roman"/>
                </w:rPr>
                <w:t>first</w:t>
              </w:r>
              <w:proofErr w:type="spellEnd"/>
              <w:r w:rsidRPr="005D087E">
                <w:rPr>
                  <w:rStyle w:val="Hyperlink"/>
                  <w:rFonts w:ascii="Times New Roman" w:eastAsia="Times New Roman" w:hAnsi="Times New Roman"/>
                </w:rPr>
                <w:t xml:space="preserve"> </w:t>
              </w:r>
              <w:proofErr w:type="spellStart"/>
              <w:r w:rsidRPr="005D087E">
                <w:rPr>
                  <w:rStyle w:val="Hyperlink"/>
                  <w:rFonts w:ascii="Times New Roman" w:eastAsia="Times New Roman" w:hAnsi="Times New Roman"/>
                </w:rPr>
                <w:t>investment</w:t>
              </w:r>
              <w:proofErr w:type="spellEnd"/>
              <w:r w:rsidRPr="005D087E">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6ED9CA0E" w:rsidR="00FD157B" w:rsidRDefault="00235C44" w:rsidP="007226E9">
            <w:pPr>
              <w:spacing w:after="0" w:line="240" w:lineRule="auto"/>
              <w:rPr>
                <w:rFonts w:ascii="Times New Roman" w:eastAsia="Times New Roman" w:hAnsi="Times New Roman"/>
              </w:rPr>
            </w:pPr>
            <w:r>
              <w:rPr>
                <w:rFonts w:ascii="Times New Roman" w:eastAsia="Times New Roman" w:hAnsi="Times New Roman"/>
              </w:rPr>
              <w:t>2025 11 02</w:t>
            </w:r>
          </w:p>
        </w:tc>
        <w:tc>
          <w:tcPr>
            <w:tcW w:w="5812" w:type="dxa"/>
            <w:tcMar>
              <w:top w:w="29" w:type="dxa"/>
              <w:left w:w="115" w:type="dxa"/>
              <w:bottom w:w="29" w:type="dxa"/>
              <w:right w:w="115" w:type="dxa"/>
            </w:tcMar>
          </w:tcPr>
          <w:p w14:paraId="1FE1204A" w14:textId="3C4937B1" w:rsidR="00FD157B" w:rsidRDefault="00235C44" w:rsidP="00FD157B">
            <w:pPr>
              <w:pBdr>
                <w:top w:val="nil"/>
                <w:left w:val="nil"/>
                <w:bottom w:val="nil"/>
                <w:right w:val="nil"/>
                <w:between w:val="nil"/>
              </w:pBdr>
              <w:spacing w:after="0" w:line="240" w:lineRule="auto"/>
              <w:jc w:val="both"/>
              <w:rPr>
                <w:rFonts w:ascii="Times New Roman" w:eastAsia="Times New Roman" w:hAnsi="Times New Roman"/>
              </w:rPr>
            </w:pPr>
            <w:r w:rsidRPr="00235C44">
              <w:rPr>
                <w:rFonts w:ascii="Times New Roman" w:eastAsia="Times New Roman" w:hAnsi="Times New Roman"/>
              </w:rPr>
              <w:t>NHO nerimauja dėl ES „Pirk europietiškai“ politikos: NHO kelia susirūpinimą, kad ES akcentas „Pirk europietiškai“ ir „Europos pirmenybė“ gali atstumti Norvegiją ir kitas EEE šalis nuo svarbių pramonės ir finansavimo galimybių. Nepaisant EEE susitarimo, Norvegija nėra ES muitų sąjungoje, ir neaišku, ar „Pirk europietiškai“ apima EEE valstybes. NHO įspėja, kad ši neaiškumo būsena gali atstumti Norvegiją nuo bendrosios rinkos, ribojant prieigą prie ES konkursų, dotacijų ir pramoninių programų. NHO Briuselio biuras nustatė bent dešimt ES sistemų, kurios jau reikalauja Europos gamybos turinio, įskaitant Net-</w:t>
            </w:r>
            <w:proofErr w:type="spellStart"/>
            <w:r w:rsidRPr="00235C44">
              <w:rPr>
                <w:rFonts w:ascii="Times New Roman" w:eastAsia="Times New Roman" w:hAnsi="Times New Roman"/>
              </w:rPr>
              <w:t>Zero</w:t>
            </w:r>
            <w:proofErr w:type="spellEnd"/>
            <w:r w:rsidRPr="00235C44">
              <w:rPr>
                <w:rFonts w:ascii="Times New Roman" w:eastAsia="Times New Roman" w:hAnsi="Times New Roman"/>
              </w:rPr>
              <w:t xml:space="preserve"> </w:t>
            </w:r>
            <w:proofErr w:type="spellStart"/>
            <w:r w:rsidRPr="00235C44">
              <w:rPr>
                <w:rFonts w:ascii="Times New Roman" w:eastAsia="Times New Roman" w:hAnsi="Times New Roman"/>
              </w:rPr>
              <w:t>Industry</w:t>
            </w:r>
            <w:proofErr w:type="spellEnd"/>
            <w:r w:rsidRPr="00235C44">
              <w:rPr>
                <w:rFonts w:ascii="Times New Roman" w:eastAsia="Times New Roman" w:hAnsi="Times New Roman"/>
              </w:rPr>
              <w:t xml:space="preserve"> </w:t>
            </w:r>
            <w:proofErr w:type="spellStart"/>
            <w:r w:rsidRPr="00235C44">
              <w:rPr>
                <w:rFonts w:ascii="Times New Roman" w:eastAsia="Times New Roman" w:hAnsi="Times New Roman"/>
              </w:rPr>
              <w:t>Act</w:t>
            </w:r>
            <w:proofErr w:type="spellEnd"/>
            <w:r w:rsidRPr="00235C44">
              <w:rPr>
                <w:rFonts w:ascii="Times New Roman" w:eastAsia="Times New Roman" w:hAnsi="Times New Roman"/>
              </w:rPr>
              <w:t xml:space="preserve"> ir artėjantį </w:t>
            </w:r>
            <w:proofErr w:type="spellStart"/>
            <w:r w:rsidRPr="00235C44">
              <w:rPr>
                <w:rFonts w:ascii="Times New Roman" w:eastAsia="Times New Roman" w:hAnsi="Times New Roman"/>
              </w:rPr>
              <w:t>Industrial</w:t>
            </w:r>
            <w:proofErr w:type="spellEnd"/>
            <w:r w:rsidRPr="00235C44">
              <w:rPr>
                <w:rFonts w:ascii="Times New Roman" w:eastAsia="Times New Roman" w:hAnsi="Times New Roman"/>
              </w:rPr>
              <w:t xml:space="preserve"> </w:t>
            </w:r>
            <w:proofErr w:type="spellStart"/>
            <w:r w:rsidRPr="00235C44">
              <w:rPr>
                <w:rFonts w:ascii="Times New Roman" w:eastAsia="Times New Roman" w:hAnsi="Times New Roman"/>
              </w:rPr>
              <w:t>Accelerator</w:t>
            </w:r>
            <w:proofErr w:type="spellEnd"/>
            <w:r w:rsidRPr="00235C44">
              <w:rPr>
                <w:rFonts w:ascii="Times New Roman" w:eastAsia="Times New Roman" w:hAnsi="Times New Roman"/>
              </w:rPr>
              <w:t xml:space="preserve"> </w:t>
            </w:r>
            <w:proofErr w:type="spellStart"/>
            <w:r w:rsidRPr="00235C44">
              <w:rPr>
                <w:rFonts w:ascii="Times New Roman" w:eastAsia="Times New Roman" w:hAnsi="Times New Roman"/>
              </w:rPr>
              <w:t>Act</w:t>
            </w:r>
            <w:proofErr w:type="spellEnd"/>
            <w:r w:rsidRPr="00235C44">
              <w:rPr>
                <w:rFonts w:ascii="Times New Roman" w:eastAsia="Times New Roman" w:hAnsi="Times New Roman"/>
              </w:rPr>
              <w:t xml:space="preserve">. NHO generalinis direktorius Ole Erik </w:t>
            </w:r>
            <w:proofErr w:type="spellStart"/>
            <w:r w:rsidRPr="00235C44">
              <w:rPr>
                <w:rFonts w:ascii="Times New Roman" w:eastAsia="Times New Roman" w:hAnsi="Times New Roman"/>
              </w:rPr>
              <w:t>Almlid</w:t>
            </w:r>
            <w:proofErr w:type="spellEnd"/>
            <w:r w:rsidRPr="00235C44">
              <w:rPr>
                <w:rFonts w:ascii="Times New Roman" w:eastAsia="Times New Roman" w:hAnsi="Times New Roman"/>
              </w:rPr>
              <w:t xml:space="preserve"> ragina vyriausybę užtikrinti, kad Norvegijos įmonės būtų „viduje“ šių iniciatyvų.</w:t>
            </w:r>
          </w:p>
        </w:tc>
        <w:tc>
          <w:tcPr>
            <w:tcW w:w="2268" w:type="dxa"/>
            <w:tcBorders>
              <w:bottom w:val="single" w:sz="4" w:space="0" w:color="000000"/>
            </w:tcBorders>
            <w:tcMar>
              <w:top w:w="29" w:type="dxa"/>
              <w:left w:w="115" w:type="dxa"/>
              <w:bottom w:w="29" w:type="dxa"/>
              <w:right w:w="115" w:type="dxa"/>
            </w:tcMar>
          </w:tcPr>
          <w:p w14:paraId="1AA06A5C" w14:textId="693B86E8" w:rsidR="00FD157B" w:rsidRPr="00036A7E" w:rsidRDefault="00235C44" w:rsidP="007226E9">
            <w:pPr>
              <w:spacing w:after="0" w:line="240" w:lineRule="auto"/>
              <w:rPr>
                <w:rFonts w:ascii="Times New Roman" w:eastAsia="Times New Roman" w:hAnsi="Times New Roman"/>
              </w:rPr>
            </w:pPr>
            <w:r w:rsidRPr="00235C44">
              <w:rPr>
                <w:rFonts w:ascii="Times New Roman" w:eastAsia="Times New Roman" w:hAnsi="Times New Roman"/>
                <w:lang w:val="en-GB"/>
              </w:rPr>
              <w:t>Da 1/11 p7</w:t>
            </w:r>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5008BB25" w:rsidR="00F16AC8" w:rsidRPr="00F50348" w:rsidRDefault="00235C44" w:rsidP="00F16AC8">
            <w:pPr>
              <w:spacing w:after="0" w:line="240" w:lineRule="auto"/>
              <w:rPr>
                <w:rFonts w:ascii="Times New Roman" w:eastAsia="Times New Roman" w:hAnsi="Times New Roman"/>
              </w:rPr>
            </w:pPr>
            <w:r>
              <w:rPr>
                <w:rFonts w:ascii="Times New Roman" w:eastAsia="Times New Roman" w:hAnsi="Times New Roman"/>
              </w:rPr>
              <w:t>2025 11 06</w:t>
            </w:r>
          </w:p>
        </w:tc>
        <w:tc>
          <w:tcPr>
            <w:tcW w:w="5811" w:type="dxa"/>
            <w:tcMar>
              <w:top w:w="29" w:type="dxa"/>
              <w:left w:w="115" w:type="dxa"/>
              <w:bottom w:w="29" w:type="dxa"/>
              <w:right w:w="115" w:type="dxa"/>
            </w:tcMar>
          </w:tcPr>
          <w:p w14:paraId="5023AE9D" w14:textId="3C1B0677" w:rsidR="00F16AC8" w:rsidRPr="00F50348" w:rsidRDefault="001163E6" w:rsidP="00E91522">
            <w:pPr>
              <w:spacing w:after="0" w:line="240" w:lineRule="auto"/>
              <w:jc w:val="both"/>
              <w:rPr>
                <w:rFonts w:ascii="Times New Roman" w:eastAsia="Times New Roman" w:hAnsi="Times New Roman"/>
              </w:rPr>
            </w:pPr>
            <w:r w:rsidRPr="001163E6">
              <w:rPr>
                <w:rFonts w:ascii="Times New Roman" w:eastAsia="Times New Roman" w:hAnsi="Times New Roman"/>
              </w:rPr>
              <w:t>Norvegijos pramonės įmonės iki 2034 m. planuoja investuoti bent 30 mlrd. NOK į žaliąją pertvarką. Didelę dalį šių išlaidų valstybė kompensuos per CO₂ kompensavimo schemą, kurios metinė vertė siekia apie 7 mlrd. NOK. Pagal šią programą įmonės privalo bent 40 % gautos paramos skirti klimato kaitos mažinimo ir energijos efektyvumo priemonėms. Norvegijos aplinkos agentūra jau patvirtino pirmuosius 25 veiksmų planus, sudarančius sąlygas naujoms investicijoms ir technologijų plėtrai. Nors ši schema kelia diskusijų, pramonės atstovai teigia, kad ji yra būtina siekiant užtikrinti tvarų vystymąsi, stiprinti konkurencingumą ir išlaikyti darbo vietas visoje šalyje.</w:t>
            </w:r>
          </w:p>
        </w:tc>
        <w:tc>
          <w:tcPr>
            <w:tcW w:w="2268" w:type="dxa"/>
            <w:tcMar>
              <w:top w:w="29" w:type="dxa"/>
              <w:left w:w="115" w:type="dxa"/>
              <w:bottom w:w="29" w:type="dxa"/>
              <w:right w:w="115" w:type="dxa"/>
            </w:tcMar>
          </w:tcPr>
          <w:p w14:paraId="03EEA052" w14:textId="281DBB11" w:rsidR="00F607A3" w:rsidRPr="00F50348" w:rsidRDefault="00235C44" w:rsidP="00F16AC8">
            <w:pPr>
              <w:spacing w:after="0" w:line="240" w:lineRule="auto"/>
              <w:rPr>
                <w:rFonts w:ascii="Times New Roman" w:eastAsia="Times New Roman" w:hAnsi="Times New Roman"/>
              </w:rPr>
            </w:pPr>
            <w:hyperlink r:id="rId10" w:history="1">
              <w:r w:rsidRPr="00235C44">
                <w:rPr>
                  <w:rStyle w:val="Hyperlink"/>
                  <w:rFonts w:ascii="Times New Roman" w:eastAsia="Times New Roman" w:hAnsi="Times New Roman"/>
                  <w:lang w:val="nb-NO"/>
                </w:rPr>
                <w:t>nrk.no</w:t>
              </w:r>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2646B1A5" w14:textId="77777777" w:rsidTr="0033090E">
        <w:trPr>
          <w:gridAfter w:val="1"/>
          <w:wAfter w:w="11" w:type="dxa"/>
          <w:trHeight w:val="216"/>
        </w:trPr>
        <w:tc>
          <w:tcPr>
            <w:tcW w:w="1419" w:type="dxa"/>
            <w:tcMar>
              <w:top w:w="29" w:type="dxa"/>
              <w:left w:w="115" w:type="dxa"/>
              <w:bottom w:w="29" w:type="dxa"/>
              <w:right w:w="115" w:type="dxa"/>
            </w:tcMar>
          </w:tcPr>
          <w:p w14:paraId="3B00E620" w14:textId="6D51FCA4" w:rsidR="00C41F26" w:rsidRDefault="00C41F26" w:rsidP="00C41F26">
            <w:pPr>
              <w:spacing w:after="0" w:line="240" w:lineRule="auto"/>
              <w:rPr>
                <w:rFonts w:ascii="Times New Roman" w:eastAsia="Times New Roman" w:hAnsi="Times New Roman"/>
              </w:rPr>
            </w:pPr>
          </w:p>
        </w:tc>
        <w:tc>
          <w:tcPr>
            <w:tcW w:w="5811" w:type="dxa"/>
            <w:tcMar>
              <w:top w:w="29" w:type="dxa"/>
              <w:left w:w="115" w:type="dxa"/>
              <w:bottom w:w="29" w:type="dxa"/>
              <w:right w:w="115" w:type="dxa"/>
            </w:tcMar>
          </w:tcPr>
          <w:p w14:paraId="2C89266E" w14:textId="2D889F3F" w:rsidR="00C41F26" w:rsidRPr="000C0456" w:rsidRDefault="00C41F26" w:rsidP="00ED13CD">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24940468" w14:textId="69C7B571" w:rsidR="00C41F26" w:rsidRDefault="00C41F26" w:rsidP="00C41F26">
            <w:pPr>
              <w:spacing w:after="0" w:line="240" w:lineRule="auto"/>
            </w:pPr>
          </w:p>
        </w:tc>
        <w:tc>
          <w:tcPr>
            <w:tcW w:w="1436" w:type="dxa"/>
            <w:tcMar>
              <w:top w:w="29" w:type="dxa"/>
              <w:left w:w="115" w:type="dxa"/>
              <w:bottom w:w="29" w:type="dxa"/>
              <w:right w:w="115" w:type="dxa"/>
            </w:tcMar>
          </w:tcPr>
          <w:p w14:paraId="5D79D755" w14:textId="77777777" w:rsidR="00C41F26" w:rsidRPr="00F50348" w:rsidRDefault="00C41F26" w:rsidP="00C41F26">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02658045" w:rsidR="00E951CD" w:rsidRDefault="004665DE" w:rsidP="00C41F26">
            <w:pPr>
              <w:spacing w:after="0" w:line="240" w:lineRule="auto"/>
              <w:rPr>
                <w:rFonts w:ascii="Times New Roman" w:eastAsia="Times New Roman" w:hAnsi="Times New Roman"/>
              </w:rPr>
            </w:pPr>
            <w:r>
              <w:rPr>
                <w:rFonts w:ascii="Times New Roman" w:eastAsia="Times New Roman" w:hAnsi="Times New Roman"/>
              </w:rPr>
              <w:t>2025 11 21</w:t>
            </w:r>
          </w:p>
        </w:tc>
        <w:tc>
          <w:tcPr>
            <w:tcW w:w="5811" w:type="dxa"/>
            <w:tcMar>
              <w:top w:w="29" w:type="dxa"/>
              <w:left w:w="115" w:type="dxa"/>
              <w:bottom w:w="29" w:type="dxa"/>
              <w:right w:w="115" w:type="dxa"/>
            </w:tcMar>
          </w:tcPr>
          <w:p w14:paraId="3CE6A65E" w14:textId="1F811CD9" w:rsidR="00E951CD" w:rsidRPr="003669E7" w:rsidRDefault="004665DE" w:rsidP="004665DE">
            <w:pPr>
              <w:spacing w:after="0" w:line="240" w:lineRule="auto"/>
              <w:jc w:val="both"/>
              <w:rPr>
                <w:rFonts w:ascii="Times New Roman" w:eastAsia="Times New Roman" w:hAnsi="Times New Roman"/>
              </w:rPr>
            </w:pPr>
            <w:r w:rsidRPr="004665DE">
              <w:rPr>
                <w:rFonts w:ascii="Times New Roman" w:eastAsia="Times New Roman" w:hAnsi="Times New Roman"/>
              </w:rPr>
              <w:t xml:space="preserve">Prekybos ir pramonės ministrė Cecilie </w:t>
            </w:r>
            <w:proofErr w:type="spellStart"/>
            <w:r w:rsidRPr="004665DE">
              <w:rPr>
                <w:rFonts w:ascii="Times New Roman" w:eastAsia="Times New Roman" w:hAnsi="Times New Roman"/>
              </w:rPr>
              <w:t>Myrseth</w:t>
            </w:r>
            <w:proofErr w:type="spellEnd"/>
            <w:r w:rsidRPr="004665DE">
              <w:rPr>
                <w:rFonts w:ascii="Times New Roman" w:eastAsia="Times New Roman" w:hAnsi="Times New Roman"/>
              </w:rPr>
              <w:t xml:space="preserve"> dalyvavo Europos verslo </w:t>
            </w:r>
            <w:proofErr w:type="spellStart"/>
            <w:r w:rsidRPr="004665DE">
              <w:rPr>
                <w:rFonts w:ascii="Times New Roman" w:eastAsia="Times New Roman" w:hAnsi="Times New Roman"/>
              </w:rPr>
              <w:t>samite</w:t>
            </w:r>
            <w:proofErr w:type="spellEnd"/>
            <w:r w:rsidRPr="004665DE">
              <w:rPr>
                <w:rFonts w:ascii="Times New Roman" w:eastAsia="Times New Roman" w:hAnsi="Times New Roman"/>
              </w:rPr>
              <w:t xml:space="preserve"> </w:t>
            </w:r>
            <w:r w:rsidRPr="004665DE">
              <w:rPr>
                <w:rFonts w:ascii="Times New Roman" w:eastAsia="Times New Roman" w:hAnsi="Times New Roman"/>
              </w:rPr>
              <w:t>Briuselyje. Ji pabrėžė, kad Šiaurės regiono pokyčiai daro Arktį vis svarbesnę Europos kosmoso saugumui.</w:t>
            </w:r>
            <w:r>
              <w:rPr>
                <w:rFonts w:ascii="Times New Roman" w:eastAsia="Times New Roman" w:hAnsi="Times New Roman"/>
              </w:rPr>
              <w:t xml:space="preserve"> </w:t>
            </w:r>
            <w:r w:rsidRPr="004665DE">
              <w:rPr>
                <w:rFonts w:ascii="Times New Roman" w:eastAsia="Times New Roman" w:hAnsi="Times New Roman"/>
              </w:rPr>
              <w:t xml:space="preserve">Ministrė išskyrė </w:t>
            </w:r>
            <w:proofErr w:type="spellStart"/>
            <w:r w:rsidRPr="004665DE">
              <w:rPr>
                <w:rFonts w:ascii="Times New Roman" w:eastAsia="Times New Roman" w:hAnsi="Times New Roman"/>
              </w:rPr>
              <w:t>Andøyą</w:t>
            </w:r>
            <w:proofErr w:type="spellEnd"/>
            <w:r w:rsidRPr="004665DE">
              <w:rPr>
                <w:rFonts w:ascii="Times New Roman" w:eastAsia="Times New Roman" w:hAnsi="Times New Roman"/>
              </w:rPr>
              <w:t xml:space="preserve"> kaip svarbų </w:t>
            </w:r>
            <w:proofErr w:type="spellStart"/>
            <w:r w:rsidRPr="004665DE">
              <w:rPr>
                <w:rFonts w:ascii="Times New Roman" w:eastAsia="Times New Roman" w:hAnsi="Times New Roman"/>
              </w:rPr>
              <w:t>kosmodromą</w:t>
            </w:r>
            <w:proofErr w:type="spellEnd"/>
            <w:r w:rsidRPr="004665DE">
              <w:rPr>
                <w:rFonts w:ascii="Times New Roman" w:eastAsia="Times New Roman" w:hAnsi="Times New Roman"/>
              </w:rPr>
              <w:t xml:space="preserve"> šiaurėje, kuris padeda Europai stebėti ir spręsti pasaulio iššūkius. Ji sakė, kad geopolitinis dėmesys juda į šiaurę, todėl Norvegijos patirtis Arkties regione yra naudinga visai Europai.</w:t>
            </w:r>
            <w:r>
              <w:rPr>
                <w:rFonts w:ascii="Times New Roman" w:eastAsia="Times New Roman" w:hAnsi="Times New Roman"/>
              </w:rPr>
              <w:t xml:space="preserve"> </w:t>
            </w:r>
            <w:r w:rsidRPr="004665DE">
              <w:rPr>
                <w:rFonts w:ascii="Times New Roman" w:eastAsia="Times New Roman" w:hAnsi="Times New Roman"/>
              </w:rPr>
              <w:t xml:space="preserve">Norvegija bendradarbiauja su ES kosmoso programose, pavyzdžiui, </w:t>
            </w:r>
            <w:proofErr w:type="spellStart"/>
            <w:r w:rsidRPr="004665DE">
              <w:rPr>
                <w:rFonts w:ascii="Times New Roman" w:eastAsia="Times New Roman" w:hAnsi="Times New Roman"/>
              </w:rPr>
              <w:t>Galileo</w:t>
            </w:r>
            <w:proofErr w:type="spellEnd"/>
            <w:r w:rsidRPr="004665DE">
              <w:rPr>
                <w:rFonts w:ascii="Times New Roman" w:eastAsia="Times New Roman" w:hAnsi="Times New Roman"/>
              </w:rPr>
              <w:t xml:space="preserve"> navigacijos ir </w:t>
            </w:r>
            <w:proofErr w:type="spellStart"/>
            <w:r w:rsidRPr="004665DE">
              <w:rPr>
                <w:rFonts w:ascii="Times New Roman" w:eastAsia="Times New Roman" w:hAnsi="Times New Roman"/>
              </w:rPr>
              <w:t>Copernicus</w:t>
            </w:r>
            <w:proofErr w:type="spellEnd"/>
            <w:r w:rsidRPr="004665DE">
              <w:rPr>
                <w:rFonts w:ascii="Times New Roman" w:eastAsia="Times New Roman" w:hAnsi="Times New Roman"/>
              </w:rPr>
              <w:t xml:space="preserve"> Žemės stebėjimo </w:t>
            </w:r>
            <w:r w:rsidRPr="004665DE">
              <w:rPr>
                <w:rFonts w:ascii="Times New Roman" w:eastAsia="Times New Roman" w:hAnsi="Times New Roman"/>
              </w:rPr>
              <w:lastRenderedPageBreak/>
              <w:t>programose. Tai padeda šaliai pasiruošti ekstremalioms situacijoms ir užtikrina saugumą.</w:t>
            </w:r>
            <w:r>
              <w:rPr>
                <w:rFonts w:ascii="Times New Roman" w:eastAsia="Times New Roman" w:hAnsi="Times New Roman"/>
              </w:rPr>
              <w:t xml:space="preserve"> </w:t>
            </w:r>
            <w:r w:rsidRPr="004665DE">
              <w:rPr>
                <w:rFonts w:ascii="Times New Roman" w:eastAsia="Times New Roman" w:hAnsi="Times New Roman"/>
              </w:rPr>
              <w:t>Ministrė pabrėžė, kad glaudesnis Norvegijos ir ES bendradarbiavimas kosmoso infrastruktūros srityje stiprins tiek Europos pasirengimą, tiek konkurencingumą.</w:t>
            </w:r>
          </w:p>
        </w:tc>
        <w:tc>
          <w:tcPr>
            <w:tcW w:w="2268" w:type="dxa"/>
            <w:tcMar>
              <w:top w:w="29" w:type="dxa"/>
              <w:left w:w="115" w:type="dxa"/>
              <w:bottom w:w="29" w:type="dxa"/>
              <w:right w:w="115" w:type="dxa"/>
            </w:tcMar>
          </w:tcPr>
          <w:p w14:paraId="77892EB3" w14:textId="70888748" w:rsidR="00E951CD" w:rsidRPr="00C63961" w:rsidRDefault="004665DE" w:rsidP="00C41F26">
            <w:pPr>
              <w:spacing w:after="0" w:line="240" w:lineRule="auto"/>
              <w:rPr>
                <w:rFonts w:ascii="Times New Roman" w:eastAsia="Times New Roman" w:hAnsi="Times New Roman"/>
              </w:rPr>
            </w:pPr>
            <w:hyperlink r:id="rId11" w:history="1">
              <w:r w:rsidRPr="004665DE">
                <w:rPr>
                  <w:rStyle w:val="Hyperlink"/>
                  <w:rFonts w:ascii="Times New Roman" w:eastAsia="Times New Roman" w:hAnsi="Times New Roman"/>
                </w:rPr>
                <w:t>"</w:t>
              </w:r>
              <w:proofErr w:type="spellStart"/>
              <w:r w:rsidRPr="004665DE">
                <w:rPr>
                  <w:rStyle w:val="Hyperlink"/>
                  <w:rFonts w:ascii="Times New Roman" w:eastAsia="Times New Roman" w:hAnsi="Times New Roman"/>
                </w:rPr>
                <w:t>Europe</w:t>
              </w:r>
              <w:proofErr w:type="spellEnd"/>
              <w:r w:rsidRPr="004665DE">
                <w:rPr>
                  <w:rStyle w:val="Hyperlink"/>
                  <w:rFonts w:ascii="Times New Roman" w:eastAsia="Times New Roman" w:hAnsi="Times New Roman"/>
                </w:rPr>
                <w:t xml:space="preserve"> </w:t>
              </w:r>
              <w:proofErr w:type="spellStart"/>
              <w:r w:rsidRPr="004665DE">
                <w:rPr>
                  <w:rStyle w:val="Hyperlink"/>
                  <w:rFonts w:ascii="Times New Roman" w:eastAsia="Times New Roman" w:hAnsi="Times New Roman"/>
                </w:rPr>
                <w:t>needs</w:t>
              </w:r>
              <w:proofErr w:type="spellEnd"/>
              <w:r w:rsidRPr="004665DE">
                <w:rPr>
                  <w:rStyle w:val="Hyperlink"/>
                  <w:rFonts w:ascii="Times New Roman" w:eastAsia="Times New Roman" w:hAnsi="Times New Roman"/>
                </w:rPr>
                <w:t xml:space="preserve"> </w:t>
              </w:r>
              <w:proofErr w:type="spellStart"/>
              <w:r w:rsidRPr="004665DE">
                <w:rPr>
                  <w:rStyle w:val="Hyperlink"/>
                  <w:rFonts w:ascii="Times New Roman" w:eastAsia="Times New Roman" w:hAnsi="Times New Roman"/>
                </w:rPr>
                <w:t>Norwegian</w:t>
              </w:r>
              <w:proofErr w:type="spellEnd"/>
              <w:r w:rsidRPr="004665DE">
                <w:rPr>
                  <w:rStyle w:val="Hyperlink"/>
                  <w:rFonts w:ascii="Times New Roman" w:eastAsia="Times New Roman" w:hAnsi="Times New Roman"/>
                </w:rPr>
                <w:t xml:space="preserve"> </w:t>
              </w:r>
              <w:proofErr w:type="spellStart"/>
              <w:r w:rsidRPr="004665DE">
                <w:rPr>
                  <w:rStyle w:val="Hyperlink"/>
                  <w:rFonts w:ascii="Times New Roman" w:eastAsia="Times New Roman" w:hAnsi="Times New Roman"/>
                </w:rPr>
                <w:t>space</w:t>
              </w:r>
              <w:proofErr w:type="spellEnd"/>
              <w:r w:rsidRPr="004665DE">
                <w:rPr>
                  <w:rStyle w:val="Hyperlink"/>
                  <w:rFonts w:ascii="Times New Roman" w:eastAsia="Times New Roman" w:hAnsi="Times New Roman"/>
                </w:rPr>
                <w:t xml:space="preserve"> </w:t>
              </w:r>
              <w:proofErr w:type="spellStart"/>
              <w:r w:rsidRPr="004665DE">
                <w:rPr>
                  <w:rStyle w:val="Hyperlink"/>
                  <w:rFonts w:ascii="Times New Roman" w:eastAsia="Times New Roman" w:hAnsi="Times New Roman"/>
                </w:rPr>
                <w:t>activities</w:t>
              </w:r>
              <w:proofErr w:type="spellEnd"/>
              <w:r w:rsidRPr="004665DE">
                <w:rPr>
                  <w:rStyle w:val="Hyperlink"/>
                  <w:rFonts w:ascii="Times New Roman" w:eastAsia="Times New Roman" w:hAnsi="Times New Roman"/>
                </w:rPr>
                <w:t>" - regjeringen.no</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072B466E" w:rsidR="003669E7" w:rsidRDefault="00212D4F" w:rsidP="00C41F26">
            <w:pPr>
              <w:spacing w:after="0" w:line="240" w:lineRule="auto"/>
              <w:rPr>
                <w:rFonts w:ascii="Times New Roman" w:eastAsia="Times New Roman" w:hAnsi="Times New Roman"/>
              </w:rPr>
            </w:pPr>
            <w:r>
              <w:rPr>
                <w:rFonts w:ascii="Times New Roman" w:eastAsia="Times New Roman" w:hAnsi="Times New Roman"/>
              </w:rPr>
              <w:t>2025 11 28</w:t>
            </w:r>
          </w:p>
        </w:tc>
        <w:tc>
          <w:tcPr>
            <w:tcW w:w="5811" w:type="dxa"/>
            <w:tcMar>
              <w:top w:w="29" w:type="dxa"/>
              <w:left w:w="115" w:type="dxa"/>
              <w:bottom w:w="29" w:type="dxa"/>
              <w:right w:w="115" w:type="dxa"/>
            </w:tcMar>
          </w:tcPr>
          <w:p w14:paraId="1E1AE540" w14:textId="3DFBB826" w:rsidR="00136D1F" w:rsidRPr="00F11CC6" w:rsidRDefault="00212D4F" w:rsidP="00212D4F">
            <w:pPr>
              <w:spacing w:after="0" w:line="240" w:lineRule="auto"/>
              <w:jc w:val="both"/>
              <w:rPr>
                <w:rFonts w:ascii="Times New Roman" w:eastAsia="Times New Roman" w:hAnsi="Times New Roman"/>
              </w:rPr>
            </w:pPr>
            <w:r w:rsidRPr="00212D4F">
              <w:rPr>
                <w:rFonts w:ascii="Times New Roman" w:eastAsia="Times New Roman" w:hAnsi="Times New Roman"/>
              </w:rPr>
              <w:t xml:space="preserve">Norvegija ir Europos kosmoso agentūra (ESA) pasirašė ketinimų protokolą dėl Arkties kosmoso centro įkūrimo </w:t>
            </w:r>
            <w:proofErr w:type="spellStart"/>
            <w:r w:rsidRPr="00212D4F">
              <w:rPr>
                <w:rFonts w:ascii="Times New Roman" w:eastAsia="Times New Roman" w:hAnsi="Times New Roman"/>
              </w:rPr>
              <w:t>Trumsėje</w:t>
            </w:r>
            <w:proofErr w:type="spellEnd"/>
            <w:r w:rsidRPr="00212D4F">
              <w:rPr>
                <w:rFonts w:ascii="Times New Roman" w:eastAsia="Times New Roman" w:hAnsi="Times New Roman"/>
              </w:rPr>
              <w:t xml:space="preserve">. </w:t>
            </w:r>
            <w:r>
              <w:rPr>
                <w:rFonts w:ascii="Times New Roman" w:eastAsia="Times New Roman" w:hAnsi="Times New Roman"/>
              </w:rPr>
              <w:t>C</w:t>
            </w:r>
            <w:r w:rsidRPr="00212D4F">
              <w:rPr>
                <w:rFonts w:ascii="Times New Roman" w:eastAsia="Times New Roman" w:hAnsi="Times New Roman"/>
              </w:rPr>
              <w:t>entras atliks svarbų vaidmenį taikant kosmoso technologijas ryšių, duomenų stebėsenos ir navigacijos srityse.</w:t>
            </w:r>
            <w:r>
              <w:rPr>
                <w:rFonts w:ascii="Times New Roman" w:eastAsia="Times New Roman" w:hAnsi="Times New Roman"/>
              </w:rPr>
              <w:t xml:space="preserve"> </w:t>
            </w:r>
            <w:r w:rsidRPr="00212D4F">
              <w:rPr>
                <w:rFonts w:ascii="Times New Roman" w:eastAsia="Times New Roman" w:hAnsi="Times New Roman"/>
              </w:rPr>
              <w:t xml:space="preserve">Šiuo metu </w:t>
            </w:r>
            <w:proofErr w:type="spellStart"/>
            <w:r w:rsidRPr="00212D4F">
              <w:rPr>
                <w:rFonts w:ascii="Times New Roman" w:eastAsia="Times New Roman" w:hAnsi="Times New Roman"/>
              </w:rPr>
              <w:t>Trumsės</w:t>
            </w:r>
            <w:proofErr w:type="spellEnd"/>
            <w:r w:rsidRPr="00212D4F">
              <w:rPr>
                <w:rFonts w:ascii="Times New Roman" w:eastAsia="Times New Roman" w:hAnsi="Times New Roman"/>
              </w:rPr>
              <w:t xml:space="preserve"> bendrovėje KSAT jau dirba apie 500 specialistų, kasdien priimančių šimtus palydovinių vaizdų iš Šiaurinio pusrutulio į bazines stotis </w:t>
            </w:r>
            <w:proofErr w:type="spellStart"/>
            <w:r w:rsidRPr="00212D4F">
              <w:rPr>
                <w:rFonts w:ascii="Times New Roman" w:eastAsia="Times New Roman" w:hAnsi="Times New Roman"/>
              </w:rPr>
              <w:t>Tr</w:t>
            </w:r>
            <w:r>
              <w:rPr>
                <w:rFonts w:ascii="Times New Roman" w:eastAsia="Times New Roman" w:hAnsi="Times New Roman"/>
              </w:rPr>
              <w:t>u</w:t>
            </w:r>
            <w:r w:rsidRPr="00212D4F">
              <w:rPr>
                <w:rFonts w:ascii="Times New Roman" w:eastAsia="Times New Roman" w:hAnsi="Times New Roman"/>
              </w:rPr>
              <w:t>msėje</w:t>
            </w:r>
            <w:proofErr w:type="spellEnd"/>
            <w:r w:rsidRPr="00212D4F">
              <w:rPr>
                <w:rFonts w:ascii="Times New Roman" w:eastAsia="Times New Roman" w:hAnsi="Times New Roman"/>
              </w:rPr>
              <w:t xml:space="preserve"> ir Svalbarde. Norvegijos prekybos ir pramonės ministrė</w:t>
            </w:r>
            <w:r>
              <w:rPr>
                <w:rFonts w:ascii="Times New Roman" w:eastAsia="Times New Roman" w:hAnsi="Times New Roman"/>
              </w:rPr>
              <w:t xml:space="preserve"> </w:t>
            </w:r>
            <w:proofErr w:type="spellStart"/>
            <w:r w:rsidRPr="00212D4F">
              <w:rPr>
                <w:rFonts w:ascii="Times New Roman" w:eastAsia="Times New Roman" w:hAnsi="Times New Roman"/>
              </w:rPr>
              <w:t>Myrseth</w:t>
            </w:r>
            <w:proofErr w:type="spellEnd"/>
            <w:r w:rsidRPr="00212D4F">
              <w:rPr>
                <w:rFonts w:ascii="Times New Roman" w:eastAsia="Times New Roman" w:hAnsi="Times New Roman"/>
              </w:rPr>
              <w:t xml:space="preserve"> pabrėžė, jog Norvegija siekia būti viena iš lyderių formuojant Europos kosmoso veiklas Arktyje ir turi tam reikalingą infrastruktūrą – </w:t>
            </w:r>
            <w:proofErr w:type="spellStart"/>
            <w:r w:rsidRPr="00212D4F">
              <w:rPr>
                <w:rFonts w:ascii="Times New Roman" w:eastAsia="Times New Roman" w:hAnsi="Times New Roman"/>
              </w:rPr>
              <w:t>Andėjos</w:t>
            </w:r>
            <w:proofErr w:type="spellEnd"/>
            <w:r w:rsidRPr="00212D4F">
              <w:rPr>
                <w:rFonts w:ascii="Times New Roman" w:eastAsia="Times New Roman" w:hAnsi="Times New Roman"/>
              </w:rPr>
              <w:t xml:space="preserve"> </w:t>
            </w:r>
            <w:proofErr w:type="spellStart"/>
            <w:r w:rsidRPr="00212D4F">
              <w:rPr>
                <w:rFonts w:ascii="Times New Roman" w:eastAsia="Times New Roman" w:hAnsi="Times New Roman"/>
              </w:rPr>
              <w:t>kosmodromą</w:t>
            </w:r>
            <w:proofErr w:type="spellEnd"/>
            <w:r w:rsidRPr="00212D4F">
              <w:rPr>
                <w:rFonts w:ascii="Times New Roman" w:eastAsia="Times New Roman" w:hAnsi="Times New Roman"/>
              </w:rPr>
              <w:t xml:space="preserve"> bei Žemės stebėsenos kompetencijų centrą </w:t>
            </w:r>
            <w:proofErr w:type="spellStart"/>
            <w:r w:rsidRPr="00212D4F">
              <w:rPr>
                <w:rFonts w:ascii="Times New Roman" w:eastAsia="Times New Roman" w:hAnsi="Times New Roman"/>
              </w:rPr>
              <w:t>Trumsėje</w:t>
            </w:r>
            <w:proofErr w:type="spellEnd"/>
            <w:r w:rsidRPr="00212D4F">
              <w:rPr>
                <w:rFonts w:ascii="Times New Roman" w:eastAsia="Times New Roman" w:hAnsi="Times New Roman"/>
              </w:rPr>
              <w:t>. Planuojamas centras, anot jos, sustiprins esamus pajėgumus ir suteiks naują postūmį Norvegijos kosmoso pramonei, kuri jau sulaukia vis daugiau dėmesio Europoje.</w:t>
            </w:r>
          </w:p>
        </w:tc>
        <w:tc>
          <w:tcPr>
            <w:tcW w:w="2268" w:type="dxa"/>
            <w:tcMar>
              <w:top w:w="29" w:type="dxa"/>
              <w:left w:w="115" w:type="dxa"/>
              <w:bottom w:w="29" w:type="dxa"/>
              <w:right w:w="115" w:type="dxa"/>
            </w:tcMar>
          </w:tcPr>
          <w:p w14:paraId="08D997C1" w14:textId="0742037D" w:rsidR="003669E7" w:rsidRPr="00F50348" w:rsidRDefault="00212D4F" w:rsidP="00C41F26">
            <w:pPr>
              <w:spacing w:after="0" w:line="240" w:lineRule="auto"/>
              <w:rPr>
                <w:rFonts w:ascii="Times New Roman" w:eastAsia="Times New Roman" w:hAnsi="Times New Roman"/>
              </w:rPr>
            </w:pPr>
            <w:hyperlink r:id="rId12" w:history="1">
              <w:r w:rsidRPr="00212D4F">
                <w:rPr>
                  <w:rStyle w:val="Hyperlink"/>
                  <w:rFonts w:ascii="Times New Roman" w:eastAsia="Times New Roman" w:hAnsi="Times New Roman"/>
                  <w:lang w:val="nb-NO"/>
                </w:rPr>
                <w:t>nrk.no</w:t>
              </w:r>
            </w:hyperlink>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23D39CEC" w:rsidR="00C41F26" w:rsidRPr="00F50348" w:rsidRDefault="000C0456" w:rsidP="00C41F26">
            <w:pPr>
              <w:spacing w:after="0" w:line="240" w:lineRule="auto"/>
              <w:rPr>
                <w:rFonts w:ascii="Times New Roman" w:eastAsia="Times New Roman" w:hAnsi="Times New Roman"/>
              </w:rPr>
            </w:pPr>
            <w:r>
              <w:rPr>
                <w:rFonts w:ascii="Times New Roman" w:eastAsia="Times New Roman" w:hAnsi="Times New Roman"/>
              </w:rPr>
              <w:t>2025 11 20</w:t>
            </w:r>
          </w:p>
        </w:tc>
        <w:tc>
          <w:tcPr>
            <w:tcW w:w="5811" w:type="dxa"/>
            <w:tcMar>
              <w:top w:w="29" w:type="dxa"/>
              <w:left w:w="115" w:type="dxa"/>
              <w:bottom w:w="29" w:type="dxa"/>
              <w:right w:w="115" w:type="dxa"/>
            </w:tcMar>
          </w:tcPr>
          <w:p w14:paraId="565CB978" w14:textId="7E2D98EA"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 xml:space="preserve">2024 m. Norvegijos turizmo įmonės sukūrė 120,6 mlrd. NOK vertės – tai 3,9 mlrd. NOK arba 3,3 % daugiau nei 2023 m., rodo </w:t>
            </w:r>
            <w:r>
              <w:rPr>
                <w:rFonts w:ascii="Times New Roman" w:eastAsia="Times New Roman" w:hAnsi="Times New Roman"/>
              </w:rPr>
              <w:t>tyrimas</w:t>
            </w:r>
            <w:r w:rsidRPr="000C0456">
              <w:rPr>
                <w:rFonts w:ascii="Times New Roman" w:eastAsia="Times New Roman" w:hAnsi="Times New Roman"/>
              </w:rPr>
              <w:t>, atlikt</w:t>
            </w:r>
            <w:r>
              <w:rPr>
                <w:rFonts w:ascii="Times New Roman" w:eastAsia="Times New Roman" w:hAnsi="Times New Roman"/>
              </w:rPr>
              <w:t>as</w:t>
            </w:r>
            <w:r w:rsidRPr="000C0456">
              <w:rPr>
                <w:rFonts w:ascii="Times New Roman" w:eastAsia="Times New Roman" w:hAnsi="Times New Roman"/>
              </w:rPr>
              <w:t xml:space="preserve"> </w:t>
            </w:r>
            <w:proofErr w:type="spellStart"/>
            <w:r w:rsidRPr="000C0456">
              <w:rPr>
                <w:rFonts w:ascii="Times New Roman" w:eastAsia="Times New Roman" w:hAnsi="Times New Roman"/>
              </w:rPr>
              <w:t>Innovation</w:t>
            </w:r>
            <w:proofErr w:type="spellEnd"/>
            <w:r w:rsidRPr="000C0456">
              <w:rPr>
                <w:rFonts w:ascii="Times New Roman" w:eastAsia="Times New Roman" w:hAnsi="Times New Roman"/>
              </w:rPr>
              <w:t xml:space="preserve"> </w:t>
            </w:r>
            <w:proofErr w:type="spellStart"/>
            <w:r w:rsidRPr="000C0456">
              <w:rPr>
                <w:rFonts w:ascii="Times New Roman" w:eastAsia="Times New Roman" w:hAnsi="Times New Roman"/>
              </w:rPr>
              <w:t>Norway</w:t>
            </w:r>
            <w:proofErr w:type="spellEnd"/>
            <w:r w:rsidRPr="000C0456">
              <w:rPr>
                <w:rFonts w:ascii="Times New Roman" w:eastAsia="Times New Roman" w:hAnsi="Times New Roman"/>
              </w:rPr>
              <w:t xml:space="preserve"> užsakymu.</w:t>
            </w:r>
            <w:r>
              <w:rPr>
                <w:rFonts w:ascii="Times New Roman" w:eastAsia="Times New Roman" w:hAnsi="Times New Roman"/>
              </w:rPr>
              <w:t xml:space="preserve"> </w:t>
            </w:r>
            <w:r w:rsidRPr="000C0456">
              <w:rPr>
                <w:rFonts w:ascii="Times New Roman" w:eastAsia="Times New Roman" w:hAnsi="Times New Roman"/>
              </w:rPr>
              <w:t xml:space="preserve">„Turizmas stiprina savo poziciją kaip svarbi Norvegijos ekonomikos dalis. Rekordiniai rezultatai po sudėtingų pandemijos metų rodo didelį atsparumą ir gebėjimą prisitaikyti“, – teigia </w:t>
            </w:r>
            <w:proofErr w:type="spellStart"/>
            <w:r w:rsidRPr="000C0456">
              <w:rPr>
                <w:rFonts w:ascii="Times New Roman" w:eastAsia="Times New Roman" w:hAnsi="Times New Roman"/>
              </w:rPr>
              <w:t>Innovation</w:t>
            </w:r>
            <w:proofErr w:type="spellEnd"/>
            <w:r w:rsidRPr="000C0456">
              <w:rPr>
                <w:rFonts w:ascii="Times New Roman" w:eastAsia="Times New Roman" w:hAnsi="Times New Roman"/>
              </w:rPr>
              <w:t xml:space="preserve"> </w:t>
            </w:r>
            <w:proofErr w:type="spellStart"/>
            <w:r w:rsidRPr="000C0456">
              <w:rPr>
                <w:rFonts w:ascii="Times New Roman" w:eastAsia="Times New Roman" w:hAnsi="Times New Roman"/>
              </w:rPr>
              <w:t>Norway</w:t>
            </w:r>
            <w:proofErr w:type="spellEnd"/>
            <w:r w:rsidRPr="000C0456">
              <w:rPr>
                <w:rFonts w:ascii="Times New Roman" w:eastAsia="Times New Roman" w:hAnsi="Times New Roman"/>
              </w:rPr>
              <w:t xml:space="preserve"> Turizmo direktorė </w:t>
            </w:r>
            <w:proofErr w:type="spellStart"/>
            <w:r w:rsidRPr="000C0456">
              <w:rPr>
                <w:rFonts w:ascii="Times New Roman" w:eastAsia="Times New Roman" w:hAnsi="Times New Roman"/>
              </w:rPr>
              <w:t>Aase</w:t>
            </w:r>
            <w:proofErr w:type="spellEnd"/>
            <w:r w:rsidRPr="000C0456">
              <w:rPr>
                <w:rFonts w:ascii="Times New Roman" w:eastAsia="Times New Roman" w:hAnsi="Times New Roman"/>
              </w:rPr>
              <w:t xml:space="preserve"> </w:t>
            </w:r>
            <w:proofErr w:type="spellStart"/>
            <w:r w:rsidRPr="000C0456">
              <w:rPr>
                <w:rFonts w:ascii="Times New Roman" w:eastAsia="Times New Roman" w:hAnsi="Times New Roman"/>
              </w:rPr>
              <w:t>Marthe</w:t>
            </w:r>
            <w:proofErr w:type="spellEnd"/>
            <w:r w:rsidRPr="000C0456">
              <w:rPr>
                <w:rFonts w:ascii="Times New Roman" w:eastAsia="Times New Roman" w:hAnsi="Times New Roman"/>
              </w:rPr>
              <w:t xml:space="preserve"> J. </w:t>
            </w:r>
            <w:proofErr w:type="spellStart"/>
            <w:r w:rsidRPr="000C0456">
              <w:rPr>
                <w:rFonts w:ascii="Times New Roman" w:eastAsia="Times New Roman" w:hAnsi="Times New Roman"/>
              </w:rPr>
              <w:t>Horrigmo</w:t>
            </w:r>
            <w:proofErr w:type="spellEnd"/>
            <w:r w:rsidRPr="000C0456">
              <w:rPr>
                <w:rFonts w:ascii="Times New Roman" w:eastAsia="Times New Roman" w:hAnsi="Times New Roman"/>
              </w:rPr>
              <w:t>.</w:t>
            </w:r>
            <w:r>
              <w:rPr>
                <w:rFonts w:ascii="Times New Roman" w:eastAsia="Times New Roman" w:hAnsi="Times New Roman"/>
              </w:rPr>
              <w:t xml:space="preserve"> </w:t>
            </w:r>
            <w:r w:rsidRPr="000C0456">
              <w:rPr>
                <w:rFonts w:ascii="Times New Roman" w:eastAsia="Times New Roman" w:hAnsi="Times New Roman"/>
              </w:rPr>
              <w:t>Didžiausias augimas fiksuotas Pietų ir Šiaurės Norvegijoje: vertė šiose regionuose išaugo atitinkamai 18 % ir 11 %</w:t>
            </w:r>
            <w:r>
              <w:rPr>
                <w:rFonts w:ascii="Times New Roman" w:eastAsia="Times New Roman" w:hAnsi="Times New Roman"/>
              </w:rPr>
              <w:t xml:space="preserve">. </w:t>
            </w:r>
            <w:r w:rsidRPr="000C0456">
              <w:rPr>
                <w:rFonts w:ascii="Times New Roman" w:eastAsia="Times New Roman" w:hAnsi="Times New Roman"/>
              </w:rPr>
              <w:t>Vertės kūrimas augo visuose turizmo sektoriuose: transporto, apgyvendinimo, maitinimo, kultūros ir pramogų srityse. Transportas išlieka didžiausiu pagal vertės kūrimą sektoriu</w:t>
            </w:r>
            <w:r>
              <w:rPr>
                <w:rFonts w:ascii="Times New Roman" w:eastAsia="Times New Roman" w:hAnsi="Times New Roman"/>
              </w:rPr>
              <w:t>s</w:t>
            </w:r>
            <w:r w:rsidRPr="000C0456">
              <w:rPr>
                <w:rFonts w:ascii="Times New Roman" w:eastAsia="Times New Roman" w:hAnsi="Times New Roman"/>
              </w:rPr>
              <w:t xml:space="preserve"> (40 % visos turizmo vertės), o daugiausiai darbuotojų dirba maitinimo sektoriuje (beveik pusė visų turizmo darbo vietų).</w:t>
            </w:r>
            <w:r>
              <w:rPr>
                <w:rFonts w:ascii="Times New Roman" w:eastAsia="Times New Roman" w:hAnsi="Times New Roman"/>
              </w:rPr>
              <w:t xml:space="preserve"> </w:t>
            </w:r>
            <w:r w:rsidRPr="000C0456">
              <w:rPr>
                <w:rFonts w:ascii="Times New Roman" w:eastAsia="Times New Roman" w:hAnsi="Times New Roman"/>
              </w:rPr>
              <w:t xml:space="preserve">Nepaisant rekordinių rezultatų, </w:t>
            </w:r>
            <w:proofErr w:type="spellStart"/>
            <w:r w:rsidRPr="000C0456">
              <w:rPr>
                <w:rFonts w:ascii="Times New Roman" w:eastAsia="Times New Roman" w:hAnsi="Times New Roman"/>
              </w:rPr>
              <w:t>Innovation</w:t>
            </w:r>
            <w:proofErr w:type="spellEnd"/>
            <w:r w:rsidRPr="000C0456">
              <w:rPr>
                <w:rFonts w:ascii="Times New Roman" w:eastAsia="Times New Roman" w:hAnsi="Times New Roman"/>
              </w:rPr>
              <w:t xml:space="preserve"> </w:t>
            </w:r>
            <w:proofErr w:type="spellStart"/>
            <w:r w:rsidRPr="000C0456">
              <w:rPr>
                <w:rFonts w:ascii="Times New Roman" w:eastAsia="Times New Roman" w:hAnsi="Times New Roman"/>
              </w:rPr>
              <w:t>Norway</w:t>
            </w:r>
            <w:proofErr w:type="spellEnd"/>
            <w:r w:rsidRPr="000C0456">
              <w:rPr>
                <w:rFonts w:ascii="Times New Roman" w:eastAsia="Times New Roman" w:hAnsi="Times New Roman"/>
              </w:rPr>
              <w:t xml:space="preserve"> atkreipia dėmesį į griežtą tarptautinę konkurenciją ir poreikį didinti pelningumą, investuojant į Norvegijos marketingą, visus metus trunkantį turizmą ir tvarius sprendimus.</w:t>
            </w:r>
            <w:r>
              <w:rPr>
                <w:rFonts w:ascii="Times New Roman" w:eastAsia="Times New Roman" w:hAnsi="Times New Roman"/>
              </w:rPr>
              <w:t xml:space="preserve"> </w:t>
            </w:r>
            <w:r w:rsidRPr="000C0456">
              <w:rPr>
                <w:rFonts w:ascii="Times New Roman" w:eastAsia="Times New Roman" w:hAnsi="Times New Roman"/>
              </w:rPr>
              <w:t>Pagrindiniai rodikliai 2024 m.:</w:t>
            </w:r>
          </w:p>
          <w:p w14:paraId="407FF517" w14:textId="77777777" w:rsidR="000C0456" w:rsidRDefault="000C0456" w:rsidP="000C0456">
            <w:pPr>
              <w:spacing w:after="0" w:line="240" w:lineRule="auto"/>
              <w:jc w:val="both"/>
              <w:rPr>
                <w:rFonts w:ascii="Times New Roman" w:eastAsia="Times New Roman" w:hAnsi="Times New Roman"/>
              </w:rPr>
            </w:pPr>
          </w:p>
          <w:p w14:paraId="5411AD55" w14:textId="36504551"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Vertės kūrimas: 120,6 mlrd. NOK (+11 % nuo 2019 m.)</w:t>
            </w:r>
          </w:p>
          <w:p w14:paraId="601E255A"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Darbuotojai: 242 000 (+2 % nuo 2019 m.)</w:t>
            </w:r>
          </w:p>
          <w:p w14:paraId="3338A480"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Darbo metai (apytiksliai): 146 000 (+4 % nuo 2019 m.)</w:t>
            </w:r>
          </w:p>
          <w:p w14:paraId="185A6B3C"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Vertė vienam darbuotojui: 498 000 NOK (+9 % nuo 2019 m.)</w:t>
            </w:r>
          </w:p>
          <w:p w14:paraId="4138F900" w14:textId="77777777" w:rsidR="000C0456" w:rsidRDefault="000C0456" w:rsidP="000C0456">
            <w:pPr>
              <w:spacing w:after="0" w:line="240" w:lineRule="auto"/>
              <w:jc w:val="both"/>
              <w:rPr>
                <w:rFonts w:ascii="Times New Roman" w:eastAsia="Times New Roman" w:hAnsi="Times New Roman"/>
              </w:rPr>
            </w:pPr>
          </w:p>
          <w:p w14:paraId="5E6128EE" w14:textId="07EA43D5"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Vertės kūrimas pagal regionus:</w:t>
            </w:r>
          </w:p>
          <w:p w14:paraId="5D00ED8E"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Oslas: 31,5 mlrd. NOK (+5 %)</w:t>
            </w:r>
          </w:p>
          <w:p w14:paraId="129D10EC"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Rytų Norvegija be Oslo: 30,7 mlrd. NOK (+5 %)</w:t>
            </w:r>
          </w:p>
          <w:p w14:paraId="22EA46FF"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Vakarų Norvegija: 29,7 mlrd. NOK (+18 %)</w:t>
            </w:r>
          </w:p>
          <w:p w14:paraId="24DFA2BA" w14:textId="77777777" w:rsidR="000C0456" w:rsidRPr="000C0456"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Šiaurės Norvegija (įskaitant Svalbardą): 14,9 mlrd. NOK (+17 %)</w:t>
            </w:r>
          </w:p>
          <w:p w14:paraId="6D355B5A" w14:textId="77777777" w:rsidR="000C0456" w:rsidRPr="000C0456" w:rsidRDefault="000C0456" w:rsidP="000C0456">
            <w:pPr>
              <w:spacing w:after="0" w:line="240" w:lineRule="auto"/>
              <w:jc w:val="both"/>
              <w:rPr>
                <w:rFonts w:ascii="Times New Roman" w:eastAsia="Times New Roman" w:hAnsi="Times New Roman"/>
              </w:rPr>
            </w:pPr>
            <w:proofErr w:type="spellStart"/>
            <w:r w:rsidRPr="000C0456">
              <w:rPr>
                <w:rFonts w:ascii="Times New Roman" w:eastAsia="Times New Roman" w:hAnsi="Times New Roman"/>
              </w:rPr>
              <w:t>Trøndelagas</w:t>
            </w:r>
            <w:proofErr w:type="spellEnd"/>
            <w:r w:rsidRPr="000C0456">
              <w:rPr>
                <w:rFonts w:ascii="Times New Roman" w:eastAsia="Times New Roman" w:hAnsi="Times New Roman"/>
              </w:rPr>
              <w:t>: 7,8 mlrd. NOK (+10 %)</w:t>
            </w:r>
          </w:p>
          <w:p w14:paraId="7D14CF47" w14:textId="6A49C84D" w:rsidR="00C41F26" w:rsidRPr="00F50348" w:rsidRDefault="000C0456" w:rsidP="000C0456">
            <w:pPr>
              <w:spacing w:after="0" w:line="240" w:lineRule="auto"/>
              <w:jc w:val="both"/>
              <w:rPr>
                <w:rFonts w:ascii="Times New Roman" w:eastAsia="Times New Roman" w:hAnsi="Times New Roman"/>
              </w:rPr>
            </w:pPr>
            <w:r w:rsidRPr="000C0456">
              <w:rPr>
                <w:rFonts w:ascii="Times New Roman" w:eastAsia="Times New Roman" w:hAnsi="Times New Roman"/>
              </w:rPr>
              <w:t>Pietų Norvegija: 5,8 mlrd. NOK (+38 %)</w:t>
            </w:r>
          </w:p>
        </w:tc>
        <w:tc>
          <w:tcPr>
            <w:tcW w:w="2268" w:type="dxa"/>
            <w:tcMar>
              <w:top w:w="29" w:type="dxa"/>
              <w:left w:w="115" w:type="dxa"/>
              <w:bottom w:w="29" w:type="dxa"/>
              <w:right w:w="115" w:type="dxa"/>
            </w:tcMar>
          </w:tcPr>
          <w:p w14:paraId="2260D580" w14:textId="57937EC9" w:rsidR="00C41F26" w:rsidRPr="00F50348" w:rsidRDefault="000C0456" w:rsidP="00C41F26">
            <w:pPr>
              <w:spacing w:after="0" w:line="240" w:lineRule="auto"/>
              <w:rPr>
                <w:rFonts w:ascii="Times New Roman" w:eastAsia="Times New Roman" w:hAnsi="Times New Roman"/>
              </w:rPr>
            </w:pPr>
            <w:hyperlink r:id="rId13" w:history="1">
              <w:proofErr w:type="spellStart"/>
              <w:r w:rsidRPr="000C0456">
                <w:rPr>
                  <w:rStyle w:val="Hyperlink"/>
                  <w:rFonts w:ascii="Times New Roman" w:eastAsia="Times New Roman" w:hAnsi="Times New Roman"/>
                </w:rPr>
                <w:t>Record-high</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value</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creation</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in</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Norwegian</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tourism</w:t>
              </w:r>
              <w:proofErr w:type="spellEnd"/>
              <w:r w:rsidRPr="000C0456">
                <w:rPr>
                  <w:rStyle w:val="Hyperlink"/>
                  <w:rFonts w:ascii="Times New Roman" w:eastAsia="Times New Roman" w:hAnsi="Times New Roman"/>
                </w:rPr>
                <w:t xml:space="preserve"> </w:t>
              </w:r>
              <w:proofErr w:type="spellStart"/>
              <w:r w:rsidRPr="000C0456">
                <w:rPr>
                  <w:rStyle w:val="Hyperlink"/>
                  <w:rFonts w:ascii="Times New Roman" w:eastAsia="Times New Roman" w:hAnsi="Times New Roman"/>
                </w:rPr>
                <w:t>in</w:t>
              </w:r>
              <w:proofErr w:type="spellEnd"/>
              <w:r w:rsidRPr="000C0456">
                <w:rPr>
                  <w:rStyle w:val="Hyperlink"/>
                  <w:rFonts w:ascii="Times New Roman" w:eastAsia="Times New Roman" w:hAnsi="Times New Roman"/>
                </w:rPr>
                <w:t xml:space="preserve"> 2024 - Travel News </w:t>
              </w:r>
              <w:proofErr w:type="spellStart"/>
              <w:r w:rsidRPr="000C0456">
                <w:rPr>
                  <w:rStyle w:val="Hyperlink"/>
                  <w:rFonts w:ascii="Times New Roman" w:eastAsia="Times New Roman" w:hAnsi="Times New Roman"/>
                </w:rPr>
                <w:t>Norway</w:t>
              </w:r>
              <w:proofErr w:type="spellEnd"/>
            </w:hyperlink>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27D70138" w:rsidR="00C41F26" w:rsidRPr="00F50348" w:rsidRDefault="00C41F26" w:rsidP="00C41F26">
            <w:pPr>
              <w:spacing w:after="0" w:line="240" w:lineRule="auto"/>
              <w:rPr>
                <w:rFonts w:ascii="Times New Roman" w:eastAsia="Times New Roman" w:hAnsi="Times New Roman"/>
              </w:rPr>
            </w:pPr>
          </w:p>
        </w:tc>
        <w:tc>
          <w:tcPr>
            <w:tcW w:w="5811" w:type="dxa"/>
            <w:tcMar>
              <w:top w:w="29" w:type="dxa"/>
              <w:left w:w="115" w:type="dxa"/>
              <w:bottom w:w="29" w:type="dxa"/>
              <w:right w:w="115" w:type="dxa"/>
            </w:tcMar>
          </w:tcPr>
          <w:p w14:paraId="7D9020AF" w14:textId="1C1401FB" w:rsidR="00C41F26" w:rsidRPr="00F50348" w:rsidRDefault="001163E6" w:rsidP="00036A7E">
            <w:pPr>
              <w:spacing w:after="0" w:line="240" w:lineRule="auto"/>
              <w:jc w:val="both"/>
              <w:rPr>
                <w:rFonts w:ascii="Times New Roman" w:eastAsia="Times New Roman" w:hAnsi="Times New Roman"/>
              </w:rPr>
            </w:pPr>
            <w:r w:rsidRPr="001163E6">
              <w:rPr>
                <w:rFonts w:ascii="Times New Roman" w:eastAsia="Times New Roman" w:hAnsi="Times New Roman"/>
              </w:rPr>
              <w:t xml:space="preserve">„Rare </w:t>
            </w:r>
            <w:proofErr w:type="spellStart"/>
            <w:r w:rsidRPr="001163E6">
              <w:rPr>
                <w:rFonts w:ascii="Times New Roman" w:eastAsia="Times New Roman" w:hAnsi="Times New Roman"/>
              </w:rPr>
              <w:t>Earths</w:t>
            </w:r>
            <w:proofErr w:type="spellEnd"/>
            <w:r w:rsidRPr="001163E6">
              <w:rPr>
                <w:rFonts w:ascii="Times New Roman" w:eastAsia="Times New Roman" w:hAnsi="Times New Roman"/>
              </w:rPr>
              <w:t xml:space="preserve"> </w:t>
            </w:r>
            <w:proofErr w:type="spellStart"/>
            <w:r w:rsidRPr="001163E6">
              <w:rPr>
                <w:rFonts w:ascii="Times New Roman" w:eastAsia="Times New Roman" w:hAnsi="Times New Roman"/>
              </w:rPr>
              <w:t>Norway</w:t>
            </w:r>
            <w:proofErr w:type="spellEnd"/>
            <w:r w:rsidRPr="001163E6">
              <w:rPr>
                <w:rFonts w:ascii="Times New Roman" w:eastAsia="Times New Roman" w:hAnsi="Times New Roman"/>
              </w:rPr>
              <w:t>“ (REN) ketina pradėti mineralų gavybą „</w:t>
            </w:r>
            <w:proofErr w:type="spellStart"/>
            <w:r w:rsidRPr="001163E6">
              <w:rPr>
                <w:rFonts w:ascii="Times New Roman" w:eastAsia="Times New Roman" w:hAnsi="Times New Roman"/>
              </w:rPr>
              <w:t>Fens</w:t>
            </w:r>
            <w:proofErr w:type="spellEnd"/>
            <w:r w:rsidRPr="001163E6">
              <w:rPr>
                <w:rFonts w:ascii="Times New Roman" w:eastAsia="Times New Roman" w:hAnsi="Times New Roman"/>
              </w:rPr>
              <w:t xml:space="preserve">“ mineralų lauke </w:t>
            </w:r>
            <w:proofErr w:type="spellStart"/>
            <w:r w:rsidRPr="001163E6">
              <w:rPr>
                <w:rFonts w:ascii="Times New Roman" w:eastAsia="Times New Roman" w:hAnsi="Times New Roman"/>
              </w:rPr>
              <w:t>Telemarke</w:t>
            </w:r>
            <w:proofErr w:type="spellEnd"/>
            <w:r w:rsidRPr="001163E6">
              <w:rPr>
                <w:rFonts w:ascii="Times New Roman" w:eastAsia="Times New Roman" w:hAnsi="Times New Roman"/>
              </w:rPr>
              <w:t xml:space="preserve">, siekdama sumažinti Europos </w:t>
            </w:r>
            <w:r w:rsidRPr="001163E6">
              <w:rPr>
                <w:rFonts w:ascii="Times New Roman" w:eastAsia="Times New Roman" w:hAnsi="Times New Roman"/>
              </w:rPr>
              <w:lastRenderedPageBreak/>
              <w:t xml:space="preserve">priklausomybę nuo Kinijos tiekimo ir užtikrinti strateginių retųjų žemių prieinamumą. Tačiau projektas susiduria su rimta kliūtimi – gamtosaugininkai ragina stabdyti veiklą, siekdami apsaugoti 78 raudonojo sąrašo rūšis, įskaitant įvairius drugelius, grybus ir kitus jautrius ekosistemos komponentus. Direktoratas dėl mineralų valdymo (DMF) pabrėžia, kad galutiniai sprendimai dėl žemės naudojimo priklauso vietos valdžiai, o jų institucija gali tik teikti rekomendacijas ir konsultacijas, bet neturi tiesioginės galios įgyvendinti projektą prieš vietos sprendimus. Šis ginčas atskleidžia įtampos tarp ekonominių investicijų poreikio ir gamtosaugos tikslų sudėtingumą, kuris gali lemti projekto vėlavimą.  </w:t>
            </w:r>
          </w:p>
        </w:tc>
        <w:tc>
          <w:tcPr>
            <w:tcW w:w="2268" w:type="dxa"/>
            <w:tcMar>
              <w:top w:w="29" w:type="dxa"/>
              <w:left w:w="115" w:type="dxa"/>
              <w:bottom w:w="29" w:type="dxa"/>
              <w:right w:w="115" w:type="dxa"/>
            </w:tcMar>
          </w:tcPr>
          <w:p w14:paraId="1D42D103" w14:textId="51AF6E5D" w:rsidR="00C41F26" w:rsidRPr="00F50348" w:rsidRDefault="00C41F26" w:rsidP="00C41F26">
            <w:pPr>
              <w:spacing w:after="0" w:line="240" w:lineRule="auto"/>
              <w:rPr>
                <w:rFonts w:ascii="Times New Roman" w:eastAsia="Times New Roman" w:hAnsi="Times New Roman"/>
              </w:rPr>
            </w:pPr>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7568D3BB" w:rsidR="00C41F26" w:rsidRPr="00F50348" w:rsidRDefault="009D587E" w:rsidP="00C41F26">
            <w:pPr>
              <w:spacing w:after="0" w:line="240" w:lineRule="auto"/>
              <w:rPr>
                <w:rFonts w:ascii="Times New Roman" w:eastAsia="Times New Roman" w:hAnsi="Times New Roman"/>
              </w:rPr>
            </w:pPr>
            <w:r>
              <w:rPr>
                <w:rFonts w:ascii="Times New Roman" w:eastAsia="Times New Roman" w:hAnsi="Times New Roman"/>
              </w:rPr>
              <w:t>2025 11 14</w:t>
            </w:r>
          </w:p>
        </w:tc>
        <w:tc>
          <w:tcPr>
            <w:tcW w:w="5811" w:type="dxa"/>
            <w:tcMar>
              <w:top w:w="29" w:type="dxa"/>
              <w:left w:w="115" w:type="dxa"/>
              <w:bottom w:w="29" w:type="dxa"/>
              <w:right w:w="115" w:type="dxa"/>
            </w:tcMar>
          </w:tcPr>
          <w:p w14:paraId="5672393D" w14:textId="29768A41" w:rsidR="00C41F26" w:rsidRPr="006E38A4" w:rsidRDefault="00E01FA9" w:rsidP="00C41F26">
            <w:pPr>
              <w:spacing w:after="0" w:line="240" w:lineRule="auto"/>
              <w:jc w:val="both"/>
              <w:rPr>
                <w:rFonts w:ascii="Times New Roman" w:eastAsia="Times New Roman" w:hAnsi="Times New Roman"/>
              </w:rPr>
            </w:pPr>
            <w:r w:rsidRPr="00E01FA9">
              <w:rPr>
                <w:rFonts w:ascii="Times New Roman" w:eastAsia="Times New Roman" w:hAnsi="Times New Roman"/>
              </w:rPr>
              <w:t xml:space="preserve">Vyksta diskusijos dėl iškastinio kuro: Norvegijos įmonės kaip </w:t>
            </w:r>
            <w:proofErr w:type="spellStart"/>
            <w:r w:rsidRPr="00E01FA9">
              <w:rPr>
                <w:rFonts w:ascii="Times New Roman" w:eastAsia="Times New Roman" w:hAnsi="Times New Roman"/>
              </w:rPr>
              <w:t>Equinor</w:t>
            </w:r>
            <w:proofErr w:type="spellEnd"/>
            <w:r w:rsidRPr="00E01FA9">
              <w:rPr>
                <w:rFonts w:ascii="Times New Roman" w:eastAsia="Times New Roman" w:hAnsi="Times New Roman"/>
              </w:rPr>
              <w:t xml:space="preserve"> ir </w:t>
            </w:r>
            <w:proofErr w:type="spellStart"/>
            <w:r w:rsidRPr="00E01FA9">
              <w:rPr>
                <w:rFonts w:ascii="Times New Roman" w:eastAsia="Times New Roman" w:hAnsi="Times New Roman"/>
              </w:rPr>
              <w:t>Aker</w:t>
            </w:r>
            <w:proofErr w:type="spellEnd"/>
            <w:r w:rsidRPr="00E01FA9">
              <w:rPr>
                <w:rFonts w:ascii="Times New Roman" w:eastAsia="Times New Roman" w:hAnsi="Times New Roman"/>
              </w:rPr>
              <w:t xml:space="preserve"> BP toliau vysto naftos ir dujų projektus, nors šios veiklos kelia grėsmę pasauliniams emisijų mažinimo tikslams. </w:t>
            </w:r>
            <w:proofErr w:type="spellStart"/>
            <w:r w:rsidRPr="00E01FA9">
              <w:rPr>
                <w:rFonts w:ascii="Times New Roman" w:eastAsia="Times New Roman" w:hAnsi="Times New Roman"/>
              </w:rPr>
              <w:t>Equinor</w:t>
            </w:r>
            <w:proofErr w:type="spellEnd"/>
            <w:r w:rsidRPr="00E01FA9">
              <w:rPr>
                <w:rFonts w:ascii="Times New Roman" w:eastAsia="Times New Roman" w:hAnsi="Times New Roman"/>
              </w:rPr>
              <w:t xml:space="preserve"> teigia, kad naftos ir dujų vis dar reikia, nes žaliasis perėjimas nevyksta pakankamai sparčiai. Bendrovė taip pat atlieka savo telkinių atsparumo analizę pagal Tarptautinės energetikos agentūros (IEA) scenarijus, kuriuose pasaulis pasiekia klimato tikslus. </w:t>
            </w:r>
            <w:proofErr w:type="spellStart"/>
            <w:r w:rsidRPr="00E01FA9">
              <w:rPr>
                <w:rFonts w:ascii="Times New Roman" w:eastAsia="Times New Roman" w:hAnsi="Times New Roman"/>
              </w:rPr>
              <w:t>Aker</w:t>
            </w:r>
            <w:proofErr w:type="spellEnd"/>
            <w:r w:rsidRPr="00E01FA9">
              <w:rPr>
                <w:rFonts w:ascii="Times New Roman" w:eastAsia="Times New Roman" w:hAnsi="Times New Roman"/>
              </w:rPr>
              <w:t xml:space="preserve"> BP taip pat mano, kad nafta ir dujos bus reikalingos dar daugelį metų, ir daugiausia dėmesio skiria kiek įmanoma mažesnėms emisijoms gamybos metu, taip pat vertės kūrimui, leidžiančiam investuoti į žaliąją transformaciją.</w:t>
            </w:r>
          </w:p>
        </w:tc>
        <w:tc>
          <w:tcPr>
            <w:tcW w:w="2268" w:type="dxa"/>
            <w:tcMar>
              <w:top w:w="29" w:type="dxa"/>
              <w:left w:w="115" w:type="dxa"/>
              <w:bottom w:w="29" w:type="dxa"/>
              <w:right w:w="115" w:type="dxa"/>
            </w:tcMar>
          </w:tcPr>
          <w:p w14:paraId="770AB70B" w14:textId="1DBFFB4A" w:rsidR="00C41F26" w:rsidRPr="00F50348" w:rsidRDefault="00E01FA9" w:rsidP="00C41F26">
            <w:pPr>
              <w:spacing w:after="0" w:line="240" w:lineRule="auto"/>
              <w:rPr>
                <w:rFonts w:ascii="Times New Roman" w:eastAsia="Times New Roman" w:hAnsi="Times New Roman"/>
              </w:rPr>
            </w:pPr>
            <w:hyperlink r:id="rId14" w:history="1">
              <w:r w:rsidRPr="00E01FA9">
                <w:rPr>
                  <w:rStyle w:val="Hyperlink"/>
                  <w:rFonts w:ascii="Times New Roman" w:eastAsia="Times New Roman" w:hAnsi="Times New Roman"/>
                  <w:lang w:val="en-GB"/>
                </w:rPr>
                <w:t>e24.</w:t>
              </w:r>
              <w:r w:rsidRPr="00E01FA9">
                <w:rPr>
                  <w:rStyle w:val="Hyperlink"/>
                  <w:rFonts w:ascii="Times New Roman" w:eastAsia="Times New Roman" w:hAnsi="Times New Roman"/>
                  <w:lang w:val="en-GB"/>
                </w:rPr>
                <w:t>no</w:t>
              </w:r>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203AE692" w:rsidR="00212F8C" w:rsidRDefault="009D587E" w:rsidP="00C41F26">
            <w:pPr>
              <w:spacing w:after="0" w:line="240" w:lineRule="auto"/>
              <w:rPr>
                <w:rFonts w:ascii="Times New Roman" w:eastAsia="Times New Roman" w:hAnsi="Times New Roman"/>
              </w:rPr>
            </w:pPr>
            <w:r>
              <w:rPr>
                <w:rFonts w:ascii="Times New Roman" w:eastAsia="Times New Roman" w:hAnsi="Times New Roman"/>
              </w:rPr>
              <w:t>2025 11 19</w:t>
            </w:r>
          </w:p>
        </w:tc>
        <w:tc>
          <w:tcPr>
            <w:tcW w:w="5811" w:type="dxa"/>
            <w:tcMar>
              <w:top w:w="29" w:type="dxa"/>
              <w:left w:w="115" w:type="dxa"/>
              <w:bottom w:w="29" w:type="dxa"/>
              <w:right w:w="115" w:type="dxa"/>
            </w:tcMar>
          </w:tcPr>
          <w:p w14:paraId="48EDE0B3" w14:textId="365C003F" w:rsidR="00212F8C" w:rsidRPr="00D72E36" w:rsidRDefault="00E01FA9" w:rsidP="00C41F26">
            <w:pPr>
              <w:spacing w:after="0" w:line="240" w:lineRule="auto"/>
              <w:jc w:val="both"/>
              <w:rPr>
                <w:rFonts w:ascii="Times New Roman" w:eastAsia="Times New Roman" w:hAnsi="Times New Roman"/>
              </w:rPr>
            </w:pPr>
            <w:r w:rsidRPr="00E01FA9">
              <w:rPr>
                <w:rFonts w:ascii="Times New Roman" w:eastAsia="Times New Roman" w:hAnsi="Times New Roman"/>
              </w:rPr>
              <w:t xml:space="preserve">Bergeno universiteto surengtoje konferencijoje analitikas </w:t>
            </w:r>
            <w:proofErr w:type="spellStart"/>
            <w:r w:rsidRPr="00E01FA9">
              <w:rPr>
                <w:rFonts w:ascii="Times New Roman" w:eastAsia="Times New Roman" w:hAnsi="Times New Roman"/>
              </w:rPr>
              <w:t>Sanderis</w:t>
            </w:r>
            <w:proofErr w:type="spellEnd"/>
            <w:r w:rsidRPr="00E01FA9">
              <w:rPr>
                <w:rFonts w:ascii="Times New Roman" w:eastAsia="Times New Roman" w:hAnsi="Times New Roman"/>
              </w:rPr>
              <w:t xml:space="preserve"> </w:t>
            </w:r>
            <w:proofErr w:type="spellStart"/>
            <w:r w:rsidRPr="00E01FA9">
              <w:rPr>
                <w:rFonts w:ascii="Times New Roman" w:eastAsia="Times New Roman" w:hAnsi="Times New Roman"/>
              </w:rPr>
              <w:t>Leinan</w:t>
            </w:r>
            <w:proofErr w:type="spellEnd"/>
            <w:r w:rsidRPr="00E01FA9">
              <w:rPr>
                <w:rFonts w:ascii="Times New Roman" w:eastAsia="Times New Roman" w:hAnsi="Times New Roman"/>
              </w:rPr>
              <w:t xml:space="preserve"> </w:t>
            </w:r>
            <w:proofErr w:type="spellStart"/>
            <w:r w:rsidRPr="00E01FA9">
              <w:rPr>
                <w:rFonts w:ascii="Times New Roman" w:eastAsia="Times New Roman" w:hAnsi="Times New Roman"/>
              </w:rPr>
              <w:t>Baksjøerget</w:t>
            </w:r>
            <w:proofErr w:type="spellEnd"/>
            <w:r w:rsidRPr="00E01FA9">
              <w:rPr>
                <w:rFonts w:ascii="Times New Roman" w:eastAsia="Times New Roman" w:hAnsi="Times New Roman"/>
              </w:rPr>
              <w:t xml:space="preserve"> komentavo, kad per pastaruosius penkerius metus jūrinių vėjo elektrinių kaina išaugo 45 proc. 2019–2021 m. jūrinių vėjo jėgainių elektros sąnaudos vidutiniškai siekė apie 75 USD už </w:t>
            </w:r>
            <w:proofErr w:type="spellStart"/>
            <w:r w:rsidRPr="00E01FA9">
              <w:rPr>
                <w:rFonts w:ascii="Times New Roman" w:eastAsia="Times New Roman" w:hAnsi="Times New Roman"/>
              </w:rPr>
              <w:t>megavatvalandę</w:t>
            </w:r>
            <w:proofErr w:type="spellEnd"/>
            <w:r w:rsidRPr="00E01FA9">
              <w:rPr>
                <w:rFonts w:ascii="Times New Roman" w:eastAsia="Times New Roman" w:hAnsi="Times New Roman"/>
              </w:rPr>
              <w:t xml:space="preserve">, o dabar jos išaugo iki 110 USD. Pasak </w:t>
            </w:r>
            <w:proofErr w:type="spellStart"/>
            <w:r w:rsidRPr="00E01FA9">
              <w:rPr>
                <w:rFonts w:ascii="Times New Roman" w:eastAsia="Times New Roman" w:hAnsi="Times New Roman"/>
              </w:rPr>
              <w:t>Baksjøerget</w:t>
            </w:r>
            <w:proofErr w:type="spellEnd"/>
            <w:r w:rsidRPr="00E01FA9">
              <w:rPr>
                <w:rFonts w:ascii="Times New Roman" w:eastAsia="Times New Roman" w:hAnsi="Times New Roman"/>
              </w:rPr>
              <w:t>, kainų augimui įtakos turėjo aukštos palūkanų normos, tiekimo grandinės problemos, projektų vėlavimai ir politinė nežinomybė. Tuo pačiu metu analitikas pabrėžė, kad ateityje mažesnės palūkanų normos, serijinė 15 MW jūrinių vėjo turbinų gamyba ir didėjanti konkurencija, įskaitant galimą Kinijos tiekėjų įsitraukimą į Europos rinką, galėtų padėti sumažinti sąnaudas.</w:t>
            </w:r>
          </w:p>
        </w:tc>
        <w:tc>
          <w:tcPr>
            <w:tcW w:w="2268" w:type="dxa"/>
            <w:tcMar>
              <w:top w:w="29" w:type="dxa"/>
              <w:left w:w="115" w:type="dxa"/>
              <w:bottom w:w="29" w:type="dxa"/>
              <w:right w:w="115" w:type="dxa"/>
            </w:tcMar>
          </w:tcPr>
          <w:p w14:paraId="68D21302" w14:textId="4345352D" w:rsidR="00212F8C" w:rsidRDefault="00E01FA9" w:rsidP="00C41F26">
            <w:pPr>
              <w:spacing w:after="0" w:line="240" w:lineRule="auto"/>
            </w:pPr>
            <w:hyperlink r:id="rId15" w:history="1">
              <w:proofErr w:type="spellStart"/>
              <w:r w:rsidRPr="00E01FA9">
                <w:rPr>
                  <w:rStyle w:val="Hyperlink"/>
                </w:rPr>
                <w:t>Offshore</w:t>
              </w:r>
              <w:proofErr w:type="spellEnd"/>
              <w:r w:rsidRPr="00E01FA9">
                <w:rPr>
                  <w:rStyle w:val="Hyperlink"/>
                </w:rPr>
                <w:t xml:space="preserve"> </w:t>
              </w:r>
              <w:proofErr w:type="spellStart"/>
              <w:r w:rsidRPr="00E01FA9">
                <w:rPr>
                  <w:rStyle w:val="Hyperlink"/>
                </w:rPr>
                <w:t>wind</w:t>
              </w:r>
              <w:proofErr w:type="spellEnd"/>
              <w:r w:rsidRPr="00E01FA9">
                <w:rPr>
                  <w:rStyle w:val="Hyperlink"/>
                </w:rPr>
                <w:t xml:space="preserve"> </w:t>
              </w:r>
              <w:proofErr w:type="spellStart"/>
              <w:r w:rsidRPr="00E01FA9">
                <w:rPr>
                  <w:rStyle w:val="Hyperlink"/>
                </w:rPr>
                <w:t>has</w:t>
              </w:r>
              <w:proofErr w:type="spellEnd"/>
              <w:r w:rsidRPr="00E01FA9">
                <w:rPr>
                  <w:rStyle w:val="Hyperlink"/>
                </w:rPr>
                <w:t xml:space="preserve"> </w:t>
              </w:r>
              <w:proofErr w:type="spellStart"/>
              <w:r w:rsidRPr="00E01FA9">
                <w:rPr>
                  <w:rStyle w:val="Hyperlink"/>
                </w:rPr>
                <w:t>bec</w:t>
              </w:r>
              <w:r w:rsidRPr="00E01FA9">
                <w:rPr>
                  <w:rStyle w:val="Hyperlink"/>
                </w:rPr>
                <w:t>ome</w:t>
              </w:r>
              <w:proofErr w:type="spellEnd"/>
              <w:r w:rsidRPr="00E01FA9">
                <w:rPr>
                  <w:rStyle w:val="Hyperlink"/>
                </w:rPr>
                <w:t xml:space="preserve"> </w:t>
              </w:r>
              <w:proofErr w:type="spellStart"/>
              <w:r w:rsidRPr="00E01FA9">
                <w:rPr>
                  <w:rStyle w:val="Hyperlink"/>
                </w:rPr>
                <w:t>significantly</w:t>
              </w:r>
              <w:proofErr w:type="spellEnd"/>
              <w:r w:rsidRPr="00E01FA9">
                <w:rPr>
                  <w:rStyle w:val="Hyperlink"/>
                </w:rPr>
                <w:t xml:space="preserve"> </w:t>
              </w:r>
              <w:proofErr w:type="spellStart"/>
              <w:r w:rsidRPr="00E01FA9">
                <w:rPr>
                  <w:rStyle w:val="Hyperlink"/>
                </w:rPr>
                <w:t>more</w:t>
              </w:r>
              <w:proofErr w:type="spellEnd"/>
              <w:r w:rsidRPr="00E01FA9">
                <w:rPr>
                  <w:rStyle w:val="Hyperlink"/>
                </w:rPr>
                <w:t xml:space="preserve"> </w:t>
              </w:r>
              <w:proofErr w:type="spellStart"/>
              <w:r w:rsidRPr="00E01FA9">
                <w:rPr>
                  <w:rStyle w:val="Hyperlink"/>
                </w:rPr>
                <w:t>expensive</w:t>
              </w:r>
              <w:proofErr w:type="spellEnd"/>
              <w:r w:rsidRPr="00E01FA9">
                <w:rPr>
                  <w:rStyle w:val="Hyperlink"/>
                </w:rPr>
                <w:t xml:space="preserve"> – </w:t>
              </w:r>
              <w:proofErr w:type="spellStart"/>
              <w:r w:rsidRPr="00E01FA9">
                <w:rPr>
                  <w:rStyle w:val="Hyperlink"/>
                </w:rPr>
                <w:t>three</w:t>
              </w:r>
              <w:proofErr w:type="spellEnd"/>
              <w:r w:rsidRPr="00E01FA9">
                <w:rPr>
                  <w:rStyle w:val="Hyperlink"/>
                </w:rPr>
                <w:t xml:space="preserve"> </w:t>
              </w:r>
              <w:proofErr w:type="spellStart"/>
              <w:r w:rsidRPr="00E01FA9">
                <w:rPr>
                  <w:rStyle w:val="Hyperlink"/>
                </w:rPr>
                <w:t>factors</w:t>
              </w:r>
              <w:proofErr w:type="spellEnd"/>
              <w:r w:rsidRPr="00E01FA9">
                <w:rPr>
                  <w:rStyle w:val="Hyperlink"/>
                </w:rPr>
                <w:t xml:space="preserve"> </w:t>
              </w:r>
              <w:proofErr w:type="spellStart"/>
              <w:r w:rsidRPr="00E01FA9">
                <w:rPr>
                  <w:rStyle w:val="Hyperlink"/>
                </w:rPr>
                <w:t>can</w:t>
              </w:r>
              <w:proofErr w:type="spellEnd"/>
              <w:r w:rsidRPr="00E01FA9">
                <w:rPr>
                  <w:rStyle w:val="Hyperlink"/>
                </w:rPr>
                <w:t xml:space="preserve"> </w:t>
              </w:r>
              <w:proofErr w:type="spellStart"/>
              <w:r w:rsidRPr="00E01FA9">
                <w:rPr>
                  <w:rStyle w:val="Hyperlink"/>
                </w:rPr>
                <w:t>lower</w:t>
              </w:r>
              <w:proofErr w:type="spellEnd"/>
              <w:r w:rsidRPr="00E01FA9">
                <w:rPr>
                  <w:rStyle w:val="Hyperlink"/>
                </w:rPr>
                <w:t xml:space="preserve"> </w:t>
              </w:r>
              <w:proofErr w:type="spellStart"/>
              <w:r w:rsidRPr="00E01FA9">
                <w:rPr>
                  <w:rStyle w:val="Hyperlink"/>
                </w:rPr>
                <w:t>the</w:t>
              </w:r>
              <w:proofErr w:type="spellEnd"/>
              <w:r w:rsidRPr="00E01FA9">
                <w:rPr>
                  <w:rStyle w:val="Hyperlink"/>
                </w:rPr>
                <w:t xml:space="preserve"> </w:t>
              </w:r>
              <w:proofErr w:type="spellStart"/>
              <w:r w:rsidRPr="00E01FA9">
                <w:rPr>
                  <w:rStyle w:val="Hyperlink"/>
                </w:rPr>
                <w:t>price</w:t>
              </w:r>
              <w:proofErr w:type="spellEnd"/>
            </w:hyperlink>
          </w:p>
        </w:tc>
        <w:tc>
          <w:tcPr>
            <w:tcW w:w="1436" w:type="dxa"/>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9D587E" w:rsidRPr="00F50348" w14:paraId="36EBCB24" w14:textId="77777777" w:rsidTr="0033090E">
        <w:trPr>
          <w:gridAfter w:val="1"/>
          <w:wAfter w:w="11" w:type="dxa"/>
          <w:trHeight w:val="234"/>
        </w:trPr>
        <w:tc>
          <w:tcPr>
            <w:tcW w:w="1419" w:type="dxa"/>
            <w:tcMar>
              <w:top w:w="29" w:type="dxa"/>
              <w:left w:w="115" w:type="dxa"/>
              <w:bottom w:w="29" w:type="dxa"/>
              <w:right w:w="115" w:type="dxa"/>
            </w:tcMar>
          </w:tcPr>
          <w:p w14:paraId="41A89865" w14:textId="770359E8" w:rsidR="009D587E" w:rsidRDefault="009D587E" w:rsidP="00C41F26">
            <w:pPr>
              <w:spacing w:after="0" w:line="240" w:lineRule="auto"/>
              <w:rPr>
                <w:rFonts w:ascii="Times New Roman" w:eastAsia="Times New Roman" w:hAnsi="Times New Roman"/>
              </w:rPr>
            </w:pPr>
            <w:r>
              <w:rPr>
                <w:rFonts w:ascii="Times New Roman" w:eastAsia="Times New Roman" w:hAnsi="Times New Roman"/>
              </w:rPr>
              <w:t>2025 11 02</w:t>
            </w:r>
          </w:p>
        </w:tc>
        <w:tc>
          <w:tcPr>
            <w:tcW w:w="5811" w:type="dxa"/>
            <w:tcMar>
              <w:top w:w="29" w:type="dxa"/>
              <w:left w:w="115" w:type="dxa"/>
              <w:bottom w:w="29" w:type="dxa"/>
              <w:right w:w="115" w:type="dxa"/>
            </w:tcMar>
          </w:tcPr>
          <w:p w14:paraId="7BEB2BFC" w14:textId="504896CB" w:rsidR="009D587E" w:rsidRPr="00E01FA9"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 xml:space="preserve">Norvegijos viešojo transporto operatorius </w:t>
            </w:r>
            <w:proofErr w:type="spellStart"/>
            <w:r w:rsidRPr="009D587E">
              <w:rPr>
                <w:rFonts w:ascii="Times New Roman" w:eastAsia="Times New Roman" w:hAnsi="Times New Roman"/>
              </w:rPr>
              <w:t>Ruter</w:t>
            </w:r>
            <w:proofErr w:type="spellEnd"/>
            <w:r w:rsidRPr="009D587E">
              <w:rPr>
                <w:rFonts w:ascii="Times New Roman" w:eastAsia="Times New Roman" w:hAnsi="Times New Roman"/>
              </w:rPr>
              <w:t xml:space="preserve"> atliko išsamų Kinijoje pagamintų </w:t>
            </w:r>
            <w:proofErr w:type="spellStart"/>
            <w:r w:rsidRPr="009D587E">
              <w:rPr>
                <w:rFonts w:ascii="Times New Roman" w:eastAsia="Times New Roman" w:hAnsi="Times New Roman"/>
              </w:rPr>
              <w:t>Yutong</w:t>
            </w:r>
            <w:proofErr w:type="spellEnd"/>
            <w:r w:rsidRPr="009D587E">
              <w:rPr>
                <w:rFonts w:ascii="Times New Roman" w:eastAsia="Times New Roman" w:hAnsi="Times New Roman"/>
              </w:rPr>
              <w:t xml:space="preserve"> elektrinių autobusų saugumo vertinimą. </w:t>
            </w:r>
            <w:proofErr w:type="spellStart"/>
            <w:r w:rsidRPr="009D587E">
              <w:rPr>
                <w:rFonts w:ascii="Times New Roman" w:eastAsia="Times New Roman" w:hAnsi="Times New Roman"/>
              </w:rPr>
              <w:t>Ruter</w:t>
            </w:r>
            <w:proofErr w:type="spellEnd"/>
            <w:r w:rsidRPr="009D587E">
              <w:rPr>
                <w:rFonts w:ascii="Times New Roman" w:eastAsia="Times New Roman" w:hAnsi="Times New Roman"/>
              </w:rPr>
              <w:t xml:space="preserve"> pabrėžė, kad tyrimas padėjo pereiti nuo bendrų susirūpinimų prie konkrečių žinių apie saugumo priemones, kurios užtikrina kolektyvinio transporto patikimumą ir atsparumą galimoms grėsmėms. Transporto ministras </w:t>
            </w:r>
            <w:proofErr w:type="spellStart"/>
            <w:r w:rsidRPr="009D587E">
              <w:rPr>
                <w:rFonts w:ascii="Times New Roman" w:eastAsia="Times New Roman" w:hAnsi="Times New Roman"/>
              </w:rPr>
              <w:t>Jon-Ivar</w:t>
            </w:r>
            <w:proofErr w:type="spellEnd"/>
            <w:r w:rsidRPr="009D587E">
              <w:rPr>
                <w:rFonts w:ascii="Times New Roman" w:eastAsia="Times New Roman" w:hAnsi="Times New Roman"/>
              </w:rPr>
              <w:t xml:space="preserve"> </w:t>
            </w:r>
            <w:proofErr w:type="spellStart"/>
            <w:r w:rsidRPr="009D587E">
              <w:rPr>
                <w:rFonts w:ascii="Times New Roman" w:eastAsia="Times New Roman" w:hAnsi="Times New Roman"/>
              </w:rPr>
              <w:t>Nygård</w:t>
            </w:r>
            <w:proofErr w:type="spellEnd"/>
            <w:r w:rsidRPr="009D587E">
              <w:rPr>
                <w:rFonts w:ascii="Times New Roman" w:eastAsia="Times New Roman" w:hAnsi="Times New Roman"/>
              </w:rPr>
              <w:t xml:space="preserve"> </w:t>
            </w:r>
            <w:r>
              <w:rPr>
                <w:rFonts w:ascii="Times New Roman" w:eastAsia="Times New Roman" w:hAnsi="Times New Roman"/>
              </w:rPr>
              <w:t>pa</w:t>
            </w:r>
            <w:r w:rsidRPr="009D587E">
              <w:rPr>
                <w:rFonts w:ascii="Times New Roman" w:eastAsia="Times New Roman" w:hAnsi="Times New Roman"/>
              </w:rPr>
              <w:t>komentavo, kad šiuo metu nėra planų šalinti iš eismo Kinijoje pagamintų elektrinių autobusų. Tačiau bus atlikti išsamūs tyrimai dėl rizikos, susijusios su autobusais iš šalių, su kuriomis Norvegija neturi saugumo politikos bendradarbiavimo. Ministras teigia, kad buvo sukurta taisyklių sistema, reikalaujanti įmonėms atlikti rizikos vertinimus perkant paslaugas.</w:t>
            </w:r>
          </w:p>
        </w:tc>
        <w:tc>
          <w:tcPr>
            <w:tcW w:w="2268" w:type="dxa"/>
            <w:tcMar>
              <w:top w:w="29" w:type="dxa"/>
              <w:left w:w="115" w:type="dxa"/>
              <w:bottom w:w="29" w:type="dxa"/>
              <w:right w:w="115" w:type="dxa"/>
            </w:tcMar>
          </w:tcPr>
          <w:p w14:paraId="1D03A48F" w14:textId="77777777" w:rsidR="009D587E" w:rsidRDefault="009D587E" w:rsidP="00C41F26">
            <w:pPr>
              <w:spacing w:after="0" w:line="240" w:lineRule="auto"/>
            </w:pPr>
            <w:hyperlink r:id="rId16" w:history="1">
              <w:proofErr w:type="spellStart"/>
              <w:r w:rsidRPr="009D587E">
                <w:rPr>
                  <w:rStyle w:val="Hyperlink"/>
                </w:rPr>
                <w:t>Ruter</w:t>
              </w:r>
              <w:proofErr w:type="spellEnd"/>
              <w:r w:rsidRPr="009D587E">
                <w:rPr>
                  <w:rStyle w:val="Hyperlink"/>
                </w:rPr>
                <w:t xml:space="preserve"> tar </w:t>
              </w:r>
              <w:proofErr w:type="spellStart"/>
              <w:r w:rsidRPr="009D587E">
                <w:rPr>
                  <w:rStyle w:val="Hyperlink"/>
                </w:rPr>
                <w:t>samfunnsansvar</w:t>
              </w:r>
              <w:proofErr w:type="spellEnd"/>
              <w:r w:rsidRPr="009D587E">
                <w:rPr>
                  <w:rStyle w:val="Hyperlink"/>
                </w:rPr>
                <w:t xml:space="preserve">: </w:t>
              </w:r>
              <w:proofErr w:type="spellStart"/>
              <w:r w:rsidRPr="009D587E">
                <w:rPr>
                  <w:rStyle w:val="Hyperlink"/>
                </w:rPr>
                <w:t>Gjennomførte</w:t>
              </w:r>
              <w:proofErr w:type="spellEnd"/>
              <w:r w:rsidRPr="009D587E">
                <w:rPr>
                  <w:rStyle w:val="Hyperlink"/>
                </w:rPr>
                <w:t xml:space="preserve"> </w:t>
              </w:r>
              <w:proofErr w:type="spellStart"/>
              <w:r w:rsidRPr="009D587E">
                <w:rPr>
                  <w:rStyle w:val="Hyperlink"/>
                </w:rPr>
                <w:t>unik</w:t>
              </w:r>
              <w:proofErr w:type="spellEnd"/>
              <w:r w:rsidRPr="009D587E">
                <w:rPr>
                  <w:rStyle w:val="Hyperlink"/>
                </w:rPr>
                <w:t xml:space="preserve"> </w:t>
              </w:r>
              <w:proofErr w:type="spellStart"/>
              <w:r w:rsidRPr="009D587E">
                <w:rPr>
                  <w:rStyle w:val="Hyperlink"/>
                </w:rPr>
                <w:t>sikkerhetstest</w:t>
              </w:r>
              <w:proofErr w:type="spellEnd"/>
              <w:r w:rsidRPr="009D587E">
                <w:rPr>
                  <w:rStyle w:val="Hyperlink"/>
                </w:rPr>
                <w:t xml:space="preserve"> </w:t>
              </w:r>
              <w:proofErr w:type="spellStart"/>
              <w:r w:rsidRPr="009D587E">
                <w:rPr>
                  <w:rStyle w:val="Hyperlink"/>
                </w:rPr>
                <w:t>av</w:t>
              </w:r>
              <w:proofErr w:type="spellEnd"/>
              <w:r w:rsidRPr="009D587E">
                <w:rPr>
                  <w:rStyle w:val="Hyperlink"/>
                </w:rPr>
                <w:t xml:space="preserve"> </w:t>
              </w:r>
              <w:proofErr w:type="spellStart"/>
              <w:r w:rsidRPr="009D587E">
                <w:rPr>
                  <w:rStyle w:val="Hyperlink"/>
                </w:rPr>
                <w:t>elektriske</w:t>
              </w:r>
              <w:proofErr w:type="spellEnd"/>
              <w:r w:rsidRPr="009D587E">
                <w:rPr>
                  <w:rStyle w:val="Hyperlink"/>
                </w:rPr>
                <w:t xml:space="preserve"> </w:t>
              </w:r>
              <w:proofErr w:type="spellStart"/>
              <w:r w:rsidRPr="009D587E">
                <w:rPr>
                  <w:rStyle w:val="Hyperlink"/>
                </w:rPr>
                <w:t>busser</w:t>
              </w:r>
              <w:proofErr w:type="spellEnd"/>
              <w:r w:rsidRPr="009D587E">
                <w:rPr>
                  <w:rStyle w:val="Hyperlink"/>
                </w:rPr>
                <w:t xml:space="preserve"> | </w:t>
              </w:r>
              <w:proofErr w:type="spellStart"/>
              <w:r w:rsidRPr="009D587E">
                <w:rPr>
                  <w:rStyle w:val="Hyperlink"/>
                </w:rPr>
                <w:t>Ruter</w:t>
              </w:r>
              <w:proofErr w:type="spellEnd"/>
              <w:r w:rsidRPr="009D587E">
                <w:rPr>
                  <w:rStyle w:val="Hyperlink"/>
                </w:rPr>
                <w:t xml:space="preserve"> AS</w:t>
              </w:r>
            </w:hyperlink>
          </w:p>
          <w:p w14:paraId="5CBD583B" w14:textId="77777777" w:rsidR="009D587E" w:rsidRDefault="009D587E" w:rsidP="00C41F26">
            <w:pPr>
              <w:spacing w:after="0" w:line="240" w:lineRule="auto"/>
            </w:pPr>
          </w:p>
          <w:p w14:paraId="5212E901" w14:textId="77777777" w:rsidR="009D587E" w:rsidRDefault="009D587E" w:rsidP="00C41F26">
            <w:pPr>
              <w:spacing w:after="0" w:line="240" w:lineRule="auto"/>
            </w:pPr>
            <w:hyperlink r:id="rId17" w:history="1">
              <w:proofErr w:type="spellStart"/>
              <w:r w:rsidRPr="009D587E">
                <w:rPr>
                  <w:rStyle w:val="Hyperlink"/>
                </w:rPr>
                <w:t>Aftenposten</w:t>
              </w:r>
              <w:proofErr w:type="spellEnd"/>
            </w:hyperlink>
            <w:r w:rsidRPr="009D587E">
              <w:t xml:space="preserve"> </w:t>
            </w:r>
          </w:p>
          <w:p w14:paraId="080365D3" w14:textId="503310A8" w:rsidR="009D587E" w:rsidRPr="00E01FA9" w:rsidRDefault="009D587E" w:rsidP="00C41F26">
            <w:pPr>
              <w:spacing w:after="0" w:line="240" w:lineRule="auto"/>
            </w:pPr>
            <w:r w:rsidRPr="009D587E">
              <w:t xml:space="preserve"> </w:t>
            </w:r>
            <w:hyperlink r:id="rId18" w:history="1">
              <w:r w:rsidRPr="009D587E">
                <w:rPr>
                  <w:rStyle w:val="Hyperlink"/>
                </w:rPr>
                <w:t>NRK</w:t>
              </w:r>
            </w:hyperlink>
          </w:p>
        </w:tc>
        <w:tc>
          <w:tcPr>
            <w:tcW w:w="1436" w:type="dxa"/>
            <w:tcMar>
              <w:top w:w="29" w:type="dxa"/>
              <w:left w:w="115" w:type="dxa"/>
              <w:bottom w:w="29" w:type="dxa"/>
              <w:right w:w="115" w:type="dxa"/>
            </w:tcMar>
          </w:tcPr>
          <w:p w14:paraId="05660C20" w14:textId="77777777" w:rsidR="009D587E" w:rsidRPr="00F50348" w:rsidRDefault="009D587E" w:rsidP="00C41F26">
            <w:pPr>
              <w:rPr>
                <w:rFonts w:ascii="Times New Roman" w:eastAsia="Times New Roman" w:hAnsi="Times New Roman"/>
              </w:rPr>
            </w:pPr>
          </w:p>
        </w:tc>
      </w:tr>
      <w:tr w:rsidR="00A65D5A" w:rsidRPr="00F50348" w14:paraId="50697672" w14:textId="77777777" w:rsidTr="0033090E">
        <w:trPr>
          <w:gridAfter w:val="1"/>
          <w:wAfter w:w="11" w:type="dxa"/>
          <w:trHeight w:val="234"/>
        </w:trPr>
        <w:tc>
          <w:tcPr>
            <w:tcW w:w="1419" w:type="dxa"/>
            <w:tcMar>
              <w:top w:w="29" w:type="dxa"/>
              <w:left w:w="115" w:type="dxa"/>
              <w:bottom w:w="29" w:type="dxa"/>
              <w:right w:w="115" w:type="dxa"/>
            </w:tcMar>
          </w:tcPr>
          <w:p w14:paraId="7A538413" w14:textId="078AC84C" w:rsidR="00A65D5A" w:rsidRDefault="00AB4BA4" w:rsidP="00C41F26">
            <w:pPr>
              <w:spacing w:after="0" w:line="240" w:lineRule="auto"/>
              <w:rPr>
                <w:rFonts w:ascii="Times New Roman" w:eastAsia="Times New Roman" w:hAnsi="Times New Roman"/>
              </w:rPr>
            </w:pPr>
            <w:r>
              <w:rPr>
                <w:rFonts w:ascii="Times New Roman" w:eastAsia="Times New Roman" w:hAnsi="Times New Roman"/>
              </w:rPr>
              <w:t>2025 11 13</w:t>
            </w:r>
          </w:p>
        </w:tc>
        <w:tc>
          <w:tcPr>
            <w:tcW w:w="5811" w:type="dxa"/>
            <w:tcMar>
              <w:top w:w="29" w:type="dxa"/>
              <w:left w:w="115" w:type="dxa"/>
              <w:bottom w:w="29" w:type="dxa"/>
              <w:right w:w="115" w:type="dxa"/>
            </w:tcMar>
          </w:tcPr>
          <w:p w14:paraId="17D41552" w14:textId="65E1FB2E" w:rsidR="00A65D5A" w:rsidRPr="00A65D5A" w:rsidRDefault="00A65D5A" w:rsidP="00A65D5A">
            <w:pPr>
              <w:spacing w:after="0" w:line="240" w:lineRule="auto"/>
              <w:jc w:val="both"/>
              <w:rPr>
                <w:rFonts w:ascii="Times New Roman" w:eastAsia="Times New Roman" w:hAnsi="Times New Roman"/>
              </w:rPr>
            </w:pPr>
            <w:r w:rsidRPr="00A65D5A">
              <w:rPr>
                <w:rFonts w:ascii="Times New Roman" w:eastAsia="Times New Roman" w:hAnsi="Times New Roman"/>
              </w:rPr>
              <w:t>Norvegijos nevyriausybinė organizacija „</w:t>
            </w:r>
            <w:proofErr w:type="spellStart"/>
            <w:r w:rsidRPr="00A65D5A">
              <w:rPr>
                <w:rFonts w:ascii="Times New Roman" w:eastAsia="Times New Roman" w:hAnsi="Times New Roman"/>
              </w:rPr>
              <w:t>Tax</w:t>
            </w:r>
            <w:proofErr w:type="spellEnd"/>
            <w:r w:rsidRPr="00A65D5A">
              <w:rPr>
                <w:rFonts w:ascii="Times New Roman" w:eastAsia="Times New Roman" w:hAnsi="Times New Roman"/>
              </w:rPr>
              <w:t xml:space="preserve"> </w:t>
            </w:r>
            <w:proofErr w:type="spellStart"/>
            <w:r w:rsidRPr="00A65D5A">
              <w:rPr>
                <w:rFonts w:ascii="Times New Roman" w:eastAsia="Times New Roman" w:hAnsi="Times New Roman"/>
              </w:rPr>
              <w:t>Justice</w:t>
            </w:r>
            <w:proofErr w:type="spellEnd"/>
            <w:r w:rsidRPr="00A65D5A">
              <w:rPr>
                <w:rFonts w:ascii="Times New Roman" w:eastAsia="Times New Roman" w:hAnsi="Times New Roman"/>
              </w:rPr>
              <w:t xml:space="preserve"> </w:t>
            </w:r>
            <w:proofErr w:type="spellStart"/>
            <w:r w:rsidRPr="00A65D5A">
              <w:rPr>
                <w:rFonts w:ascii="Times New Roman" w:eastAsia="Times New Roman" w:hAnsi="Times New Roman"/>
              </w:rPr>
              <w:t>Norway</w:t>
            </w:r>
            <w:proofErr w:type="spellEnd"/>
            <w:r w:rsidRPr="00A65D5A">
              <w:rPr>
                <w:rFonts w:ascii="Times New Roman" w:eastAsia="Times New Roman" w:hAnsi="Times New Roman"/>
              </w:rPr>
              <w:t xml:space="preserve">“ (TJN) peržiūrėjo naująjį </w:t>
            </w:r>
            <w:proofErr w:type="spellStart"/>
            <w:r w:rsidRPr="00A65D5A">
              <w:rPr>
                <w:rFonts w:ascii="Times New Roman" w:eastAsia="Times New Roman" w:hAnsi="Times New Roman"/>
              </w:rPr>
              <w:t>Brønnøysund</w:t>
            </w:r>
            <w:proofErr w:type="spellEnd"/>
            <w:r w:rsidRPr="00A65D5A">
              <w:rPr>
                <w:rFonts w:ascii="Times New Roman" w:eastAsia="Times New Roman" w:hAnsi="Times New Roman"/>
              </w:rPr>
              <w:t xml:space="preserve"> vieš</w:t>
            </w:r>
            <w:r w:rsidR="00AB4BA4">
              <w:rPr>
                <w:rFonts w:ascii="Times New Roman" w:eastAsia="Times New Roman" w:hAnsi="Times New Roman"/>
              </w:rPr>
              <w:t>ą</w:t>
            </w:r>
            <w:r w:rsidRPr="00A65D5A">
              <w:rPr>
                <w:rFonts w:ascii="Times New Roman" w:eastAsia="Times New Roman" w:hAnsi="Times New Roman"/>
              </w:rPr>
              <w:t xml:space="preserve"> nuosavybės registrą ir nustatė 1 031 Norvegijos įmonę, kurias kontroliuoja asmenys turintys Rusijos, Kinijos arba Irano pilietybę. 2015 m. </w:t>
            </w:r>
            <w:proofErr w:type="spellStart"/>
            <w:r w:rsidRPr="00A65D5A">
              <w:rPr>
                <w:rFonts w:ascii="Times New Roman" w:eastAsia="Times New Roman" w:hAnsi="Times New Roman"/>
              </w:rPr>
              <w:t>Stortingas</w:t>
            </w:r>
            <w:proofErr w:type="spellEnd"/>
            <w:r w:rsidRPr="00A65D5A">
              <w:rPr>
                <w:rFonts w:ascii="Times New Roman" w:eastAsia="Times New Roman" w:hAnsi="Times New Roman"/>
              </w:rPr>
              <w:t xml:space="preserve"> paprašė Vyriausybės sukurti viešą nuosavybės registrą, tačiau jis įgyvendintas tik po dešimties metų. TJN </w:t>
            </w:r>
            <w:r w:rsidR="00AB4BA4">
              <w:rPr>
                <w:rFonts w:ascii="Times New Roman" w:eastAsia="Times New Roman" w:hAnsi="Times New Roman"/>
              </w:rPr>
              <w:t xml:space="preserve">tyrimas </w:t>
            </w:r>
            <w:r w:rsidRPr="00A65D5A">
              <w:rPr>
                <w:rFonts w:ascii="Times New Roman" w:eastAsia="Times New Roman" w:hAnsi="Times New Roman"/>
              </w:rPr>
              <w:t>nustat</w:t>
            </w:r>
            <w:r w:rsidR="00AB4BA4">
              <w:rPr>
                <w:rFonts w:ascii="Times New Roman" w:eastAsia="Times New Roman" w:hAnsi="Times New Roman"/>
              </w:rPr>
              <w:t>ė, kad</w:t>
            </w:r>
            <w:r w:rsidRPr="00A65D5A">
              <w:rPr>
                <w:rFonts w:ascii="Times New Roman" w:eastAsia="Times New Roman" w:hAnsi="Times New Roman"/>
              </w:rPr>
              <w:t>:</w:t>
            </w:r>
          </w:p>
          <w:p w14:paraId="1BCA135F" w14:textId="77777777" w:rsidR="00A65D5A" w:rsidRPr="00A65D5A" w:rsidRDefault="00A65D5A" w:rsidP="00A65D5A">
            <w:pPr>
              <w:spacing w:after="0" w:line="240" w:lineRule="auto"/>
              <w:jc w:val="both"/>
              <w:rPr>
                <w:rFonts w:ascii="Times New Roman" w:eastAsia="Times New Roman" w:hAnsi="Times New Roman"/>
              </w:rPr>
            </w:pPr>
            <w:r w:rsidRPr="00A65D5A">
              <w:rPr>
                <w:rFonts w:ascii="Times New Roman" w:eastAsia="Times New Roman" w:hAnsi="Times New Roman"/>
              </w:rPr>
              <w:lastRenderedPageBreak/>
              <w:t>381 Norvegijos įmonę kontroliuoja Rusijos piliečiai, iš jų 12 gyvena Rusijoje;</w:t>
            </w:r>
          </w:p>
          <w:p w14:paraId="22D4D1B2" w14:textId="77777777" w:rsidR="00A65D5A" w:rsidRPr="00A65D5A" w:rsidRDefault="00A65D5A" w:rsidP="00A65D5A">
            <w:pPr>
              <w:spacing w:after="0" w:line="240" w:lineRule="auto"/>
              <w:jc w:val="both"/>
              <w:rPr>
                <w:rFonts w:ascii="Times New Roman" w:eastAsia="Times New Roman" w:hAnsi="Times New Roman"/>
              </w:rPr>
            </w:pPr>
            <w:r w:rsidRPr="00A65D5A">
              <w:rPr>
                <w:rFonts w:ascii="Times New Roman" w:eastAsia="Times New Roman" w:hAnsi="Times New Roman"/>
              </w:rPr>
              <w:t>378 įmones kontroliuoja Kinijos piliečiai, iš jų 32 gyvena Kinijoje;</w:t>
            </w:r>
          </w:p>
          <w:p w14:paraId="398632E9" w14:textId="77777777" w:rsidR="00A65D5A" w:rsidRPr="00A65D5A" w:rsidRDefault="00A65D5A" w:rsidP="00A65D5A">
            <w:pPr>
              <w:spacing w:after="0" w:line="240" w:lineRule="auto"/>
              <w:jc w:val="both"/>
              <w:rPr>
                <w:rFonts w:ascii="Times New Roman" w:eastAsia="Times New Roman" w:hAnsi="Times New Roman"/>
              </w:rPr>
            </w:pPr>
            <w:r w:rsidRPr="00A65D5A">
              <w:rPr>
                <w:rFonts w:ascii="Times New Roman" w:eastAsia="Times New Roman" w:hAnsi="Times New Roman"/>
              </w:rPr>
              <w:t>272 įmones kontroliuoja Irano piliečiai, iš jų apie 10 gyvena Irane.</w:t>
            </w:r>
          </w:p>
          <w:p w14:paraId="70FEC9F4" w14:textId="4ED1FE6C" w:rsidR="00A65D5A" w:rsidRPr="009D587E" w:rsidRDefault="00A65D5A" w:rsidP="00A65D5A">
            <w:pPr>
              <w:spacing w:after="0" w:line="240" w:lineRule="auto"/>
              <w:jc w:val="both"/>
              <w:rPr>
                <w:rFonts w:ascii="Times New Roman" w:eastAsia="Times New Roman" w:hAnsi="Times New Roman"/>
              </w:rPr>
            </w:pPr>
            <w:r w:rsidRPr="00A65D5A">
              <w:rPr>
                <w:rFonts w:ascii="Times New Roman" w:eastAsia="Times New Roman" w:hAnsi="Times New Roman"/>
              </w:rPr>
              <w:t xml:space="preserve">Kalbant apie kritinę infrastruktūrą Norvegijoje, 15 įmonių naudą gauna Rusijos piliečiai, 10 – Kinijos piliečiai, 11 – Irano piliečiai. Nacionalinė saugumo tarnyba (NSM) teigia, kad pati savaime tai nėra problema, tačiau </w:t>
            </w:r>
            <w:r w:rsidR="00AB4BA4">
              <w:rPr>
                <w:rFonts w:ascii="Times New Roman" w:eastAsia="Times New Roman" w:hAnsi="Times New Roman"/>
              </w:rPr>
              <w:t>tai yra priežastis</w:t>
            </w:r>
            <w:r w:rsidRPr="00A65D5A">
              <w:rPr>
                <w:rFonts w:ascii="Times New Roman" w:eastAsia="Times New Roman" w:hAnsi="Times New Roman"/>
              </w:rPr>
              <w:t>, kodėl NSM stebi nuosavybę įmonėse, kurioms taikomas Norvegijos saugumo įstatymas.</w:t>
            </w:r>
          </w:p>
        </w:tc>
        <w:tc>
          <w:tcPr>
            <w:tcW w:w="2268" w:type="dxa"/>
            <w:tcMar>
              <w:top w:w="29" w:type="dxa"/>
              <w:left w:w="115" w:type="dxa"/>
              <w:bottom w:w="29" w:type="dxa"/>
              <w:right w:w="115" w:type="dxa"/>
            </w:tcMar>
          </w:tcPr>
          <w:p w14:paraId="79969BFC" w14:textId="61F7A843" w:rsidR="00A65D5A" w:rsidRPr="009D587E" w:rsidRDefault="00AB4BA4" w:rsidP="00C41F26">
            <w:pPr>
              <w:spacing w:after="0" w:line="240" w:lineRule="auto"/>
            </w:pPr>
            <w:hyperlink r:id="rId19" w:history="1">
              <w:r w:rsidRPr="00AB4BA4">
                <w:rPr>
                  <w:rStyle w:val="Hyperlink"/>
                  <w:lang w:val="nb-NO"/>
                </w:rPr>
                <w:t>nrk.no</w:t>
              </w:r>
            </w:hyperlink>
          </w:p>
        </w:tc>
        <w:tc>
          <w:tcPr>
            <w:tcW w:w="1436" w:type="dxa"/>
            <w:tcMar>
              <w:top w:w="29" w:type="dxa"/>
              <w:left w:w="115" w:type="dxa"/>
              <w:bottom w:w="29" w:type="dxa"/>
              <w:right w:w="115" w:type="dxa"/>
            </w:tcMar>
          </w:tcPr>
          <w:p w14:paraId="21EB069D" w14:textId="77777777" w:rsidR="00A65D5A" w:rsidRPr="00F50348" w:rsidRDefault="00A65D5A"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66CC0542" w:rsidR="001E14EC" w:rsidRPr="00F50348" w:rsidRDefault="001E14EC" w:rsidP="001E14EC">
            <w:pPr>
              <w:spacing w:after="0" w:line="240" w:lineRule="auto"/>
              <w:rPr>
                <w:rFonts w:ascii="Times New Roman" w:eastAsia="Times New Roman" w:hAnsi="Times New Roman"/>
              </w:rPr>
            </w:pPr>
          </w:p>
        </w:tc>
        <w:tc>
          <w:tcPr>
            <w:tcW w:w="5811" w:type="dxa"/>
            <w:tcMar>
              <w:top w:w="29" w:type="dxa"/>
              <w:left w:w="115" w:type="dxa"/>
              <w:bottom w:w="29" w:type="dxa"/>
              <w:right w:w="115" w:type="dxa"/>
            </w:tcMar>
          </w:tcPr>
          <w:p w14:paraId="01A28702" w14:textId="6C5EE812" w:rsidR="001E14EC" w:rsidRPr="00E06183" w:rsidRDefault="00DF427C" w:rsidP="00093CE5">
            <w:pPr>
              <w:spacing w:after="0" w:line="240" w:lineRule="auto"/>
              <w:jc w:val="both"/>
              <w:rPr>
                <w:rFonts w:ascii="Times New Roman" w:eastAsia="Times New Roman" w:hAnsi="Times New Roman"/>
              </w:rPr>
            </w:pPr>
            <w:r w:rsidRPr="00DF427C">
              <w:rPr>
                <w:rFonts w:ascii="Times New Roman" w:eastAsia="Times New Roman" w:hAnsi="Times New Roman"/>
              </w:rPr>
              <w:t xml:space="preserve">Prekybos ir pramonės ministrė Cecilie </w:t>
            </w:r>
            <w:proofErr w:type="spellStart"/>
            <w:r w:rsidRPr="00DF427C">
              <w:rPr>
                <w:rFonts w:ascii="Times New Roman" w:eastAsia="Times New Roman" w:hAnsi="Times New Roman"/>
              </w:rPr>
              <w:t>Myrseth</w:t>
            </w:r>
            <w:proofErr w:type="spellEnd"/>
            <w:r w:rsidRPr="00DF427C">
              <w:rPr>
                <w:rFonts w:ascii="Times New Roman" w:eastAsia="Times New Roman" w:hAnsi="Times New Roman"/>
              </w:rPr>
              <w:t xml:space="preserve"> ir užsienio reikalų ministras Espen </w:t>
            </w:r>
            <w:proofErr w:type="spellStart"/>
            <w:r w:rsidRPr="00DF427C">
              <w:rPr>
                <w:rFonts w:ascii="Times New Roman" w:eastAsia="Times New Roman" w:hAnsi="Times New Roman"/>
              </w:rPr>
              <w:t>Barth</w:t>
            </w:r>
            <w:proofErr w:type="spellEnd"/>
            <w:r w:rsidRPr="00DF427C">
              <w:rPr>
                <w:rFonts w:ascii="Times New Roman" w:eastAsia="Times New Roman" w:hAnsi="Times New Roman"/>
              </w:rPr>
              <w:t xml:space="preserve"> </w:t>
            </w:r>
            <w:proofErr w:type="spellStart"/>
            <w:r w:rsidRPr="00DF427C">
              <w:rPr>
                <w:rFonts w:ascii="Times New Roman" w:eastAsia="Times New Roman" w:hAnsi="Times New Roman"/>
              </w:rPr>
              <w:t>Eide</w:t>
            </w:r>
            <w:proofErr w:type="spellEnd"/>
            <w:r w:rsidRPr="00DF427C">
              <w:rPr>
                <w:rFonts w:ascii="Times New Roman" w:eastAsia="Times New Roman" w:hAnsi="Times New Roman"/>
              </w:rPr>
              <w:t xml:space="preserve"> išreiškė nuogąstavimus dėl ES Komisijos sprendimo įvesti apsaugines priemones ferolydiniams, kurios taip pat taikomos ir Norvegijai. Nors Norvegija remia Europos pramonės apsaugos tikslus, šios priemonės neigiamai paveiks šalies įmones, todėl sprendimas bus peržiūrėtas kartu su pramone ir socialiniais partneriais. </w:t>
            </w:r>
            <w:proofErr w:type="spellStart"/>
            <w:r w:rsidRPr="00DF427C">
              <w:rPr>
                <w:rFonts w:ascii="Times New Roman" w:eastAsia="Times New Roman" w:hAnsi="Times New Roman"/>
              </w:rPr>
              <w:t>Barth</w:t>
            </w:r>
            <w:proofErr w:type="spellEnd"/>
            <w:r w:rsidRPr="00DF427C">
              <w:rPr>
                <w:rFonts w:ascii="Times New Roman" w:eastAsia="Times New Roman" w:hAnsi="Times New Roman"/>
              </w:rPr>
              <w:t xml:space="preserve"> </w:t>
            </w:r>
            <w:proofErr w:type="spellStart"/>
            <w:r w:rsidRPr="00DF427C">
              <w:rPr>
                <w:rFonts w:ascii="Times New Roman" w:eastAsia="Times New Roman" w:hAnsi="Times New Roman"/>
              </w:rPr>
              <w:t>Eide</w:t>
            </w:r>
            <w:proofErr w:type="spellEnd"/>
            <w:r w:rsidRPr="00DF427C">
              <w:rPr>
                <w:rFonts w:ascii="Times New Roman" w:eastAsia="Times New Roman" w:hAnsi="Times New Roman"/>
              </w:rPr>
              <w:t xml:space="preserve"> teigia, kad kontaktai su ES bus tęsiami siekiant apsaugoti Norvegijos pramonės ir eksporto interesus, o ši tema bus svarstoma artėjančiame EEE Tarybos susitikime. Sprendimą inicijavo Lenkija, Slovakija ir Prancūzija, su Ispanijos parama, 17 valstybių narės balsavo už, o tik 6 – už Norvegijos išimtį. „</w:t>
            </w:r>
            <w:proofErr w:type="spellStart"/>
            <w:r w:rsidRPr="00DF427C">
              <w:rPr>
                <w:rFonts w:ascii="Times New Roman" w:eastAsia="Times New Roman" w:hAnsi="Times New Roman"/>
              </w:rPr>
              <w:t>Norsk</w:t>
            </w:r>
            <w:proofErr w:type="spellEnd"/>
            <w:r w:rsidRPr="00DF427C">
              <w:rPr>
                <w:rFonts w:ascii="Times New Roman" w:eastAsia="Times New Roman" w:hAnsi="Times New Roman"/>
              </w:rPr>
              <w:t xml:space="preserve"> </w:t>
            </w:r>
            <w:proofErr w:type="spellStart"/>
            <w:r w:rsidRPr="00DF427C">
              <w:rPr>
                <w:rFonts w:ascii="Times New Roman" w:eastAsia="Times New Roman" w:hAnsi="Times New Roman"/>
              </w:rPr>
              <w:t>Industri</w:t>
            </w:r>
            <w:proofErr w:type="spellEnd"/>
            <w:r w:rsidRPr="00DF427C">
              <w:rPr>
                <w:rFonts w:ascii="Times New Roman" w:eastAsia="Times New Roman" w:hAnsi="Times New Roman"/>
              </w:rPr>
              <w:t xml:space="preserve">“ vadovas </w:t>
            </w:r>
            <w:proofErr w:type="spellStart"/>
            <w:r w:rsidRPr="00DF427C">
              <w:rPr>
                <w:rFonts w:ascii="Times New Roman" w:eastAsia="Times New Roman" w:hAnsi="Times New Roman"/>
              </w:rPr>
              <w:t>Haraldas</w:t>
            </w:r>
            <w:proofErr w:type="spellEnd"/>
            <w:r w:rsidRPr="00DF427C">
              <w:rPr>
                <w:rFonts w:ascii="Times New Roman" w:eastAsia="Times New Roman" w:hAnsi="Times New Roman"/>
              </w:rPr>
              <w:t xml:space="preserve"> </w:t>
            </w:r>
            <w:proofErr w:type="spellStart"/>
            <w:r w:rsidRPr="00DF427C">
              <w:rPr>
                <w:rFonts w:ascii="Times New Roman" w:eastAsia="Times New Roman" w:hAnsi="Times New Roman"/>
              </w:rPr>
              <w:t>Solbergas</w:t>
            </w:r>
            <w:proofErr w:type="spellEnd"/>
            <w:r w:rsidRPr="00DF427C">
              <w:rPr>
                <w:rFonts w:ascii="Times New Roman" w:eastAsia="Times New Roman" w:hAnsi="Times New Roman"/>
              </w:rPr>
              <w:t xml:space="preserve"> teigia, kad sprendimas atskleidžia EEE sutarties trūkumus, o </w:t>
            </w:r>
            <w:proofErr w:type="spellStart"/>
            <w:r w:rsidRPr="00DF427C">
              <w:rPr>
                <w:rFonts w:ascii="Times New Roman" w:eastAsia="Times New Roman" w:hAnsi="Times New Roman"/>
              </w:rPr>
              <w:t>Fellesforbundet</w:t>
            </w:r>
            <w:proofErr w:type="spellEnd"/>
            <w:r w:rsidRPr="00DF427C">
              <w:rPr>
                <w:rFonts w:ascii="Times New Roman" w:eastAsia="Times New Roman" w:hAnsi="Times New Roman"/>
              </w:rPr>
              <w:t xml:space="preserve"> išlieka prieštaraujanti Norvegijos narystei ES.</w:t>
            </w:r>
          </w:p>
        </w:tc>
        <w:tc>
          <w:tcPr>
            <w:tcW w:w="2268" w:type="dxa"/>
            <w:tcMar>
              <w:top w:w="29" w:type="dxa"/>
              <w:left w:w="115" w:type="dxa"/>
              <w:bottom w:w="29" w:type="dxa"/>
              <w:right w:w="115" w:type="dxa"/>
            </w:tcMar>
          </w:tcPr>
          <w:p w14:paraId="532209A1" w14:textId="571C4924" w:rsidR="001E14EC" w:rsidRDefault="00DF427C" w:rsidP="001E14EC">
            <w:pPr>
              <w:spacing w:after="0" w:line="240" w:lineRule="auto"/>
            </w:pPr>
            <w:hyperlink r:id="rId20" w:history="1">
              <w:proofErr w:type="spellStart"/>
              <w:r w:rsidRPr="00784B57">
                <w:rPr>
                  <w:rStyle w:val="Hyperlink"/>
                  <w:rFonts w:ascii="Times New Roman" w:hAnsi="Times New Roman"/>
                </w:rPr>
                <w:t>MoT&amp;I</w:t>
              </w:r>
              <w:proofErr w:type="spellEnd"/>
              <w:r w:rsidRPr="00784B57">
                <w:rPr>
                  <w:rStyle w:val="Hyperlink"/>
                  <w:rFonts w:ascii="Times New Roman" w:hAnsi="Times New Roman"/>
                </w:rPr>
                <w:t>/MFA</w:t>
              </w:r>
            </w:hyperlink>
            <w:r w:rsidRPr="00784B57">
              <w:rPr>
                <w:rFonts w:ascii="Times New Roman" w:hAnsi="Times New Roman"/>
              </w:rPr>
              <w:t xml:space="preserve">; </w:t>
            </w:r>
            <w:hyperlink r:id="rId21" w:history="1">
              <w:r w:rsidRPr="00784B57">
                <w:rPr>
                  <w:rStyle w:val="Hyperlink"/>
                  <w:rFonts w:ascii="Times New Roman" w:hAnsi="Times New Roman"/>
                </w:rPr>
                <w:t>e24.no</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21DA803D" w:rsidR="001E14EC" w:rsidRDefault="00212D4F" w:rsidP="001E14EC">
            <w:pPr>
              <w:spacing w:after="0" w:line="240" w:lineRule="auto"/>
              <w:rPr>
                <w:rFonts w:ascii="Times New Roman" w:eastAsia="Times New Roman" w:hAnsi="Times New Roman"/>
              </w:rPr>
            </w:pPr>
            <w:r>
              <w:rPr>
                <w:rFonts w:ascii="Times New Roman" w:eastAsia="Times New Roman" w:hAnsi="Times New Roman"/>
              </w:rPr>
              <w:t>2025 11 28</w:t>
            </w:r>
          </w:p>
        </w:tc>
        <w:tc>
          <w:tcPr>
            <w:tcW w:w="5811" w:type="dxa"/>
            <w:tcMar>
              <w:top w:w="29" w:type="dxa"/>
              <w:left w:w="115" w:type="dxa"/>
              <w:bottom w:w="29" w:type="dxa"/>
              <w:right w:w="115" w:type="dxa"/>
            </w:tcMar>
          </w:tcPr>
          <w:p w14:paraId="4949CCE6" w14:textId="71C0EA71" w:rsidR="001E14EC" w:rsidRPr="00E46E0F" w:rsidRDefault="00212D4F" w:rsidP="001E14EC">
            <w:pPr>
              <w:spacing w:after="0" w:line="240" w:lineRule="auto"/>
              <w:jc w:val="both"/>
              <w:rPr>
                <w:rFonts w:ascii="Times New Roman" w:eastAsia="Times New Roman" w:hAnsi="Times New Roman"/>
              </w:rPr>
            </w:pPr>
            <w:r w:rsidRPr="00212D4F">
              <w:rPr>
                <w:rFonts w:ascii="Times New Roman" w:eastAsia="Times New Roman" w:hAnsi="Times New Roman"/>
              </w:rPr>
              <w:t xml:space="preserve">Metų pradžioje nedarbas Norvegijoje augo, tačiau dabar padėtis stabilizavosi. Remiantis Norvegijos statistikos tarnybos duomenimis, spalį šalyje buvo 142 tūkst. bedarbių arba neturinčių viso darbo krūvio – tai sudaro 4,7% darbo jėgos. Tuo pačiu laikotarpiu darbo vietų skaičius padidėjo beveik 6,8 tūkst., arba 0,2% pagal sezoninius preliminarius duomenis. Didžiausias augimas užfiksuotas sveikatos priežiūros ir socialinių paslaugų sektoriuje. Daugiausia naujų darbo vietų atsirado tarp vyresnių nei 55 metų darbuotojų. </w:t>
            </w:r>
            <w:r>
              <w:rPr>
                <w:rFonts w:ascii="Times New Roman" w:eastAsia="Times New Roman" w:hAnsi="Times New Roman"/>
              </w:rPr>
              <w:t>D</w:t>
            </w:r>
            <w:r w:rsidRPr="00212D4F">
              <w:rPr>
                <w:rFonts w:ascii="Times New Roman" w:eastAsia="Times New Roman" w:hAnsi="Times New Roman"/>
              </w:rPr>
              <w:t>alis pastaraisiais metais matomo augimo susijusi su tuo, kad vis daugiau vyresnio amžiaus žmonių tęsia darbą ir sulaukę pensinio amžiaus.</w:t>
            </w:r>
          </w:p>
        </w:tc>
        <w:tc>
          <w:tcPr>
            <w:tcW w:w="2268" w:type="dxa"/>
            <w:tcMar>
              <w:top w:w="29" w:type="dxa"/>
              <w:left w:w="115" w:type="dxa"/>
              <w:bottom w:w="29" w:type="dxa"/>
              <w:right w:w="115" w:type="dxa"/>
            </w:tcMar>
          </w:tcPr>
          <w:p w14:paraId="2F466CF2" w14:textId="5EF5A69C" w:rsidR="001E14EC" w:rsidRPr="00F001DB" w:rsidRDefault="00212D4F" w:rsidP="00212D4F">
            <w:pPr>
              <w:spacing w:after="0" w:line="240" w:lineRule="auto"/>
              <w:ind w:firstLine="720"/>
              <w:rPr>
                <w:rFonts w:ascii="Times New Roman" w:eastAsia="Times New Roman" w:hAnsi="Times New Roman"/>
              </w:rPr>
            </w:pPr>
            <w:r w:rsidRPr="00212D4F">
              <w:rPr>
                <w:rFonts w:ascii="Times New Roman" w:eastAsia="Times New Roman" w:hAnsi="Times New Roman"/>
                <w:lang w:val="en-GB"/>
              </w:rPr>
              <w:t>Aft p11</w:t>
            </w:r>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196A578D" w:rsidR="001E14EC" w:rsidRDefault="00611F27" w:rsidP="001E14EC">
            <w:pPr>
              <w:spacing w:after="0" w:line="240" w:lineRule="auto"/>
              <w:rPr>
                <w:rFonts w:ascii="Times New Roman" w:eastAsia="Times New Roman" w:hAnsi="Times New Roman"/>
              </w:rPr>
            </w:pPr>
            <w:r>
              <w:rPr>
                <w:rFonts w:ascii="Times New Roman" w:eastAsia="Times New Roman" w:hAnsi="Times New Roman"/>
              </w:rPr>
              <w:t>2025 11 28</w:t>
            </w:r>
          </w:p>
        </w:tc>
        <w:tc>
          <w:tcPr>
            <w:tcW w:w="5811" w:type="dxa"/>
            <w:tcMar>
              <w:top w:w="29" w:type="dxa"/>
              <w:left w:w="115" w:type="dxa"/>
              <w:bottom w:w="29" w:type="dxa"/>
              <w:right w:w="115" w:type="dxa"/>
            </w:tcMar>
          </w:tcPr>
          <w:p w14:paraId="05837F8F" w14:textId="4B2F570F" w:rsidR="001E14EC" w:rsidRPr="00206FF8" w:rsidRDefault="00611F27" w:rsidP="00611F27">
            <w:pPr>
              <w:spacing w:after="0" w:line="240" w:lineRule="auto"/>
              <w:jc w:val="both"/>
              <w:rPr>
                <w:rFonts w:ascii="Times New Roman" w:eastAsia="Times New Roman" w:hAnsi="Times New Roman"/>
              </w:rPr>
            </w:pPr>
            <w:r w:rsidRPr="00611F27">
              <w:rPr>
                <w:rFonts w:ascii="Times New Roman" w:eastAsia="Times New Roman" w:hAnsi="Times New Roman"/>
              </w:rPr>
              <w:t xml:space="preserve">2025 m. naujai subalansuotame biudžete numatoma panaudoti 525,8 mlrd. NOK iš </w:t>
            </w:r>
            <w:r>
              <w:rPr>
                <w:rFonts w:ascii="Times New Roman" w:eastAsia="Times New Roman" w:hAnsi="Times New Roman"/>
              </w:rPr>
              <w:t>Naftos fondo</w:t>
            </w:r>
            <w:r w:rsidRPr="00611F27">
              <w:rPr>
                <w:rFonts w:ascii="Times New Roman" w:eastAsia="Times New Roman" w:hAnsi="Times New Roman"/>
              </w:rPr>
              <w:t xml:space="preserve">, skaičiuojant pagal struktūrinį ne naftos biudžeto deficitą. Tai sudaro 2,7 proc. </w:t>
            </w:r>
            <w:r>
              <w:rPr>
                <w:rFonts w:ascii="Times New Roman" w:eastAsia="Times New Roman" w:hAnsi="Times New Roman"/>
              </w:rPr>
              <w:t>Naftos</w:t>
            </w:r>
            <w:r w:rsidRPr="00611F27">
              <w:rPr>
                <w:rFonts w:ascii="Times New Roman" w:eastAsia="Times New Roman" w:hAnsi="Times New Roman"/>
              </w:rPr>
              <w:t xml:space="preserve"> fondo kapitalo metų pradžioje</w:t>
            </w:r>
            <w:r>
              <w:rPr>
                <w:rFonts w:ascii="Times New Roman" w:eastAsia="Times New Roman" w:hAnsi="Times New Roman"/>
              </w:rPr>
              <w:t xml:space="preserve">. </w:t>
            </w:r>
            <w:r w:rsidRPr="00611F27">
              <w:rPr>
                <w:rFonts w:ascii="Times New Roman" w:eastAsia="Times New Roman" w:hAnsi="Times New Roman"/>
              </w:rPr>
              <w:t xml:space="preserve">Ne naftos biudžeto deficitas 2025 m. dabar įvertintas 477,6 mlrd. NOK. Šiam deficitui kompensuoti numatomas atitinkamas pervedimas iš </w:t>
            </w:r>
            <w:r>
              <w:rPr>
                <w:rFonts w:ascii="Times New Roman" w:eastAsia="Times New Roman" w:hAnsi="Times New Roman"/>
              </w:rPr>
              <w:t>Naftos fondo</w:t>
            </w:r>
            <w:r w:rsidRPr="00611F27">
              <w:rPr>
                <w:rFonts w:ascii="Times New Roman" w:eastAsia="Times New Roman" w:hAnsi="Times New Roman"/>
              </w:rPr>
              <w:t>, todėl biudžetas išlieka subalansuotas.</w:t>
            </w:r>
            <w:r>
              <w:rPr>
                <w:rFonts w:ascii="Times New Roman" w:eastAsia="Times New Roman" w:hAnsi="Times New Roman"/>
              </w:rPr>
              <w:t xml:space="preserve"> </w:t>
            </w:r>
            <w:r w:rsidRPr="00611F27">
              <w:rPr>
                <w:rFonts w:ascii="Times New Roman" w:eastAsia="Times New Roman" w:hAnsi="Times New Roman"/>
              </w:rPr>
              <w:t xml:space="preserve">Vyriausybės grynasis pinigų srautas iš naftos veiklos 2025 m. įvertintas 655,8 mlrd. NOK. </w:t>
            </w:r>
          </w:p>
        </w:tc>
        <w:tc>
          <w:tcPr>
            <w:tcW w:w="2268" w:type="dxa"/>
            <w:tcMar>
              <w:top w:w="29" w:type="dxa"/>
              <w:left w:w="115" w:type="dxa"/>
              <w:bottom w:w="29" w:type="dxa"/>
              <w:right w:w="115" w:type="dxa"/>
            </w:tcMar>
          </w:tcPr>
          <w:p w14:paraId="20C14E51" w14:textId="5899A4E1" w:rsidR="001E14EC" w:rsidRPr="00206FF8" w:rsidRDefault="00611F27" w:rsidP="001E14EC">
            <w:pPr>
              <w:spacing w:after="0" w:line="240" w:lineRule="auto"/>
            </w:pPr>
            <w:hyperlink r:id="rId22" w:history="1">
              <w:proofErr w:type="spellStart"/>
              <w:r w:rsidRPr="00611F27">
                <w:rPr>
                  <w:rStyle w:val="Hyperlink"/>
                </w:rPr>
                <w:t>Updated</w:t>
              </w:r>
              <w:proofErr w:type="spellEnd"/>
              <w:r w:rsidRPr="00611F27">
                <w:rPr>
                  <w:rStyle w:val="Hyperlink"/>
                </w:rPr>
                <w:t xml:space="preserve"> </w:t>
              </w:r>
              <w:proofErr w:type="spellStart"/>
              <w:r w:rsidRPr="00611F27">
                <w:rPr>
                  <w:rStyle w:val="Hyperlink"/>
                </w:rPr>
                <w:t>budget</w:t>
              </w:r>
              <w:proofErr w:type="spellEnd"/>
              <w:r w:rsidRPr="00611F27">
                <w:rPr>
                  <w:rStyle w:val="Hyperlink"/>
                </w:rPr>
                <w:t xml:space="preserve"> </w:t>
              </w:r>
              <w:proofErr w:type="spellStart"/>
              <w:r w:rsidRPr="00611F27">
                <w:rPr>
                  <w:rStyle w:val="Hyperlink"/>
                </w:rPr>
                <w:t>figures</w:t>
              </w:r>
              <w:proofErr w:type="spellEnd"/>
              <w:r w:rsidRPr="00611F27">
                <w:rPr>
                  <w:rStyle w:val="Hyperlink"/>
                </w:rPr>
                <w:t xml:space="preserve"> </w:t>
              </w:r>
              <w:proofErr w:type="spellStart"/>
              <w:r w:rsidRPr="00611F27">
                <w:rPr>
                  <w:rStyle w:val="Hyperlink"/>
                </w:rPr>
                <w:t>for</w:t>
              </w:r>
              <w:proofErr w:type="spellEnd"/>
              <w:r w:rsidRPr="00611F27">
                <w:rPr>
                  <w:rStyle w:val="Hyperlink"/>
                </w:rPr>
                <w:t xml:space="preserve"> 2025 - regjeringen.no</w:t>
              </w:r>
            </w:hyperlink>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D587E" w:rsidRPr="00F50348" w14:paraId="2256919C" w14:textId="77777777" w:rsidTr="0033090E">
        <w:trPr>
          <w:gridAfter w:val="1"/>
          <w:wAfter w:w="11" w:type="dxa"/>
          <w:trHeight w:val="216"/>
        </w:trPr>
        <w:tc>
          <w:tcPr>
            <w:tcW w:w="1419" w:type="dxa"/>
            <w:tcMar>
              <w:top w:w="29" w:type="dxa"/>
              <w:left w:w="115" w:type="dxa"/>
              <w:bottom w:w="29" w:type="dxa"/>
              <w:right w:w="115" w:type="dxa"/>
            </w:tcMar>
          </w:tcPr>
          <w:p w14:paraId="38284143" w14:textId="52FE77E8" w:rsidR="009D587E" w:rsidRDefault="009D587E" w:rsidP="001E14EC">
            <w:pPr>
              <w:spacing w:after="0" w:line="240" w:lineRule="auto"/>
              <w:rPr>
                <w:rFonts w:ascii="Times New Roman" w:eastAsia="Times New Roman" w:hAnsi="Times New Roman"/>
              </w:rPr>
            </w:pPr>
            <w:r>
              <w:rPr>
                <w:rFonts w:ascii="Times New Roman" w:eastAsia="Times New Roman" w:hAnsi="Times New Roman"/>
              </w:rPr>
              <w:t>2025 11 27</w:t>
            </w:r>
          </w:p>
        </w:tc>
        <w:tc>
          <w:tcPr>
            <w:tcW w:w="5811" w:type="dxa"/>
            <w:tcMar>
              <w:top w:w="29" w:type="dxa"/>
              <w:left w:w="115" w:type="dxa"/>
              <w:bottom w:w="29" w:type="dxa"/>
              <w:right w:w="115" w:type="dxa"/>
            </w:tcMar>
          </w:tcPr>
          <w:p w14:paraId="05343561" w14:textId="5E75408D" w:rsidR="009D587E" w:rsidRPr="009D587E"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 xml:space="preserve">Ekonomikos augimas pastaruoju metu pagreitėjo. Nepaisant tik 0,1 % BVP augimo trečiąjį ketvirtį, Norvegijos žemyninės dalies BVP yra 1,2 % didesnis nei pernai tuo pačiu laikotarpiu. Statistikos Norvegijoje Nacionalinės sąskaitos skyriaus vadovas Pål </w:t>
            </w:r>
            <w:proofErr w:type="spellStart"/>
            <w:r w:rsidRPr="009D587E">
              <w:rPr>
                <w:rFonts w:ascii="Times New Roman" w:eastAsia="Times New Roman" w:hAnsi="Times New Roman"/>
              </w:rPr>
              <w:t>Sletten</w:t>
            </w:r>
            <w:proofErr w:type="spellEnd"/>
            <w:r w:rsidRPr="009D587E">
              <w:rPr>
                <w:rFonts w:ascii="Times New Roman" w:eastAsia="Times New Roman" w:hAnsi="Times New Roman"/>
              </w:rPr>
              <w:t xml:space="preserve"> pažymi, kad beveik nulinis augimas Q3 yra dėl atsitiktinių svyravimų, o pagrindinės augimo tendencijos išlieka tokios pačios kaip metų pirmoje pusėje.</w:t>
            </w:r>
          </w:p>
          <w:p w14:paraId="68A4642B" w14:textId="7170D552" w:rsidR="009D587E" w:rsidRPr="009D587E" w:rsidRDefault="002F2333" w:rsidP="009D587E">
            <w:pPr>
              <w:spacing w:after="0" w:line="240" w:lineRule="auto"/>
              <w:jc w:val="both"/>
              <w:rPr>
                <w:rFonts w:ascii="Times New Roman" w:eastAsia="Times New Roman" w:hAnsi="Times New Roman"/>
              </w:rPr>
            </w:pPr>
            <w:r w:rsidRPr="002F2333">
              <w:rPr>
                <w:rFonts w:ascii="Times New Roman" w:eastAsia="Times New Roman" w:hAnsi="Times New Roman"/>
              </w:rPr>
              <w:lastRenderedPageBreak/>
              <w:t xml:space="preserve">Augimo rodiklius stipriai stabdo žuvininkystės sektorius, tačiau tai daugiau atsitiktinumas, susijęs su laikinomis operacijų </w:t>
            </w:r>
            <w:proofErr w:type="spellStart"/>
            <w:r w:rsidRPr="002F2333">
              <w:rPr>
                <w:rFonts w:ascii="Times New Roman" w:eastAsia="Times New Roman" w:hAnsi="Times New Roman"/>
              </w:rPr>
              <w:t>stagnacijomis</w:t>
            </w:r>
            <w:proofErr w:type="spellEnd"/>
            <w:r w:rsidRPr="002F2333">
              <w:rPr>
                <w:rFonts w:ascii="Times New Roman" w:eastAsia="Times New Roman" w:hAnsi="Times New Roman"/>
              </w:rPr>
              <w:t>.</w:t>
            </w:r>
          </w:p>
          <w:p w14:paraId="05A3C6A7" w14:textId="30347862" w:rsidR="009D587E" w:rsidRPr="009D587E"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Namų ūkiai</w:t>
            </w:r>
            <w:r w:rsidR="002F2333">
              <w:rPr>
                <w:rFonts w:ascii="Times New Roman" w:eastAsia="Times New Roman" w:hAnsi="Times New Roman"/>
              </w:rPr>
              <w:t xml:space="preserve"> </w:t>
            </w:r>
            <w:r w:rsidRPr="009D587E">
              <w:rPr>
                <w:rFonts w:ascii="Times New Roman" w:eastAsia="Times New Roman" w:hAnsi="Times New Roman"/>
              </w:rPr>
              <w:t>vis dar atsigauna po aukštos infliacijos ir palūkanų normų poveikio, kuris sulėtino vartojimą ir būsto statybą.</w:t>
            </w:r>
          </w:p>
          <w:p w14:paraId="20EB3357" w14:textId="4659D7F9" w:rsidR="009D587E" w:rsidRPr="009D587E"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Mažmeninė</w:t>
            </w:r>
            <w:r w:rsidR="002F2333">
              <w:rPr>
                <w:rFonts w:ascii="Times New Roman" w:eastAsia="Times New Roman" w:hAnsi="Times New Roman"/>
              </w:rPr>
              <w:t>je</w:t>
            </w:r>
            <w:r w:rsidRPr="009D587E">
              <w:rPr>
                <w:rFonts w:ascii="Times New Roman" w:eastAsia="Times New Roman" w:hAnsi="Times New Roman"/>
              </w:rPr>
              <w:t xml:space="preserve"> prekyb</w:t>
            </w:r>
            <w:r w:rsidR="002F2333">
              <w:rPr>
                <w:rFonts w:ascii="Times New Roman" w:eastAsia="Times New Roman" w:hAnsi="Times New Roman"/>
              </w:rPr>
              <w:t>oje</w:t>
            </w:r>
            <w:r w:rsidRPr="009D587E">
              <w:rPr>
                <w:rFonts w:ascii="Times New Roman" w:eastAsia="Times New Roman" w:hAnsi="Times New Roman"/>
              </w:rPr>
              <w:t xml:space="preserve"> </w:t>
            </w:r>
            <w:r w:rsidR="002F2333" w:rsidRPr="002F2333">
              <w:rPr>
                <w:rFonts w:ascii="Times New Roman" w:eastAsia="Times New Roman" w:hAnsi="Times New Roman"/>
              </w:rPr>
              <w:t>Q3</w:t>
            </w:r>
            <w:r w:rsidR="002F2333">
              <w:rPr>
                <w:rFonts w:ascii="Times New Roman" w:eastAsia="Times New Roman" w:hAnsi="Times New Roman"/>
              </w:rPr>
              <w:t xml:space="preserve"> </w:t>
            </w:r>
            <w:r w:rsidRPr="009D587E">
              <w:rPr>
                <w:rFonts w:ascii="Times New Roman" w:eastAsia="Times New Roman" w:hAnsi="Times New Roman"/>
              </w:rPr>
              <w:t>fiksuotas augimas.</w:t>
            </w:r>
          </w:p>
          <w:p w14:paraId="5469F605" w14:textId="22E02CF1" w:rsidR="009D587E" w:rsidRPr="009D587E" w:rsidRDefault="002F2333" w:rsidP="009D587E">
            <w:pPr>
              <w:spacing w:after="0" w:line="240" w:lineRule="auto"/>
              <w:jc w:val="both"/>
              <w:rPr>
                <w:rFonts w:ascii="Times New Roman" w:eastAsia="Times New Roman" w:hAnsi="Times New Roman"/>
              </w:rPr>
            </w:pPr>
            <w:r>
              <w:rPr>
                <w:rFonts w:ascii="Times New Roman" w:eastAsia="Times New Roman" w:hAnsi="Times New Roman"/>
              </w:rPr>
              <w:t>Statybų s</w:t>
            </w:r>
            <w:r w:rsidR="009D587E" w:rsidRPr="009D587E">
              <w:rPr>
                <w:rFonts w:ascii="Times New Roman" w:eastAsia="Times New Roman" w:hAnsi="Times New Roman"/>
              </w:rPr>
              <w:t>ektoriaus nuosmukis tęsėsi.</w:t>
            </w:r>
          </w:p>
          <w:p w14:paraId="2969F7C1" w14:textId="387A2734" w:rsidR="009D587E" w:rsidRPr="009D587E"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 xml:space="preserve">Naftos ir dujų </w:t>
            </w:r>
            <w:r w:rsidR="002F2333">
              <w:rPr>
                <w:rFonts w:ascii="Times New Roman" w:eastAsia="Times New Roman" w:hAnsi="Times New Roman"/>
              </w:rPr>
              <w:t xml:space="preserve">išgavimas </w:t>
            </w:r>
            <w:r w:rsidR="002F2333" w:rsidRPr="009D587E">
              <w:rPr>
                <w:rFonts w:ascii="Times New Roman" w:eastAsia="Times New Roman" w:hAnsi="Times New Roman"/>
              </w:rPr>
              <w:t>Q3</w:t>
            </w:r>
            <w:r w:rsidRPr="009D587E">
              <w:rPr>
                <w:rFonts w:ascii="Times New Roman" w:eastAsia="Times New Roman" w:hAnsi="Times New Roman"/>
              </w:rPr>
              <w:t xml:space="preserve"> išaugo 5,3 % (fiksuotomis kainomis).</w:t>
            </w:r>
          </w:p>
          <w:p w14:paraId="323312D8" w14:textId="77777777" w:rsidR="009D587E" w:rsidRPr="009D587E"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Investicijos į naftos sektorių šiek tiek sumažėjo, tačiau jos vis dar išlieka aukštame lygyje, lyginant su istoriniais standartais.</w:t>
            </w:r>
          </w:p>
          <w:p w14:paraId="7B5C757D" w14:textId="619E01F8" w:rsidR="009D587E" w:rsidRPr="00611F27" w:rsidRDefault="009D587E" w:rsidP="009D587E">
            <w:pPr>
              <w:spacing w:after="0" w:line="240" w:lineRule="auto"/>
              <w:jc w:val="both"/>
              <w:rPr>
                <w:rFonts w:ascii="Times New Roman" w:eastAsia="Times New Roman" w:hAnsi="Times New Roman"/>
              </w:rPr>
            </w:pPr>
            <w:r w:rsidRPr="009D587E">
              <w:rPr>
                <w:rFonts w:ascii="Times New Roman" w:eastAsia="Times New Roman" w:hAnsi="Times New Roman"/>
              </w:rPr>
              <w:t xml:space="preserve">Nepaisant minimalios augimo reikšmės </w:t>
            </w:r>
            <w:r w:rsidR="002F2333" w:rsidRPr="009D587E">
              <w:rPr>
                <w:rFonts w:ascii="Times New Roman" w:eastAsia="Times New Roman" w:hAnsi="Times New Roman"/>
              </w:rPr>
              <w:t>Q3</w:t>
            </w:r>
            <w:r w:rsidR="002F2333">
              <w:rPr>
                <w:rFonts w:ascii="Times New Roman" w:eastAsia="Times New Roman" w:hAnsi="Times New Roman"/>
              </w:rPr>
              <w:t xml:space="preserve">, </w:t>
            </w:r>
            <w:r w:rsidRPr="009D587E">
              <w:rPr>
                <w:rFonts w:ascii="Times New Roman" w:eastAsia="Times New Roman" w:hAnsi="Times New Roman"/>
              </w:rPr>
              <w:t>ekonomikos pagrindiniai rodikliai rodo tvirtą augimo trajektoriją. Pagrindinis stabdis – žuvininkystės sektorius, tačiau tai laikina, o bendra ekonominė veikla išlieka stabili. Namų ūkių atsigaunantis vartojimas ir nuolat aktyvus naftos ir dujų sektorius išlaiko bendrą ekonomikos augimą.</w:t>
            </w:r>
          </w:p>
        </w:tc>
        <w:tc>
          <w:tcPr>
            <w:tcW w:w="2268" w:type="dxa"/>
            <w:tcMar>
              <w:top w:w="29" w:type="dxa"/>
              <w:left w:w="115" w:type="dxa"/>
              <w:bottom w:w="29" w:type="dxa"/>
              <w:right w:w="115" w:type="dxa"/>
            </w:tcMar>
          </w:tcPr>
          <w:p w14:paraId="2514278F" w14:textId="103ED72A" w:rsidR="009D587E" w:rsidRPr="00611F27" w:rsidRDefault="002F2333" w:rsidP="001E14EC">
            <w:pPr>
              <w:spacing w:after="0" w:line="240" w:lineRule="auto"/>
            </w:pPr>
            <w:hyperlink r:id="rId23" w:history="1">
              <w:r w:rsidRPr="002F2333">
                <w:rPr>
                  <w:rStyle w:val="Hyperlink"/>
                  <w:lang w:val="nb-NO"/>
                </w:rPr>
                <w:t>e24.no</w:t>
              </w:r>
            </w:hyperlink>
          </w:p>
        </w:tc>
        <w:tc>
          <w:tcPr>
            <w:tcW w:w="1436" w:type="dxa"/>
            <w:tcMar>
              <w:top w:w="29" w:type="dxa"/>
              <w:left w:w="115" w:type="dxa"/>
              <w:bottom w:w="29" w:type="dxa"/>
              <w:right w:w="115" w:type="dxa"/>
            </w:tcMar>
          </w:tcPr>
          <w:p w14:paraId="113E6933" w14:textId="77777777" w:rsidR="009D587E" w:rsidRPr="00F50348" w:rsidRDefault="009D587E"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76FE2B7C"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551399" w:rsidRPr="00551399">
        <w:rPr>
          <w:rFonts w:ascii="Times New Roman" w:eastAsia="Times New Roman" w:hAnsi="Times New Roman"/>
        </w:rPr>
        <w:t>11.780NOK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4"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25"/>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3CE5"/>
    <w:rsid w:val="00095A13"/>
    <w:rsid w:val="00096246"/>
    <w:rsid w:val="0009694F"/>
    <w:rsid w:val="000A5CBE"/>
    <w:rsid w:val="000A6980"/>
    <w:rsid w:val="000A76B9"/>
    <w:rsid w:val="000B14C6"/>
    <w:rsid w:val="000B306A"/>
    <w:rsid w:val="000B37C0"/>
    <w:rsid w:val="000B3B1D"/>
    <w:rsid w:val="000C03DC"/>
    <w:rsid w:val="000C0456"/>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163E6"/>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D4F"/>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5C44"/>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6000"/>
    <w:rsid w:val="002D6883"/>
    <w:rsid w:val="002E1878"/>
    <w:rsid w:val="002E4FB7"/>
    <w:rsid w:val="002F0320"/>
    <w:rsid w:val="002F0E13"/>
    <w:rsid w:val="002F1AF8"/>
    <w:rsid w:val="002F2333"/>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304F"/>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5DE"/>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5D6"/>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399"/>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087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1F27"/>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D587E"/>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65D5A"/>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0487"/>
    <w:rsid w:val="00AB1CFB"/>
    <w:rsid w:val="00AB4BA4"/>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1F1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DF427C"/>
    <w:rsid w:val="00E01FA9"/>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news.no/nyheter/rekordhoy-verdiskaping-i-norsk-reiseliv-i-2024/" TargetMode="External"/><Relationship Id="rId18" Type="http://schemas.openxmlformats.org/officeDocument/2006/relationships/hyperlink" Target="https://www.nrk.no/stor-oslo/ruters-egne-tester-viser_-oslos-elbusser-kan-fjernstyres-1.1762932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24.no/norsk-oekonomi/i/gwXR3a/naa-er-det-avgjort-norge-rammes-av-eu-toll?utm_source=androidapp&amp;utm_medium=share" TargetMode="External"/><Relationship Id="rId7" Type="http://schemas.openxmlformats.org/officeDocument/2006/relationships/footnotes" Target="footnotes.xml"/><Relationship Id="rId12" Type="http://schemas.openxmlformats.org/officeDocument/2006/relationships/hyperlink" Target="https://www.nrk.no/tromsogfinnmark/norge-og-esa-vil-opprette-romsenter-i-tromso-1.17669533" TargetMode="External"/><Relationship Id="rId17" Type="http://schemas.openxmlformats.org/officeDocument/2006/relationships/hyperlink" Target="https://www.aftenposten.no/norge/politikk/i/mPGX8v/samferdselsministeren-ikke-aktuelt-aa-ta-kinesiske-busser-ut-av-trafikk?&amp;utm_source=chatgp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ynewsdesk.com/no/ruter/pressreleases/ruter-tar-samfunnsansvar-gjennomfoerte-unik-sikkerhetstest-av-elektriske-busser-3412738" TargetMode="External"/><Relationship Id="rId20" Type="http://schemas.openxmlformats.org/officeDocument/2006/relationships/hyperlink" Target="https://www.regjeringen.no/no/aktuelt/eu-kommisjonen-har-vedtatt-a-innfore-beskyttelsestiltak-pa-ferrolegeringer/id31398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europa-trenger-norsk-romvirksomhet/id3140476/" TargetMode="External"/><Relationship Id="rId24" Type="http://schemas.openxmlformats.org/officeDocument/2006/relationships/hyperlink" Target="mailto:neringa.urboniene@urm.lt" TargetMode="External"/><Relationship Id="rId5" Type="http://schemas.openxmlformats.org/officeDocument/2006/relationships/settings" Target="settings.xml"/><Relationship Id="rId15" Type="http://schemas.openxmlformats.org/officeDocument/2006/relationships/hyperlink" Target="https://energiwatch.no/nyheter/offshore/article18757261.ece" TargetMode="External"/><Relationship Id="rId23" Type="http://schemas.openxmlformats.org/officeDocument/2006/relationships/hyperlink" Target="https://e24.no/norsk-oekonomi/i/d45PMJ/minimal-vekst-i-norsk-oekonomi?utm_source=androidapp&amp;utm_medium=share" TargetMode="External"/><Relationship Id="rId10" Type="http://schemas.openxmlformats.org/officeDocument/2006/relationships/hyperlink" Target="https://www.nrk.no/vestland/ny-plan-til-30-milliardar_-staten-blar-opp-til-gron-omstilling-1.17640564" TargetMode="External"/><Relationship Id="rId19" Type="http://schemas.openxmlformats.org/officeDocument/2006/relationships/hyperlink" Target="https://www.nrk.no/norge/utlendingar-kontrollerer-tusenvis-av-norske-selskap_-_-vanvitig-1.17634465" TargetMode="External"/><Relationship Id="rId4" Type="http://schemas.openxmlformats.org/officeDocument/2006/relationships/styles" Target="styles.xml"/><Relationship Id="rId9" Type="http://schemas.openxmlformats.org/officeDocument/2006/relationships/hyperlink" Target="https://www.regjeringen.no/en/whats-new/norwegian-ukraine-fund-makes-first-investment/id3139878/" TargetMode="External"/><Relationship Id="rId14" Type="http://schemas.openxmlformats.org/officeDocument/2006/relationships/hyperlink" Target="https://e24.no/energi-og-klima/i/W09XaQ/derfor-satser-equinor-fortsatt-fossilt" TargetMode="External"/><Relationship Id="rId22" Type="http://schemas.openxmlformats.org/officeDocument/2006/relationships/hyperlink" Target="https://www.regjeringen.no/no/aktuelt/oppdaterte-budsjettall-for-2025/id31413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1767</Words>
  <Characters>13494</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16</cp:revision>
  <cp:lastPrinted>2021-07-01T13:41:00Z</cp:lastPrinted>
  <dcterms:created xsi:type="dcterms:W3CDTF">2025-11-27T13:18:00Z</dcterms:created>
  <dcterms:modified xsi:type="dcterms:W3CDTF">2025-11-28T13:34:00Z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