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DE46B3" w:rsidRDefault="004466AC" w:rsidP="000C0908">
      <w:pPr>
        <w:spacing w:after="0" w:line="240" w:lineRule="auto"/>
        <w:jc w:val="center"/>
        <w:rPr>
          <w:rFonts w:ascii="Times New Roman" w:hAnsi="Times New Roman"/>
          <w:sz w:val="24"/>
          <w:szCs w:val="24"/>
        </w:rPr>
      </w:pPr>
      <w:r w:rsidRPr="00DE46B3">
        <w:rPr>
          <w:rFonts w:ascii="Times New Roman" w:hAnsi="Times New Roman"/>
          <w:sz w:val="24"/>
          <w:szCs w:val="24"/>
        </w:rPr>
        <w:t>Lietuvos Respublikos ambasada Suomijos Respublikoje</w:t>
      </w:r>
    </w:p>
    <w:p w14:paraId="5E04373A" w14:textId="77777777" w:rsidR="004466AC" w:rsidRPr="00DE46B3" w:rsidRDefault="004466AC" w:rsidP="000C0908">
      <w:pPr>
        <w:spacing w:after="0" w:line="240" w:lineRule="auto"/>
        <w:jc w:val="center"/>
        <w:rPr>
          <w:rFonts w:ascii="Times New Roman" w:hAnsi="Times New Roman"/>
          <w:sz w:val="24"/>
          <w:szCs w:val="24"/>
        </w:rPr>
      </w:pPr>
    </w:p>
    <w:p w14:paraId="62C79F02" w14:textId="77777777" w:rsidR="004466AC" w:rsidRPr="00DE46B3" w:rsidRDefault="004466AC" w:rsidP="000C0908">
      <w:pPr>
        <w:spacing w:after="0" w:line="240" w:lineRule="auto"/>
        <w:jc w:val="center"/>
        <w:rPr>
          <w:rFonts w:ascii="Times New Roman" w:hAnsi="Times New Roman"/>
          <w:b/>
          <w:sz w:val="24"/>
          <w:szCs w:val="24"/>
        </w:rPr>
      </w:pPr>
      <w:r w:rsidRPr="00DE46B3">
        <w:rPr>
          <w:rFonts w:ascii="Times New Roman" w:hAnsi="Times New Roman"/>
          <w:b/>
          <w:sz w:val="24"/>
          <w:szCs w:val="24"/>
        </w:rPr>
        <w:t>AKTUALIOS EKONOMINĖS INFORMACIJOS SUVESTINĖ</w:t>
      </w:r>
    </w:p>
    <w:p w14:paraId="007B85A3" w14:textId="77777777" w:rsidR="00427A5A" w:rsidRPr="00DE46B3" w:rsidRDefault="00427A5A" w:rsidP="000C0908">
      <w:pPr>
        <w:spacing w:after="0" w:line="240" w:lineRule="auto"/>
        <w:jc w:val="center"/>
        <w:rPr>
          <w:rFonts w:ascii="Times New Roman" w:hAnsi="Times New Roman"/>
          <w:sz w:val="24"/>
          <w:szCs w:val="24"/>
        </w:rPr>
      </w:pPr>
    </w:p>
    <w:p w14:paraId="1F2C01FF" w14:textId="5D1AE352" w:rsidR="004466AC" w:rsidRPr="00DE46B3" w:rsidRDefault="00427A5A" w:rsidP="000C0908">
      <w:pPr>
        <w:spacing w:after="0" w:line="240" w:lineRule="auto"/>
        <w:jc w:val="center"/>
        <w:rPr>
          <w:rFonts w:ascii="Times New Roman" w:hAnsi="Times New Roman"/>
          <w:sz w:val="24"/>
          <w:szCs w:val="24"/>
        </w:rPr>
      </w:pPr>
      <w:r w:rsidRPr="00DE46B3">
        <w:rPr>
          <w:rFonts w:ascii="Times New Roman" w:hAnsi="Times New Roman"/>
          <w:sz w:val="24"/>
          <w:szCs w:val="24"/>
        </w:rPr>
        <w:t>202</w:t>
      </w:r>
      <w:r w:rsidR="00646075" w:rsidRPr="00DE46B3">
        <w:rPr>
          <w:rFonts w:ascii="Times New Roman" w:hAnsi="Times New Roman"/>
          <w:sz w:val="24"/>
          <w:szCs w:val="24"/>
        </w:rPr>
        <w:t>6</w:t>
      </w:r>
      <w:r w:rsidRPr="00DE46B3">
        <w:rPr>
          <w:rFonts w:ascii="Times New Roman" w:hAnsi="Times New Roman"/>
          <w:sz w:val="24"/>
          <w:szCs w:val="24"/>
        </w:rPr>
        <w:t xml:space="preserve"> m. </w:t>
      </w:r>
      <w:r w:rsidR="006A7BC6" w:rsidRPr="00DE46B3">
        <w:rPr>
          <w:rFonts w:ascii="Times New Roman" w:hAnsi="Times New Roman"/>
          <w:sz w:val="24"/>
          <w:szCs w:val="24"/>
        </w:rPr>
        <w:t xml:space="preserve">kovo </w:t>
      </w:r>
      <w:r w:rsidR="004D3968" w:rsidRPr="00DE46B3">
        <w:rPr>
          <w:rFonts w:ascii="Times New Roman" w:hAnsi="Times New Roman"/>
          <w:sz w:val="24"/>
          <w:szCs w:val="24"/>
        </w:rPr>
        <w:t>5</w:t>
      </w:r>
      <w:r w:rsidR="00402BF5" w:rsidRPr="00DE46B3">
        <w:rPr>
          <w:rFonts w:ascii="Times New Roman" w:hAnsi="Times New Roman"/>
          <w:sz w:val="24"/>
          <w:szCs w:val="24"/>
        </w:rPr>
        <w:t xml:space="preserve"> </w:t>
      </w:r>
      <w:r w:rsidRPr="00DE46B3">
        <w:rPr>
          <w:rFonts w:ascii="Times New Roman" w:hAnsi="Times New Roman"/>
          <w:sz w:val="24"/>
          <w:szCs w:val="24"/>
        </w:rPr>
        <w:t>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DE46B3" w:rsidRPr="00DE46B3"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DE46B3" w:rsidRDefault="00F9005D"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DE46B3" w:rsidRDefault="00F9005D"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DE46B3" w:rsidRDefault="00F9005D"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Informacijos šaltinis</w:t>
            </w:r>
          </w:p>
        </w:tc>
      </w:tr>
      <w:tr w:rsidR="00DE46B3" w:rsidRPr="00DE46B3" w14:paraId="5930831F" w14:textId="77777777" w:rsidTr="00C316FA">
        <w:trPr>
          <w:trHeight w:val="385"/>
        </w:trPr>
        <w:tc>
          <w:tcPr>
            <w:tcW w:w="8925" w:type="dxa"/>
            <w:gridSpan w:val="3"/>
            <w:tcMar>
              <w:top w:w="29" w:type="dxa"/>
              <w:left w:w="115" w:type="dxa"/>
              <w:bottom w:w="29" w:type="dxa"/>
              <w:right w:w="115" w:type="dxa"/>
            </w:tcMar>
            <w:vAlign w:val="center"/>
          </w:tcPr>
          <w:p w14:paraId="05B3AE40" w14:textId="72151B1A" w:rsidR="006435BA" w:rsidRPr="00DE46B3" w:rsidRDefault="009050B9"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Naujienos apie karinę pramonę</w:t>
            </w:r>
          </w:p>
        </w:tc>
      </w:tr>
      <w:tr w:rsidR="00DE46B3" w:rsidRPr="00DE46B3" w14:paraId="4F335032" w14:textId="77777777" w:rsidTr="000A27BA">
        <w:trPr>
          <w:trHeight w:val="385"/>
        </w:trPr>
        <w:tc>
          <w:tcPr>
            <w:tcW w:w="1043" w:type="dxa"/>
            <w:tcMar>
              <w:top w:w="29" w:type="dxa"/>
              <w:left w:w="115" w:type="dxa"/>
              <w:bottom w:w="29" w:type="dxa"/>
              <w:right w:w="115" w:type="dxa"/>
            </w:tcMar>
          </w:tcPr>
          <w:p w14:paraId="41D953E6" w14:textId="70015DCE" w:rsidR="006435BA" w:rsidRPr="00DE46B3" w:rsidRDefault="006435BA"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2026-02-0</w:t>
            </w:r>
            <w:r w:rsidR="00AE7333" w:rsidRPr="00DE46B3">
              <w:rPr>
                <w:rFonts w:ascii="Times New Roman" w:hAnsi="Times New Roman" w:cs="Times New Roman"/>
                <w:color w:val="auto"/>
                <w:sz w:val="24"/>
                <w:szCs w:val="24"/>
              </w:rPr>
              <w:t>5</w:t>
            </w:r>
          </w:p>
        </w:tc>
        <w:tc>
          <w:tcPr>
            <w:tcW w:w="5755" w:type="dxa"/>
            <w:tcMar>
              <w:top w:w="29" w:type="dxa"/>
              <w:left w:w="115" w:type="dxa"/>
              <w:bottom w:w="29" w:type="dxa"/>
              <w:right w:w="115" w:type="dxa"/>
            </w:tcMar>
          </w:tcPr>
          <w:p w14:paraId="497482A9" w14:textId="52A762B1" w:rsidR="006435BA" w:rsidRPr="00DE46B3" w:rsidRDefault="009050B9" w:rsidP="000C0908">
            <w:pPr>
              <w:pStyle w:val="Heading1"/>
              <w:spacing w:before="0" w:after="0" w:line="240" w:lineRule="auto"/>
              <w:jc w:val="both"/>
              <w:rPr>
                <w:rFonts w:ascii="Times New Roman" w:hAnsi="Times New Roman" w:cs="Times New Roman"/>
                <w:color w:val="auto"/>
                <w:sz w:val="24"/>
                <w:szCs w:val="24"/>
              </w:rPr>
            </w:pPr>
            <w:proofErr w:type="spellStart"/>
            <w:r w:rsidRPr="00DE46B3">
              <w:rPr>
                <w:rFonts w:ascii="Times New Roman" w:eastAsiaTheme="minorHAnsi" w:hAnsi="Times New Roman" w:cs="Times New Roman"/>
                <w:b/>
                <w:bCs/>
                <w:color w:val="auto"/>
                <w:kern w:val="2"/>
                <w:sz w:val="24"/>
                <w:szCs w:val="24"/>
                <w14:ligatures w14:val="standardContextual"/>
              </w:rPr>
              <w:t>Nokijos</w:t>
            </w:r>
            <w:proofErr w:type="spellEnd"/>
            <w:r w:rsidRPr="00DE46B3">
              <w:rPr>
                <w:rFonts w:ascii="Times New Roman" w:eastAsiaTheme="minorHAnsi" w:hAnsi="Times New Roman" w:cs="Times New Roman"/>
                <w:b/>
                <w:bCs/>
                <w:color w:val="auto"/>
                <w:kern w:val="2"/>
                <w:sz w:val="24"/>
                <w:szCs w:val="24"/>
                <w14:ligatures w14:val="standardContextual"/>
              </w:rPr>
              <w:t xml:space="preserve"> mieste esančioje „</w:t>
            </w:r>
            <w:proofErr w:type="spellStart"/>
            <w:r w:rsidRPr="00DE46B3">
              <w:rPr>
                <w:rFonts w:ascii="Times New Roman" w:eastAsiaTheme="minorHAnsi" w:hAnsi="Times New Roman" w:cs="Times New Roman"/>
                <w:b/>
                <w:bCs/>
                <w:color w:val="auto"/>
                <w:kern w:val="2"/>
                <w:sz w:val="24"/>
                <w:szCs w:val="24"/>
                <w14:ligatures w14:val="standardContextual"/>
              </w:rPr>
              <w:t>Patria</w:t>
            </w:r>
            <w:proofErr w:type="spellEnd"/>
            <w:r w:rsidRPr="00DE46B3">
              <w:rPr>
                <w:rFonts w:ascii="Times New Roman" w:eastAsiaTheme="minorHAnsi" w:hAnsi="Times New Roman" w:cs="Times New Roman"/>
                <w:b/>
                <w:bCs/>
                <w:color w:val="auto"/>
                <w:kern w:val="2"/>
                <w:sz w:val="24"/>
                <w:szCs w:val="24"/>
                <w14:ligatures w14:val="standardContextual"/>
              </w:rPr>
              <w:t xml:space="preserve">“ gamykloje oficialiai pradėti naikintuvų F-35 variklių surinkimo ir testavimo darbai. </w:t>
            </w:r>
            <w:r w:rsidRPr="00DE46B3">
              <w:rPr>
                <w:rFonts w:ascii="Times New Roman" w:eastAsiaTheme="minorHAnsi" w:hAnsi="Times New Roman" w:cs="Times New Roman"/>
                <w:color w:val="auto"/>
                <w:kern w:val="2"/>
                <w:sz w:val="24"/>
                <w:szCs w:val="24"/>
                <w14:ligatures w14:val="standardContextual"/>
              </w:rPr>
              <w:t>Šis projektas, vykdomas bendradarbiaujant su JAV gamintoju „</w:t>
            </w:r>
            <w:proofErr w:type="spellStart"/>
            <w:r w:rsidRPr="00DE46B3">
              <w:rPr>
                <w:rFonts w:ascii="Times New Roman" w:eastAsiaTheme="minorHAnsi" w:hAnsi="Times New Roman" w:cs="Times New Roman"/>
                <w:color w:val="auto"/>
                <w:kern w:val="2"/>
                <w:sz w:val="24"/>
                <w:szCs w:val="24"/>
                <w14:ligatures w14:val="standardContextual"/>
              </w:rPr>
              <w:t>Pratt</w:t>
            </w:r>
            <w:proofErr w:type="spellEnd"/>
            <w:r w:rsidRPr="00DE46B3">
              <w:rPr>
                <w:rFonts w:ascii="Times New Roman" w:eastAsiaTheme="minorHAnsi" w:hAnsi="Times New Roman" w:cs="Times New Roman"/>
                <w:color w:val="auto"/>
                <w:kern w:val="2"/>
                <w:sz w:val="24"/>
                <w:szCs w:val="24"/>
                <w14:ligatures w14:val="standardContextual"/>
              </w:rPr>
              <w:t xml:space="preserve"> &amp; </w:t>
            </w:r>
            <w:proofErr w:type="spellStart"/>
            <w:r w:rsidRPr="00DE46B3">
              <w:rPr>
                <w:rFonts w:ascii="Times New Roman" w:eastAsiaTheme="minorHAnsi" w:hAnsi="Times New Roman" w:cs="Times New Roman"/>
                <w:color w:val="auto"/>
                <w:kern w:val="2"/>
                <w:sz w:val="24"/>
                <w:szCs w:val="24"/>
                <w14:ligatures w14:val="standardContextual"/>
              </w:rPr>
              <w:t>Whitney</w:t>
            </w:r>
            <w:proofErr w:type="spellEnd"/>
            <w:r w:rsidRPr="00DE46B3">
              <w:rPr>
                <w:rFonts w:ascii="Times New Roman" w:eastAsiaTheme="minorHAnsi" w:hAnsi="Times New Roman" w:cs="Times New Roman"/>
                <w:color w:val="auto"/>
                <w:kern w:val="2"/>
                <w:sz w:val="24"/>
                <w:szCs w:val="24"/>
                <w14:ligatures w14:val="standardContextual"/>
              </w:rPr>
              <w:t xml:space="preserve">“, yra dalis plačios pramoninės partnerystės, apimančios ir orlaivių korpusų bei važiuoklių gamybą </w:t>
            </w:r>
            <w:proofErr w:type="spellStart"/>
            <w:r w:rsidRPr="00DE46B3">
              <w:rPr>
                <w:rFonts w:ascii="Times New Roman" w:eastAsiaTheme="minorHAnsi" w:hAnsi="Times New Roman" w:cs="Times New Roman"/>
                <w:color w:val="auto"/>
                <w:kern w:val="2"/>
                <w:sz w:val="24"/>
                <w:szCs w:val="24"/>
                <w14:ligatures w14:val="standardContextual"/>
              </w:rPr>
              <w:t>Jamsos</w:t>
            </w:r>
            <w:proofErr w:type="spellEnd"/>
            <w:r w:rsidRPr="00DE46B3">
              <w:rPr>
                <w:rFonts w:ascii="Times New Roman" w:eastAsiaTheme="minorHAnsi" w:hAnsi="Times New Roman" w:cs="Times New Roman"/>
                <w:color w:val="auto"/>
                <w:kern w:val="2"/>
                <w:sz w:val="24"/>
                <w:szCs w:val="24"/>
                <w14:ligatures w14:val="standardContextual"/>
              </w:rPr>
              <w:t xml:space="preserve"> mieste. Karinių oro pajėgų vado Timo </w:t>
            </w:r>
            <w:proofErr w:type="spellStart"/>
            <w:r w:rsidRPr="00DE46B3">
              <w:rPr>
                <w:rFonts w:ascii="Times New Roman" w:eastAsiaTheme="minorHAnsi" w:hAnsi="Times New Roman" w:cs="Times New Roman"/>
                <w:color w:val="auto"/>
                <w:kern w:val="2"/>
                <w:sz w:val="24"/>
                <w:szCs w:val="24"/>
                <w14:ligatures w14:val="standardContextual"/>
              </w:rPr>
              <w:t>Herraneno</w:t>
            </w:r>
            <w:proofErr w:type="spellEnd"/>
            <w:r w:rsidRPr="00DE46B3">
              <w:rPr>
                <w:rFonts w:ascii="Times New Roman" w:eastAsiaTheme="minorHAnsi" w:hAnsi="Times New Roman" w:cs="Times New Roman"/>
                <w:color w:val="auto"/>
                <w:kern w:val="2"/>
                <w:sz w:val="24"/>
                <w:szCs w:val="24"/>
                <w14:ligatures w14:val="standardContextual"/>
              </w:rPr>
              <w:t xml:space="preserve"> teigimu, tai strateginis žingsnis stiprinant šalies gynybinį saugumą, užtikrinsiantį techninę priežiūrą viso laivyno gyvavimo ciklo metu. Pirmieji naikintuvai </w:t>
            </w:r>
            <w:proofErr w:type="spellStart"/>
            <w:r w:rsidRPr="00DE46B3">
              <w:rPr>
                <w:rFonts w:ascii="Times New Roman" w:eastAsiaTheme="minorHAnsi" w:hAnsi="Times New Roman" w:cs="Times New Roman"/>
                <w:color w:val="auto"/>
                <w:kern w:val="2"/>
                <w:sz w:val="24"/>
                <w:szCs w:val="24"/>
                <w14:ligatures w14:val="standardContextual"/>
              </w:rPr>
              <w:t>Rovaniemyje</w:t>
            </w:r>
            <w:proofErr w:type="spellEnd"/>
            <w:r w:rsidRPr="00DE46B3">
              <w:rPr>
                <w:rFonts w:ascii="Times New Roman" w:eastAsiaTheme="minorHAnsi" w:hAnsi="Times New Roman" w:cs="Times New Roman"/>
                <w:color w:val="auto"/>
                <w:kern w:val="2"/>
                <w:sz w:val="24"/>
                <w:szCs w:val="24"/>
                <w14:ligatures w14:val="standardContextual"/>
              </w:rPr>
              <w:t xml:space="preserve"> nusileis dar šiais metais, o suomių pilotai ir mechanikai šiuo metu baigia rengimą JAV karinėse bazėse.</w:t>
            </w:r>
            <w:r w:rsidR="004A297E" w:rsidRPr="00DE46B3">
              <w:rPr>
                <w:rFonts w:ascii="Times New Roman" w:eastAsiaTheme="minorHAnsi" w:hAnsi="Times New Roman" w:cs="Times New Roman"/>
                <w:color w:val="auto"/>
                <w:kern w:val="2"/>
                <w:sz w:val="24"/>
                <w:szCs w:val="24"/>
                <w14:ligatures w14:val="standardContextual"/>
              </w:rPr>
              <w:t xml:space="preserve"> </w:t>
            </w:r>
            <w:r w:rsidR="0092166F" w:rsidRPr="00DE46B3">
              <w:rPr>
                <w:rFonts w:ascii="Times New Roman" w:eastAsiaTheme="minorHAnsi" w:hAnsi="Times New Roman" w:cs="Times New Roman"/>
                <w:color w:val="auto"/>
                <w:kern w:val="2"/>
                <w:sz w:val="24"/>
                <w:szCs w:val="24"/>
                <w14:ligatures w14:val="standardContextual"/>
              </w:rPr>
              <w:t xml:space="preserve">Suomija įsigys 64 F-35 </w:t>
            </w:r>
            <w:r w:rsidR="00362A15" w:rsidRPr="00DE46B3">
              <w:rPr>
                <w:rFonts w:ascii="Times New Roman" w:eastAsiaTheme="minorHAnsi" w:hAnsi="Times New Roman" w:cs="Times New Roman"/>
                <w:color w:val="auto"/>
                <w:kern w:val="2"/>
                <w:sz w:val="24"/>
                <w:szCs w:val="24"/>
                <w14:ligatures w14:val="standardContextual"/>
              </w:rPr>
              <w:t>naikintuvus.</w:t>
            </w:r>
          </w:p>
        </w:tc>
        <w:tc>
          <w:tcPr>
            <w:tcW w:w="2127" w:type="dxa"/>
            <w:tcMar>
              <w:top w:w="29" w:type="dxa"/>
              <w:left w:w="115" w:type="dxa"/>
              <w:bottom w:w="29" w:type="dxa"/>
              <w:right w:w="115" w:type="dxa"/>
            </w:tcMar>
          </w:tcPr>
          <w:p w14:paraId="15C55AA6" w14:textId="7A2671C0" w:rsidR="006435BA" w:rsidRPr="00DE46B3" w:rsidRDefault="00AE7333" w:rsidP="000C0908">
            <w:pPr>
              <w:pStyle w:val="Heading1"/>
              <w:spacing w:before="0" w:after="0" w:line="240" w:lineRule="auto"/>
              <w:jc w:val="both"/>
              <w:rPr>
                <w:rFonts w:ascii="Times New Roman" w:hAnsi="Times New Roman" w:cs="Times New Roman"/>
                <w:color w:val="auto"/>
                <w:sz w:val="24"/>
                <w:szCs w:val="24"/>
              </w:rPr>
            </w:pPr>
            <w:hyperlink r:id="rId9" w:history="1">
              <w:r w:rsidRPr="00DE46B3">
                <w:rPr>
                  <w:rStyle w:val="Hyperlink"/>
                  <w:rFonts w:ascii="Times New Roman" w:hAnsi="Times New Roman" w:cs="Times New Roman"/>
                  <w:color w:val="auto"/>
                  <w:sz w:val="24"/>
                  <w:szCs w:val="24"/>
                </w:rPr>
                <w:t>https://yle.fi/a/74-20208547</w:t>
              </w:r>
            </w:hyperlink>
            <w:r w:rsidRPr="00DE46B3">
              <w:rPr>
                <w:rFonts w:ascii="Times New Roman" w:hAnsi="Times New Roman" w:cs="Times New Roman"/>
                <w:color w:val="auto"/>
                <w:sz w:val="24"/>
                <w:szCs w:val="24"/>
              </w:rPr>
              <w:t xml:space="preserve"> </w:t>
            </w:r>
          </w:p>
        </w:tc>
      </w:tr>
      <w:tr w:rsidR="00DE46B3" w:rsidRPr="00DE46B3" w14:paraId="38246390" w14:textId="77777777" w:rsidTr="000A27BA">
        <w:trPr>
          <w:trHeight w:val="385"/>
        </w:trPr>
        <w:tc>
          <w:tcPr>
            <w:tcW w:w="1043" w:type="dxa"/>
            <w:tcMar>
              <w:top w:w="29" w:type="dxa"/>
              <w:left w:w="115" w:type="dxa"/>
              <w:bottom w:w="29" w:type="dxa"/>
              <w:right w:w="115" w:type="dxa"/>
            </w:tcMar>
          </w:tcPr>
          <w:p w14:paraId="678B9FAE" w14:textId="75FB6209" w:rsidR="00DD1637" w:rsidRPr="00DE46B3" w:rsidRDefault="006F6625"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2026-02-06</w:t>
            </w:r>
          </w:p>
        </w:tc>
        <w:tc>
          <w:tcPr>
            <w:tcW w:w="5755" w:type="dxa"/>
            <w:tcMar>
              <w:top w:w="29" w:type="dxa"/>
              <w:left w:w="115" w:type="dxa"/>
              <w:bottom w:w="29" w:type="dxa"/>
              <w:right w:w="115" w:type="dxa"/>
            </w:tcMar>
          </w:tcPr>
          <w:p w14:paraId="7279CA7F" w14:textId="67EE405A" w:rsidR="00DD1637" w:rsidRPr="00DE46B3" w:rsidRDefault="00DD1637" w:rsidP="000C0908">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DE46B3">
              <w:rPr>
                <w:rFonts w:ascii="Times New Roman" w:eastAsiaTheme="minorHAnsi" w:hAnsi="Times New Roman" w:cs="Times New Roman"/>
                <w:b/>
                <w:bCs/>
                <w:color w:val="auto"/>
                <w:kern w:val="2"/>
                <w:sz w:val="24"/>
                <w:szCs w:val="24"/>
                <w14:ligatures w14:val="standardContextual"/>
              </w:rPr>
              <w:t>„</w:t>
            </w:r>
            <w:proofErr w:type="spellStart"/>
            <w:r w:rsidRPr="00DE46B3">
              <w:rPr>
                <w:rFonts w:ascii="Times New Roman" w:eastAsiaTheme="minorHAnsi" w:hAnsi="Times New Roman" w:cs="Times New Roman"/>
                <w:b/>
                <w:bCs/>
                <w:color w:val="auto"/>
                <w:kern w:val="2"/>
                <w:sz w:val="24"/>
                <w:szCs w:val="24"/>
                <w14:ligatures w14:val="standardContextual"/>
              </w:rPr>
              <w:t>Patria</w:t>
            </w:r>
            <w:proofErr w:type="spellEnd"/>
            <w:r w:rsidRPr="00DE46B3">
              <w:rPr>
                <w:rFonts w:ascii="Times New Roman" w:eastAsiaTheme="minorHAnsi" w:hAnsi="Times New Roman" w:cs="Times New Roman"/>
                <w:b/>
                <w:bCs/>
                <w:color w:val="auto"/>
                <w:kern w:val="2"/>
                <w:sz w:val="24"/>
                <w:szCs w:val="24"/>
                <w14:ligatures w14:val="standardContextual"/>
              </w:rPr>
              <w:t xml:space="preserve">“ 2025 m. pasiekė istorinį lūžį – bendrovės pajamos augo beveik 32 % ir sudarė 1,087 mlrd. eurų. </w:t>
            </w:r>
            <w:r w:rsidRPr="00DE46B3">
              <w:rPr>
                <w:rFonts w:ascii="Times New Roman" w:eastAsiaTheme="minorHAnsi" w:hAnsi="Times New Roman" w:cs="Times New Roman"/>
                <w:color w:val="auto"/>
                <w:kern w:val="2"/>
                <w:sz w:val="24"/>
                <w:szCs w:val="24"/>
                <w14:ligatures w14:val="standardContextual"/>
              </w:rPr>
              <w:t>Veiklos pelnas šoktelėjo net 42 % (iki 116 mln. eurų), o užsakymų krepšelis metų pabaigoje pasiekė rekordinę 3,5 mlrd. eurų sumą. Tokį sėkmingą rezultatą lėmė masiniai 6x6 šarvuočių užsakymai, auganti pažangių radarų bei ginkluotės sistemų paklausa ir strateginis gaminių pritaikymas NATO standartams. Be gamybos, įmonė sėkmingai plečia ir pelningas techninės priežiūros bei viso įrangos gyvavimo ciklo valdymo paslaugas.</w:t>
            </w:r>
          </w:p>
        </w:tc>
        <w:tc>
          <w:tcPr>
            <w:tcW w:w="2127" w:type="dxa"/>
            <w:tcMar>
              <w:top w:w="29" w:type="dxa"/>
              <w:left w:w="115" w:type="dxa"/>
              <w:bottom w:w="29" w:type="dxa"/>
              <w:right w:w="115" w:type="dxa"/>
            </w:tcMar>
          </w:tcPr>
          <w:p w14:paraId="455A66BE" w14:textId="1D37356C" w:rsidR="00DD1637" w:rsidRPr="00DE46B3" w:rsidRDefault="006F6625" w:rsidP="000C0908">
            <w:pPr>
              <w:pStyle w:val="Heading1"/>
              <w:spacing w:before="0" w:after="0" w:line="240" w:lineRule="auto"/>
              <w:jc w:val="both"/>
              <w:rPr>
                <w:rFonts w:ascii="Times New Roman" w:hAnsi="Times New Roman" w:cs="Times New Roman"/>
                <w:color w:val="auto"/>
                <w:sz w:val="24"/>
                <w:szCs w:val="24"/>
              </w:rPr>
            </w:pPr>
            <w:hyperlink r:id="rId10" w:history="1">
              <w:r w:rsidRPr="00DE46B3">
                <w:rPr>
                  <w:rStyle w:val="Hyperlink"/>
                  <w:rFonts w:ascii="Times New Roman" w:hAnsi="Times New Roman" w:cs="Times New Roman"/>
                  <w:color w:val="auto"/>
                  <w:sz w:val="24"/>
                  <w:szCs w:val="24"/>
                </w:rPr>
                <w:t>https://yle.fi/a/74-20208822</w:t>
              </w:r>
            </w:hyperlink>
            <w:r w:rsidRPr="00DE46B3">
              <w:rPr>
                <w:rFonts w:ascii="Times New Roman" w:hAnsi="Times New Roman" w:cs="Times New Roman"/>
                <w:color w:val="auto"/>
                <w:sz w:val="24"/>
                <w:szCs w:val="24"/>
              </w:rPr>
              <w:t xml:space="preserve"> </w:t>
            </w:r>
          </w:p>
        </w:tc>
      </w:tr>
      <w:tr w:rsidR="00DE46B3" w:rsidRPr="00DE46B3" w14:paraId="29733473" w14:textId="77777777" w:rsidTr="000D4931">
        <w:trPr>
          <w:trHeight w:val="385"/>
        </w:trPr>
        <w:tc>
          <w:tcPr>
            <w:tcW w:w="8925" w:type="dxa"/>
            <w:gridSpan w:val="3"/>
            <w:tcMar>
              <w:top w:w="29" w:type="dxa"/>
              <w:left w:w="115" w:type="dxa"/>
              <w:bottom w:w="29" w:type="dxa"/>
              <w:right w:w="115" w:type="dxa"/>
            </w:tcMar>
            <w:vAlign w:val="center"/>
          </w:tcPr>
          <w:p w14:paraId="4EE7B0B7" w14:textId="66E2A985" w:rsidR="006435BA" w:rsidRPr="00DE46B3" w:rsidRDefault="009050B9"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Naujienos apie energetiką</w:t>
            </w:r>
          </w:p>
        </w:tc>
      </w:tr>
      <w:tr w:rsidR="00DE46B3" w:rsidRPr="00DE46B3" w14:paraId="212BE0D7" w14:textId="77777777" w:rsidTr="00F93AED">
        <w:trPr>
          <w:trHeight w:val="385"/>
        </w:trPr>
        <w:tc>
          <w:tcPr>
            <w:tcW w:w="1043" w:type="dxa"/>
            <w:tcMar>
              <w:top w:w="29" w:type="dxa"/>
              <w:left w:w="115" w:type="dxa"/>
              <w:bottom w:w="29" w:type="dxa"/>
              <w:right w:w="115" w:type="dxa"/>
            </w:tcMar>
          </w:tcPr>
          <w:p w14:paraId="4FC99D6B" w14:textId="4F496AC0" w:rsidR="006435BA" w:rsidRPr="00DE46B3" w:rsidRDefault="006435BA"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2026-02-04</w:t>
            </w:r>
          </w:p>
        </w:tc>
        <w:tc>
          <w:tcPr>
            <w:tcW w:w="5755" w:type="dxa"/>
            <w:tcMar>
              <w:top w:w="29" w:type="dxa"/>
              <w:left w:w="115" w:type="dxa"/>
              <w:bottom w:w="29" w:type="dxa"/>
              <w:right w:w="115" w:type="dxa"/>
            </w:tcMar>
          </w:tcPr>
          <w:p w14:paraId="4909D021" w14:textId="7FE9360B" w:rsidR="00F26579" w:rsidRPr="00DE46B3" w:rsidRDefault="006435BA" w:rsidP="00422768">
            <w:pPr>
              <w:pStyle w:val="Heading1"/>
              <w:spacing w:before="0" w:after="0" w:line="240" w:lineRule="auto"/>
              <w:contextualSpacing/>
              <w:jc w:val="both"/>
              <w:rPr>
                <w:rFonts w:ascii="Times New Roman" w:eastAsiaTheme="minorHAnsi" w:hAnsi="Times New Roman" w:cs="Times New Roman"/>
                <w:color w:val="auto"/>
                <w:kern w:val="2"/>
                <w:sz w:val="24"/>
                <w:szCs w:val="24"/>
                <w14:ligatures w14:val="standardContextual"/>
              </w:rPr>
            </w:pPr>
            <w:r w:rsidRPr="00DE46B3">
              <w:rPr>
                <w:rFonts w:ascii="Times New Roman" w:eastAsiaTheme="minorHAnsi" w:hAnsi="Times New Roman" w:cs="Times New Roman"/>
                <w:b/>
                <w:bCs/>
                <w:color w:val="auto"/>
                <w:kern w:val="2"/>
                <w:sz w:val="24"/>
                <w:szCs w:val="24"/>
                <w14:ligatures w14:val="standardContextual"/>
              </w:rPr>
              <w:t xml:space="preserve">2026 m. pradžioje elektros kainos Suomijos biržoje pasiekė rekordines aukštumas – vidutinė sausio mėnesį kaina šoktelėjo iki 14,7 ct/kWh (palyginti su 4,5 ct/kWh gruodį), o pikų metu viršijo 80 ct/kWh. </w:t>
            </w:r>
            <w:r w:rsidRPr="00DE46B3">
              <w:rPr>
                <w:rFonts w:ascii="Times New Roman" w:eastAsiaTheme="minorHAnsi" w:hAnsi="Times New Roman" w:cs="Times New Roman"/>
                <w:color w:val="auto"/>
                <w:kern w:val="2"/>
                <w:sz w:val="24"/>
                <w:szCs w:val="24"/>
                <w14:ligatures w14:val="standardContextual"/>
              </w:rPr>
              <w:t>Reaguodami į šį nestabilumą, vartotojai masiniu būdu keičia sutartis: tiekėjai, tokie kaip „</w:t>
            </w:r>
            <w:proofErr w:type="spellStart"/>
            <w:r w:rsidRPr="00DE46B3">
              <w:rPr>
                <w:rFonts w:ascii="Times New Roman" w:eastAsiaTheme="minorHAnsi" w:hAnsi="Times New Roman" w:cs="Times New Roman"/>
                <w:color w:val="auto"/>
                <w:kern w:val="2"/>
                <w:sz w:val="24"/>
                <w:szCs w:val="24"/>
                <w14:ligatures w14:val="standardContextual"/>
              </w:rPr>
              <w:t>Helen</w:t>
            </w:r>
            <w:proofErr w:type="spellEnd"/>
            <w:r w:rsidRPr="00DE46B3">
              <w:rPr>
                <w:rFonts w:ascii="Times New Roman" w:eastAsiaTheme="minorHAnsi" w:hAnsi="Times New Roman" w:cs="Times New Roman"/>
                <w:color w:val="auto"/>
                <w:kern w:val="2"/>
                <w:sz w:val="24"/>
                <w:szCs w:val="24"/>
                <w14:ligatures w14:val="standardContextual"/>
              </w:rPr>
              <w:t>“, pastebi, kad net 80 % klientų dabar renkasi fiksuoto tarifo planus. Nors konkurencingiausių pasiūlymų kaina nežymiai pakilo ir šiuo metu viršija 7 ct/kWh, gyventojai prioritetą teikia kainų nuspėjamumui.</w:t>
            </w:r>
          </w:p>
          <w:p w14:paraId="04A8EE69" w14:textId="2ECAB844" w:rsidR="00F26579" w:rsidRPr="00DE46B3" w:rsidRDefault="00F26579" w:rsidP="00422768">
            <w:pPr>
              <w:spacing w:after="0" w:line="240" w:lineRule="auto"/>
              <w:contextualSpacing/>
              <w:jc w:val="both"/>
              <w:rPr>
                <w:rFonts w:ascii="Times New Roman" w:hAnsi="Times New Roman"/>
                <w:sz w:val="24"/>
                <w:szCs w:val="24"/>
              </w:rPr>
            </w:pPr>
            <w:r w:rsidRPr="00DE46B3">
              <w:rPr>
                <w:rFonts w:ascii="Times New Roman" w:hAnsi="Times New Roman"/>
                <w:sz w:val="24"/>
                <w:szCs w:val="24"/>
              </w:rPr>
              <w:t xml:space="preserve">Švedijoje vasario viduryje užfiksuotos aukščiausios didmeninės elektros kainos per pastaruosius dvejus metus, pasiekusios maždaug 2 Švedijos kronas už kWh. Vietos </w:t>
            </w:r>
            <w:r w:rsidRPr="00DE46B3">
              <w:rPr>
                <w:rFonts w:ascii="Times New Roman" w:hAnsi="Times New Roman"/>
                <w:sz w:val="24"/>
                <w:szCs w:val="24"/>
              </w:rPr>
              <w:lastRenderedPageBreak/>
              <w:t>analizėse dėl šio brangimo dalis atsakomybės tenka naujajai „Aurora Line“ jungčiai tarp Suomijos ir Šiaurės Švedijos. Nors ši linija leidžia subalansuoti kainas tarp abiejų šalių, dėl įprastai</w:t>
            </w:r>
            <w:r w:rsidR="00044912" w:rsidRPr="00DE46B3">
              <w:rPr>
                <w:rFonts w:ascii="Times New Roman" w:hAnsi="Times New Roman"/>
                <w:sz w:val="24"/>
                <w:szCs w:val="24"/>
              </w:rPr>
              <w:t xml:space="preserve"> tuo laikotarpiu</w:t>
            </w:r>
            <w:r w:rsidRPr="00DE46B3">
              <w:rPr>
                <w:rFonts w:ascii="Times New Roman" w:hAnsi="Times New Roman"/>
                <w:sz w:val="24"/>
                <w:szCs w:val="24"/>
              </w:rPr>
              <w:t xml:space="preserve"> brangesnės elektros Suomijoje kabelis kilstelėjo kainas Šiaurės Švedijos regione. Visgi ši infrastruktūra yra kritiškai svarbi Suomijai, padedanti kompensuoti energijos trūkumą, atsiradusį nutraukus importą iš Rusijos.</w:t>
            </w:r>
            <w:r w:rsidR="001962DE" w:rsidRPr="00DE46B3">
              <w:rPr>
                <w:rFonts w:ascii="Times New Roman" w:hAnsi="Times New Roman"/>
                <w:sz w:val="24"/>
                <w:szCs w:val="24"/>
              </w:rPr>
              <w:t xml:space="preserve"> </w:t>
            </w:r>
            <w:r w:rsidRPr="00DE46B3">
              <w:rPr>
                <w:rFonts w:ascii="Times New Roman" w:hAnsi="Times New Roman"/>
                <w:sz w:val="24"/>
                <w:szCs w:val="24"/>
              </w:rPr>
              <w:t xml:space="preserve">Ekspertai pabrėžia, kad kainų kilimas nėra vien Suomijos kaltė – prie to stipriai prisidėjo atšiaurios, </w:t>
            </w:r>
            <w:proofErr w:type="spellStart"/>
            <w:r w:rsidRPr="00DE46B3">
              <w:rPr>
                <w:rFonts w:ascii="Times New Roman" w:hAnsi="Times New Roman"/>
                <w:sz w:val="24"/>
                <w:szCs w:val="24"/>
              </w:rPr>
              <w:t>bevėjės</w:t>
            </w:r>
            <w:proofErr w:type="spellEnd"/>
            <w:r w:rsidRPr="00DE46B3">
              <w:rPr>
                <w:rFonts w:ascii="Times New Roman" w:hAnsi="Times New Roman"/>
                <w:sz w:val="24"/>
                <w:szCs w:val="24"/>
              </w:rPr>
              <w:t xml:space="preserve"> žiemos sąlygos Šiaurės Švedijoje, kurios sumažino vietinės atsinaujinančios energijos gamybą ir išaugino paklausą. Nors </w:t>
            </w:r>
            <w:r w:rsidR="00044912" w:rsidRPr="00DE46B3">
              <w:rPr>
                <w:rFonts w:ascii="Times New Roman" w:hAnsi="Times New Roman"/>
                <w:sz w:val="24"/>
                <w:szCs w:val="24"/>
              </w:rPr>
              <w:t>vasario viduryje</w:t>
            </w:r>
            <w:r w:rsidRPr="00DE46B3">
              <w:rPr>
                <w:rFonts w:ascii="Times New Roman" w:hAnsi="Times New Roman"/>
                <w:sz w:val="24"/>
                <w:szCs w:val="24"/>
              </w:rPr>
              <w:t xml:space="preserve"> elektra Suomijoje </w:t>
            </w:r>
            <w:r w:rsidR="00044912" w:rsidRPr="00DE46B3">
              <w:rPr>
                <w:rFonts w:ascii="Times New Roman" w:hAnsi="Times New Roman"/>
                <w:sz w:val="24"/>
                <w:szCs w:val="24"/>
              </w:rPr>
              <w:t>buvo</w:t>
            </w:r>
            <w:r w:rsidRPr="00DE46B3">
              <w:rPr>
                <w:rFonts w:ascii="Times New Roman" w:hAnsi="Times New Roman"/>
                <w:sz w:val="24"/>
                <w:szCs w:val="24"/>
              </w:rPr>
              <w:t xml:space="preserve"> viena brangiausių Europoje, vertinant metinį vidurkį, pernai ji buvo trečia pigiausia žemyne. Reaguodama į situaciją, Švedijos vyriausybė įsipareigojo taikyti laikiną elektros kainų ribojimą, jei jos viršys nustatytą slenkstį, tačiau kol kas ši priemonė nebuvo aktyvuota.</w:t>
            </w:r>
          </w:p>
        </w:tc>
        <w:tc>
          <w:tcPr>
            <w:tcW w:w="2127" w:type="dxa"/>
            <w:tcMar>
              <w:top w:w="29" w:type="dxa"/>
              <w:left w:w="115" w:type="dxa"/>
              <w:bottom w:w="29" w:type="dxa"/>
              <w:right w:w="115" w:type="dxa"/>
            </w:tcMar>
          </w:tcPr>
          <w:p w14:paraId="1DCC7089" w14:textId="77777777" w:rsidR="006435BA" w:rsidRPr="00DE46B3" w:rsidRDefault="006435BA" w:rsidP="000C0908">
            <w:pPr>
              <w:pStyle w:val="Heading1"/>
              <w:spacing w:before="0" w:after="0" w:line="240" w:lineRule="auto"/>
              <w:jc w:val="both"/>
              <w:rPr>
                <w:rFonts w:ascii="Times New Roman" w:hAnsi="Times New Roman" w:cs="Times New Roman"/>
                <w:color w:val="auto"/>
                <w:sz w:val="24"/>
                <w:szCs w:val="24"/>
              </w:rPr>
            </w:pPr>
            <w:hyperlink r:id="rId11" w:history="1">
              <w:r w:rsidRPr="00DE46B3">
                <w:rPr>
                  <w:rStyle w:val="Hyperlink"/>
                  <w:rFonts w:ascii="Times New Roman" w:hAnsi="Times New Roman" w:cs="Times New Roman"/>
                  <w:color w:val="auto"/>
                  <w:sz w:val="24"/>
                  <w:szCs w:val="24"/>
                </w:rPr>
                <w:t xml:space="preserve">https://www.is.fi/taloussanomat/art-2000011790543.html </w:t>
              </w:r>
            </w:hyperlink>
            <w:r w:rsidRPr="00DE46B3">
              <w:rPr>
                <w:rFonts w:ascii="Times New Roman" w:hAnsi="Times New Roman" w:cs="Times New Roman"/>
                <w:color w:val="auto"/>
                <w:sz w:val="24"/>
                <w:szCs w:val="24"/>
              </w:rPr>
              <w:t xml:space="preserve"> </w:t>
            </w:r>
          </w:p>
          <w:p w14:paraId="4C0CDFCE" w14:textId="77777777" w:rsidR="001962DE" w:rsidRPr="00DE46B3" w:rsidRDefault="001962DE" w:rsidP="000C0908">
            <w:pPr>
              <w:jc w:val="both"/>
              <w:rPr>
                <w:rFonts w:ascii="Times New Roman" w:hAnsi="Times New Roman"/>
                <w:sz w:val="24"/>
                <w:szCs w:val="24"/>
              </w:rPr>
            </w:pPr>
          </w:p>
          <w:p w14:paraId="5FCEF222" w14:textId="3E803781" w:rsidR="001962DE" w:rsidRPr="00DE46B3" w:rsidRDefault="001962DE" w:rsidP="000C0908">
            <w:pPr>
              <w:jc w:val="both"/>
              <w:rPr>
                <w:rFonts w:ascii="Times New Roman" w:hAnsi="Times New Roman"/>
                <w:sz w:val="24"/>
                <w:szCs w:val="24"/>
              </w:rPr>
            </w:pPr>
            <w:r w:rsidRPr="00DE46B3">
              <w:rPr>
                <w:rFonts w:ascii="Times New Roman" w:hAnsi="Times New Roman"/>
                <w:sz w:val="24"/>
                <w:szCs w:val="24"/>
              </w:rPr>
              <w:t>https://www.iltalehti.fi/ulkomaat/a/5967c925-a18c-436b-87e1-8583749566e9</w:t>
            </w:r>
          </w:p>
        </w:tc>
      </w:tr>
      <w:tr w:rsidR="00DE46B3" w:rsidRPr="00DE46B3" w14:paraId="4DBA26A2" w14:textId="77777777" w:rsidTr="00F93AED">
        <w:trPr>
          <w:trHeight w:val="385"/>
        </w:trPr>
        <w:tc>
          <w:tcPr>
            <w:tcW w:w="1043" w:type="dxa"/>
            <w:tcMar>
              <w:top w:w="29" w:type="dxa"/>
              <w:left w:w="115" w:type="dxa"/>
              <w:bottom w:w="29" w:type="dxa"/>
              <w:right w:w="115" w:type="dxa"/>
            </w:tcMar>
          </w:tcPr>
          <w:p w14:paraId="15B9B5F8" w14:textId="1FD43962" w:rsidR="002054C2" w:rsidRPr="00DE46B3" w:rsidRDefault="00C57F75"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2026-02-18</w:t>
            </w:r>
          </w:p>
        </w:tc>
        <w:tc>
          <w:tcPr>
            <w:tcW w:w="5755" w:type="dxa"/>
            <w:tcMar>
              <w:top w:w="29" w:type="dxa"/>
              <w:left w:w="115" w:type="dxa"/>
              <w:bottom w:w="29" w:type="dxa"/>
              <w:right w:w="115" w:type="dxa"/>
            </w:tcMar>
          </w:tcPr>
          <w:p w14:paraId="10869F2C" w14:textId="05465159" w:rsidR="002054C2" w:rsidRPr="00DE46B3" w:rsidRDefault="002054C2" w:rsidP="00422768">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DE46B3">
              <w:rPr>
                <w:rFonts w:ascii="Times New Roman" w:eastAsiaTheme="minorHAnsi" w:hAnsi="Times New Roman" w:cs="Times New Roman"/>
                <w:b/>
                <w:bCs/>
                <w:color w:val="auto"/>
                <w:kern w:val="2"/>
                <w:sz w:val="24"/>
                <w:szCs w:val="24"/>
                <w14:ligatures w14:val="standardContextual"/>
              </w:rPr>
              <w:t>Suomijos valstybinė įmonė „</w:t>
            </w:r>
            <w:proofErr w:type="spellStart"/>
            <w:r w:rsidRPr="00DE46B3">
              <w:rPr>
                <w:rFonts w:ascii="Times New Roman" w:eastAsiaTheme="minorHAnsi" w:hAnsi="Times New Roman" w:cs="Times New Roman"/>
                <w:b/>
                <w:bCs/>
                <w:color w:val="auto"/>
                <w:kern w:val="2"/>
                <w:sz w:val="24"/>
                <w:szCs w:val="24"/>
                <w14:ligatures w14:val="standardContextual"/>
              </w:rPr>
              <w:t>Gasgrid</w:t>
            </w:r>
            <w:proofErr w:type="spellEnd"/>
            <w:r w:rsidRPr="00DE46B3">
              <w:rPr>
                <w:rFonts w:ascii="Times New Roman" w:eastAsiaTheme="minorHAnsi" w:hAnsi="Times New Roman" w:cs="Times New Roman"/>
                <w:b/>
                <w:bCs/>
                <w:color w:val="auto"/>
                <w:kern w:val="2"/>
                <w:sz w:val="24"/>
                <w:szCs w:val="24"/>
                <w14:ligatures w14:val="standardContextual"/>
              </w:rPr>
              <w:t xml:space="preserve">“ žengia svarbų žingsnį įgyvendindama ambicingą energetikos projektą – planuojama tiesti 1 500 kilometrų ilgio vandenilio dujotiekį, kuris driektųsi nuo Švedijos sienos palei pakrantę iki pat Pietų Suomijos. </w:t>
            </w:r>
            <w:r w:rsidRPr="00DE46B3">
              <w:rPr>
                <w:rFonts w:ascii="Times New Roman" w:eastAsiaTheme="minorHAnsi" w:hAnsi="Times New Roman" w:cs="Times New Roman"/>
                <w:color w:val="auto"/>
                <w:kern w:val="2"/>
                <w:sz w:val="24"/>
                <w:szCs w:val="24"/>
                <w14:ligatures w14:val="standardContextual"/>
              </w:rPr>
              <w:t xml:space="preserve">Laplandijos regione visuomenei pristatyta pirmoji poveikio aplinkai vertinimo </w:t>
            </w:r>
            <w:r w:rsidR="00361F08" w:rsidRPr="00DE46B3">
              <w:rPr>
                <w:rFonts w:ascii="Times New Roman" w:eastAsiaTheme="minorHAnsi" w:hAnsi="Times New Roman" w:cs="Times New Roman"/>
                <w:color w:val="auto"/>
                <w:kern w:val="2"/>
                <w:sz w:val="24"/>
                <w:szCs w:val="24"/>
                <w14:ligatures w14:val="standardContextual"/>
              </w:rPr>
              <w:t>studija</w:t>
            </w:r>
            <w:r w:rsidRPr="00DE46B3">
              <w:rPr>
                <w:rFonts w:ascii="Times New Roman" w:eastAsiaTheme="minorHAnsi" w:hAnsi="Times New Roman" w:cs="Times New Roman"/>
                <w:color w:val="auto"/>
                <w:kern w:val="2"/>
                <w:sz w:val="24"/>
                <w:szCs w:val="24"/>
                <w14:ligatures w14:val="standardContextual"/>
              </w:rPr>
              <w:t>. Šis projektas yra milžiniško masto: trasa suskirstyta į penkias dalis, o pats vamzdynas kirs apie 70 savivaldybių, 800 vandens telkinių ir daugiau nei 14 000 privačių valdų.</w:t>
            </w:r>
            <w:r w:rsidR="00361F08" w:rsidRPr="00DE46B3">
              <w:rPr>
                <w:rFonts w:ascii="Times New Roman" w:eastAsiaTheme="minorHAnsi" w:hAnsi="Times New Roman" w:cs="Times New Roman"/>
                <w:color w:val="auto"/>
                <w:kern w:val="2"/>
                <w:sz w:val="24"/>
                <w:szCs w:val="24"/>
                <w14:ligatures w14:val="standardContextual"/>
              </w:rPr>
              <w:t xml:space="preserve"> </w:t>
            </w:r>
            <w:r w:rsidRPr="00DE46B3">
              <w:rPr>
                <w:rFonts w:ascii="Times New Roman" w:eastAsiaTheme="minorHAnsi" w:hAnsi="Times New Roman" w:cs="Times New Roman"/>
                <w:color w:val="auto"/>
                <w:kern w:val="2"/>
                <w:sz w:val="24"/>
                <w:szCs w:val="24"/>
                <w14:ligatures w14:val="standardContextual"/>
              </w:rPr>
              <w:t xml:space="preserve">Vienas didžiausių inžinerinių ir aplinkosauginių iššūkių bus kirtis per didžiąsias upes, tokias kaip </w:t>
            </w:r>
            <w:proofErr w:type="spellStart"/>
            <w:r w:rsidRPr="00DE46B3">
              <w:rPr>
                <w:rFonts w:ascii="Times New Roman" w:eastAsiaTheme="minorHAnsi" w:hAnsi="Times New Roman" w:cs="Times New Roman"/>
                <w:color w:val="auto"/>
                <w:kern w:val="2"/>
                <w:sz w:val="24"/>
                <w:szCs w:val="24"/>
                <w14:ligatures w14:val="standardContextual"/>
              </w:rPr>
              <w:t>Tornionjoki</w:t>
            </w:r>
            <w:proofErr w:type="spellEnd"/>
            <w:r w:rsidRPr="00DE46B3">
              <w:rPr>
                <w:rFonts w:ascii="Times New Roman" w:eastAsiaTheme="minorHAnsi" w:hAnsi="Times New Roman" w:cs="Times New Roman"/>
                <w:color w:val="auto"/>
                <w:kern w:val="2"/>
                <w:sz w:val="24"/>
                <w:szCs w:val="24"/>
                <w14:ligatures w14:val="standardContextual"/>
              </w:rPr>
              <w:t xml:space="preserve"> ir </w:t>
            </w:r>
            <w:proofErr w:type="spellStart"/>
            <w:r w:rsidRPr="00DE46B3">
              <w:rPr>
                <w:rFonts w:ascii="Times New Roman" w:eastAsiaTheme="minorHAnsi" w:hAnsi="Times New Roman" w:cs="Times New Roman"/>
                <w:color w:val="auto"/>
                <w:kern w:val="2"/>
                <w:sz w:val="24"/>
                <w:szCs w:val="24"/>
                <w14:ligatures w14:val="standardContextual"/>
              </w:rPr>
              <w:t>Simojoki</w:t>
            </w:r>
            <w:proofErr w:type="spellEnd"/>
            <w:r w:rsidRPr="00DE46B3">
              <w:rPr>
                <w:rFonts w:ascii="Times New Roman" w:eastAsiaTheme="minorHAnsi" w:hAnsi="Times New Roman" w:cs="Times New Roman"/>
                <w:color w:val="auto"/>
                <w:kern w:val="2"/>
                <w:sz w:val="24"/>
                <w:szCs w:val="24"/>
                <w14:ligatures w14:val="standardContextual"/>
              </w:rPr>
              <w:t>, kurios patenka į „</w:t>
            </w:r>
            <w:proofErr w:type="spellStart"/>
            <w:r w:rsidRPr="00DE46B3">
              <w:rPr>
                <w:rFonts w:ascii="Times New Roman" w:eastAsiaTheme="minorHAnsi" w:hAnsi="Times New Roman" w:cs="Times New Roman"/>
                <w:color w:val="auto"/>
                <w:kern w:val="2"/>
                <w:sz w:val="24"/>
                <w:szCs w:val="24"/>
                <w14:ligatures w14:val="standardContextual"/>
              </w:rPr>
              <w:t>Natura</w:t>
            </w:r>
            <w:proofErr w:type="spellEnd"/>
            <w:r w:rsidRPr="00DE46B3">
              <w:rPr>
                <w:rFonts w:ascii="Times New Roman" w:eastAsiaTheme="minorHAnsi" w:hAnsi="Times New Roman" w:cs="Times New Roman"/>
                <w:color w:val="auto"/>
                <w:kern w:val="2"/>
                <w:sz w:val="24"/>
                <w:szCs w:val="24"/>
                <w14:ligatures w14:val="standardContextual"/>
              </w:rPr>
              <w:t xml:space="preserve">“ saugomas teritorijas. Planuojama, kad po </w:t>
            </w:r>
            <w:proofErr w:type="spellStart"/>
            <w:r w:rsidRPr="00DE46B3">
              <w:rPr>
                <w:rFonts w:ascii="Times New Roman" w:eastAsiaTheme="minorHAnsi" w:hAnsi="Times New Roman" w:cs="Times New Roman"/>
                <w:color w:val="auto"/>
                <w:kern w:val="2"/>
                <w:sz w:val="24"/>
                <w:szCs w:val="24"/>
                <w14:ligatures w14:val="standardContextual"/>
              </w:rPr>
              <w:t>Tornio</w:t>
            </w:r>
            <w:proofErr w:type="spellEnd"/>
            <w:r w:rsidRPr="00DE46B3">
              <w:rPr>
                <w:rFonts w:ascii="Times New Roman" w:eastAsiaTheme="minorHAnsi" w:hAnsi="Times New Roman" w:cs="Times New Roman"/>
                <w:color w:val="auto"/>
                <w:kern w:val="2"/>
                <w:sz w:val="24"/>
                <w:szCs w:val="24"/>
                <w14:ligatures w14:val="standardContextual"/>
              </w:rPr>
              <w:t xml:space="preserve"> upe vamzdynas bus tiesiamas gręžiant per uolienas, siekiant minimizuoti poveikį vandens telkiniams, pakrantėms bei archeologinėms vietovėms. Tikimasi, kad aplinkosaugos vertinimo procesas bus baigtas 2027 m. pavasarį, po kurio bus priimtas galutinis sprendimas dėl maršruto ir investicijų. Statybų pradžia prognozuojama 2030-aisiais.</w:t>
            </w:r>
          </w:p>
        </w:tc>
        <w:tc>
          <w:tcPr>
            <w:tcW w:w="2127" w:type="dxa"/>
            <w:tcMar>
              <w:top w:w="29" w:type="dxa"/>
              <w:left w:w="115" w:type="dxa"/>
              <w:bottom w:w="29" w:type="dxa"/>
              <w:right w:w="115" w:type="dxa"/>
            </w:tcMar>
          </w:tcPr>
          <w:p w14:paraId="179517AE" w14:textId="6685DB8F" w:rsidR="002054C2" w:rsidRPr="00DE46B3" w:rsidRDefault="00C57F75"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https://yle.fi/a/74-20211056</w:t>
            </w:r>
          </w:p>
        </w:tc>
      </w:tr>
      <w:tr w:rsidR="00DE46B3" w:rsidRPr="00DE46B3" w14:paraId="22A55BE9" w14:textId="77777777" w:rsidTr="00F93AED">
        <w:trPr>
          <w:trHeight w:val="385"/>
        </w:trPr>
        <w:tc>
          <w:tcPr>
            <w:tcW w:w="1043" w:type="dxa"/>
            <w:tcMar>
              <w:top w:w="29" w:type="dxa"/>
              <w:left w:w="115" w:type="dxa"/>
              <w:bottom w:w="29" w:type="dxa"/>
              <w:right w:w="115" w:type="dxa"/>
            </w:tcMar>
          </w:tcPr>
          <w:p w14:paraId="7A3E3EB2" w14:textId="4E531189" w:rsidR="00036350" w:rsidRPr="00DE46B3" w:rsidRDefault="00680F2A"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2025-02-25</w:t>
            </w:r>
          </w:p>
        </w:tc>
        <w:tc>
          <w:tcPr>
            <w:tcW w:w="5755" w:type="dxa"/>
            <w:tcMar>
              <w:top w:w="29" w:type="dxa"/>
              <w:left w:w="115" w:type="dxa"/>
              <w:bottom w:w="29" w:type="dxa"/>
              <w:right w:w="115" w:type="dxa"/>
            </w:tcMar>
          </w:tcPr>
          <w:p w14:paraId="40F83BC8" w14:textId="5E03A003" w:rsidR="00036350" w:rsidRPr="00DE46B3" w:rsidRDefault="00036350" w:rsidP="00422768">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DE46B3">
              <w:rPr>
                <w:rFonts w:ascii="Times New Roman" w:eastAsiaTheme="minorHAnsi" w:hAnsi="Times New Roman" w:cs="Times New Roman"/>
                <w:b/>
                <w:bCs/>
                <w:color w:val="auto"/>
                <w:kern w:val="2"/>
                <w:sz w:val="24"/>
                <w:szCs w:val="24"/>
                <w14:ligatures w14:val="standardContextual"/>
              </w:rPr>
              <w:t xml:space="preserve">Bendrovė „OX2“ šalia savo </w:t>
            </w:r>
            <w:proofErr w:type="spellStart"/>
            <w:r w:rsidRPr="00DE46B3">
              <w:rPr>
                <w:rFonts w:ascii="Times New Roman" w:eastAsiaTheme="minorHAnsi" w:hAnsi="Times New Roman" w:cs="Times New Roman"/>
                <w:b/>
                <w:bCs/>
                <w:color w:val="auto"/>
                <w:kern w:val="2"/>
                <w:sz w:val="24"/>
                <w:szCs w:val="24"/>
                <w14:ligatures w14:val="standardContextual"/>
              </w:rPr>
              <w:t>Halsua</w:t>
            </w:r>
            <w:proofErr w:type="spellEnd"/>
            <w:r w:rsidRPr="00DE46B3">
              <w:rPr>
                <w:rFonts w:ascii="Times New Roman" w:eastAsiaTheme="minorHAnsi" w:hAnsi="Times New Roman" w:cs="Times New Roman"/>
                <w:b/>
                <w:bCs/>
                <w:color w:val="auto"/>
                <w:kern w:val="2"/>
                <w:sz w:val="24"/>
                <w:szCs w:val="24"/>
                <w14:ligatures w14:val="standardContextual"/>
              </w:rPr>
              <w:t xml:space="preserve"> </w:t>
            </w:r>
            <w:proofErr w:type="spellStart"/>
            <w:r w:rsidRPr="00DE46B3">
              <w:rPr>
                <w:rFonts w:ascii="Times New Roman" w:eastAsiaTheme="minorHAnsi" w:hAnsi="Times New Roman" w:cs="Times New Roman"/>
                <w:b/>
                <w:bCs/>
                <w:color w:val="auto"/>
                <w:kern w:val="2"/>
                <w:sz w:val="24"/>
                <w:szCs w:val="24"/>
                <w14:ligatures w14:val="standardContextual"/>
              </w:rPr>
              <w:t>Kannisto</w:t>
            </w:r>
            <w:proofErr w:type="spellEnd"/>
            <w:r w:rsidRPr="00DE46B3">
              <w:rPr>
                <w:rFonts w:ascii="Times New Roman" w:eastAsiaTheme="minorHAnsi" w:hAnsi="Times New Roman" w:cs="Times New Roman"/>
                <w:b/>
                <w:bCs/>
                <w:color w:val="auto"/>
                <w:kern w:val="2"/>
                <w:sz w:val="24"/>
                <w:szCs w:val="24"/>
                <w14:ligatures w14:val="standardContextual"/>
              </w:rPr>
              <w:t xml:space="preserve"> ir </w:t>
            </w:r>
            <w:proofErr w:type="spellStart"/>
            <w:r w:rsidRPr="00DE46B3">
              <w:rPr>
                <w:rFonts w:ascii="Times New Roman" w:eastAsiaTheme="minorHAnsi" w:hAnsi="Times New Roman" w:cs="Times New Roman"/>
                <w:b/>
                <w:bCs/>
                <w:color w:val="auto"/>
                <w:kern w:val="2"/>
                <w:sz w:val="24"/>
                <w:szCs w:val="24"/>
                <w14:ligatures w14:val="standardContextual"/>
              </w:rPr>
              <w:t>Soini</w:t>
            </w:r>
            <w:proofErr w:type="spellEnd"/>
            <w:r w:rsidRPr="00DE46B3">
              <w:rPr>
                <w:rFonts w:ascii="Times New Roman" w:eastAsiaTheme="minorHAnsi" w:hAnsi="Times New Roman" w:cs="Times New Roman"/>
                <w:b/>
                <w:bCs/>
                <w:color w:val="auto"/>
                <w:kern w:val="2"/>
                <w:sz w:val="24"/>
                <w:szCs w:val="24"/>
                <w14:ligatures w14:val="standardContextual"/>
              </w:rPr>
              <w:t xml:space="preserve"> </w:t>
            </w:r>
            <w:proofErr w:type="spellStart"/>
            <w:r w:rsidRPr="00DE46B3">
              <w:rPr>
                <w:rFonts w:ascii="Times New Roman" w:eastAsiaTheme="minorHAnsi" w:hAnsi="Times New Roman" w:cs="Times New Roman"/>
                <w:b/>
                <w:bCs/>
                <w:color w:val="auto"/>
                <w:kern w:val="2"/>
                <w:sz w:val="24"/>
                <w:szCs w:val="24"/>
                <w14:ligatures w14:val="standardContextual"/>
              </w:rPr>
              <w:t>Korkeamaa</w:t>
            </w:r>
            <w:proofErr w:type="spellEnd"/>
            <w:r w:rsidRPr="00DE46B3">
              <w:rPr>
                <w:rFonts w:ascii="Times New Roman" w:eastAsiaTheme="minorHAnsi" w:hAnsi="Times New Roman" w:cs="Times New Roman"/>
                <w:b/>
                <w:bCs/>
                <w:color w:val="auto"/>
                <w:kern w:val="2"/>
                <w:sz w:val="24"/>
                <w:szCs w:val="24"/>
                <w14:ligatures w14:val="standardContextual"/>
              </w:rPr>
              <w:t xml:space="preserve"> </w:t>
            </w:r>
            <w:r w:rsidR="0004797D" w:rsidRPr="00DE46B3">
              <w:rPr>
                <w:rFonts w:ascii="Times New Roman" w:eastAsiaTheme="minorHAnsi" w:hAnsi="Times New Roman" w:cs="Times New Roman"/>
                <w:b/>
                <w:bCs/>
                <w:color w:val="auto"/>
                <w:kern w:val="2"/>
                <w:sz w:val="24"/>
                <w:szCs w:val="24"/>
                <w14:ligatures w14:val="standardContextual"/>
              </w:rPr>
              <w:t xml:space="preserve">(vidurio Suomija) </w:t>
            </w:r>
            <w:r w:rsidRPr="00DE46B3">
              <w:rPr>
                <w:rFonts w:ascii="Times New Roman" w:eastAsiaTheme="minorHAnsi" w:hAnsi="Times New Roman" w:cs="Times New Roman"/>
                <w:b/>
                <w:bCs/>
                <w:color w:val="auto"/>
                <w:kern w:val="2"/>
                <w:sz w:val="24"/>
                <w:szCs w:val="24"/>
                <w14:ligatures w14:val="standardContextual"/>
              </w:rPr>
              <w:t xml:space="preserve">vėjo jėgainių parkų stato didžiules baterijų saugyklas. Bendra 235 MW galia ir 470 MWh </w:t>
            </w:r>
            <w:r w:rsidR="0004797D" w:rsidRPr="00DE46B3">
              <w:rPr>
                <w:rFonts w:ascii="Times New Roman" w:eastAsiaTheme="minorHAnsi" w:hAnsi="Times New Roman" w:cs="Times New Roman"/>
                <w:b/>
                <w:bCs/>
                <w:color w:val="auto"/>
                <w:kern w:val="2"/>
                <w:sz w:val="24"/>
                <w:szCs w:val="24"/>
                <w14:ligatures w14:val="standardContextual"/>
              </w:rPr>
              <w:t xml:space="preserve">saugyklų </w:t>
            </w:r>
            <w:r w:rsidRPr="00DE46B3">
              <w:rPr>
                <w:rFonts w:ascii="Times New Roman" w:eastAsiaTheme="minorHAnsi" w:hAnsi="Times New Roman" w:cs="Times New Roman"/>
                <w:b/>
                <w:bCs/>
                <w:color w:val="auto"/>
                <w:kern w:val="2"/>
                <w:sz w:val="24"/>
                <w:szCs w:val="24"/>
                <w14:ligatures w14:val="standardContextual"/>
              </w:rPr>
              <w:t xml:space="preserve">talpa paverčia šiuos projektus didžiausiomis su atsinaujinančia energetika susietomis energijos kaupimo sistemomis Šiaurės šalyse. </w:t>
            </w:r>
            <w:r w:rsidRPr="00DE46B3">
              <w:rPr>
                <w:rFonts w:ascii="Times New Roman" w:eastAsiaTheme="minorHAnsi" w:hAnsi="Times New Roman" w:cs="Times New Roman"/>
                <w:color w:val="auto"/>
                <w:kern w:val="2"/>
                <w:sz w:val="24"/>
                <w:szCs w:val="24"/>
                <w14:ligatures w14:val="standardContextual"/>
              </w:rPr>
              <w:t xml:space="preserve">Baterijos bus įkraunamos žemų kainų laikotarpiais ir iškraunamos elektros kainoms pakilus – tai padės sumažinti rinkos riziką vėjo energetikai bei prisidės prie Suomijos elektros tinklo stabilizavimo. Šios saugyklos taip pat sušvelnins kasdienius kainų svyravimus </w:t>
            </w:r>
            <w:r w:rsidRPr="00DE46B3">
              <w:rPr>
                <w:rFonts w:ascii="Times New Roman" w:eastAsiaTheme="minorHAnsi" w:hAnsi="Times New Roman" w:cs="Times New Roman"/>
                <w:color w:val="auto"/>
                <w:kern w:val="2"/>
                <w:sz w:val="24"/>
                <w:szCs w:val="24"/>
                <w14:ligatures w14:val="standardContextual"/>
              </w:rPr>
              <w:lastRenderedPageBreak/>
              <w:t xml:space="preserve">vartotojams. Planuojama, kad </w:t>
            </w:r>
            <w:r w:rsidR="005E3153" w:rsidRPr="00DE46B3">
              <w:rPr>
                <w:rFonts w:ascii="Times New Roman" w:eastAsiaTheme="minorHAnsi" w:hAnsi="Times New Roman" w:cs="Times New Roman"/>
                <w:color w:val="auto"/>
                <w:kern w:val="2"/>
                <w:sz w:val="24"/>
                <w:szCs w:val="24"/>
                <w14:ligatures w14:val="standardContextual"/>
              </w:rPr>
              <w:t>šie kaupikliai</w:t>
            </w:r>
            <w:r w:rsidRPr="00DE46B3">
              <w:rPr>
                <w:rFonts w:ascii="Times New Roman" w:eastAsiaTheme="minorHAnsi" w:hAnsi="Times New Roman" w:cs="Times New Roman"/>
                <w:color w:val="auto"/>
                <w:kern w:val="2"/>
                <w:sz w:val="24"/>
                <w:szCs w:val="24"/>
                <w14:ligatures w14:val="standardContextual"/>
              </w:rPr>
              <w:t xml:space="preserve"> pradės veikti 2028 metais. „OX2“ ir toliau planuoja naujas investicijas į vėjo energetiką bei elektros vartojimo projektus, įskaitant centralizuotą šildymą ir pramoninius vartotojus.</w:t>
            </w:r>
          </w:p>
        </w:tc>
        <w:tc>
          <w:tcPr>
            <w:tcW w:w="2127" w:type="dxa"/>
            <w:tcMar>
              <w:top w:w="29" w:type="dxa"/>
              <w:left w:w="115" w:type="dxa"/>
              <w:bottom w:w="29" w:type="dxa"/>
              <w:right w:w="115" w:type="dxa"/>
            </w:tcMar>
          </w:tcPr>
          <w:p w14:paraId="0E1A5115" w14:textId="204BF5CC" w:rsidR="00036350" w:rsidRPr="00DE46B3" w:rsidRDefault="00680F2A"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lastRenderedPageBreak/>
              <w:t>https://yle.fi/a/74-20211873</w:t>
            </w:r>
          </w:p>
        </w:tc>
      </w:tr>
      <w:tr w:rsidR="00DE46B3" w:rsidRPr="00DE46B3" w14:paraId="1B2C0910" w14:textId="77777777" w:rsidTr="00F93AED">
        <w:trPr>
          <w:trHeight w:val="385"/>
        </w:trPr>
        <w:tc>
          <w:tcPr>
            <w:tcW w:w="1043" w:type="dxa"/>
            <w:tcMar>
              <w:top w:w="29" w:type="dxa"/>
              <w:left w:w="115" w:type="dxa"/>
              <w:bottom w:w="29" w:type="dxa"/>
              <w:right w:w="115" w:type="dxa"/>
            </w:tcMar>
          </w:tcPr>
          <w:p w14:paraId="1C2C8824" w14:textId="409694AA" w:rsidR="000747CD" w:rsidRPr="00DE46B3" w:rsidRDefault="00720C0C" w:rsidP="000C0908">
            <w:pPr>
              <w:pStyle w:val="Heading1"/>
              <w:spacing w:before="0" w:after="0" w:line="240" w:lineRule="auto"/>
              <w:jc w:val="both"/>
              <w:rPr>
                <w:rFonts w:ascii="Times New Roman" w:hAnsi="Times New Roman" w:cs="Times New Roman"/>
                <w:color w:val="auto"/>
                <w:sz w:val="24"/>
                <w:szCs w:val="24"/>
              </w:rPr>
            </w:pPr>
            <w:r w:rsidRPr="00DE46B3">
              <w:rPr>
                <w:rFonts w:ascii="Times New Roman" w:hAnsi="Times New Roman" w:cs="Times New Roman"/>
                <w:color w:val="auto"/>
                <w:sz w:val="24"/>
                <w:szCs w:val="24"/>
              </w:rPr>
              <w:t>2026-02-26</w:t>
            </w:r>
          </w:p>
        </w:tc>
        <w:tc>
          <w:tcPr>
            <w:tcW w:w="5755" w:type="dxa"/>
            <w:tcMar>
              <w:top w:w="29" w:type="dxa"/>
              <w:left w:w="115" w:type="dxa"/>
              <w:bottom w:w="29" w:type="dxa"/>
              <w:right w:w="115" w:type="dxa"/>
            </w:tcMar>
          </w:tcPr>
          <w:p w14:paraId="736F960E" w14:textId="6707E3A8" w:rsidR="000747CD" w:rsidRPr="00DE46B3" w:rsidRDefault="00F546F1" w:rsidP="00422768">
            <w:pPr>
              <w:pStyle w:val="Heading1"/>
              <w:spacing w:before="0" w:after="0" w:line="240" w:lineRule="auto"/>
              <w:jc w:val="both"/>
              <w:rPr>
                <w:rFonts w:ascii="Times New Roman" w:eastAsiaTheme="minorHAnsi" w:hAnsi="Times New Roman" w:cs="Times New Roman"/>
                <w:b/>
                <w:bCs/>
                <w:color w:val="auto"/>
                <w:kern w:val="2"/>
                <w:sz w:val="24"/>
                <w:szCs w:val="24"/>
                <w14:ligatures w14:val="standardContextual"/>
              </w:rPr>
            </w:pPr>
            <w:r w:rsidRPr="00DE46B3">
              <w:rPr>
                <w:rFonts w:ascii="Times New Roman" w:eastAsiaTheme="minorHAnsi" w:hAnsi="Times New Roman" w:cs="Times New Roman"/>
                <w:b/>
                <w:bCs/>
                <w:color w:val="auto"/>
                <w:kern w:val="2"/>
                <w:sz w:val="24"/>
                <w:szCs w:val="24"/>
                <w14:ligatures w14:val="standardContextual"/>
              </w:rPr>
              <w:t>Konsultacijų įmonės „</w:t>
            </w:r>
            <w:proofErr w:type="spellStart"/>
            <w:r w:rsidRPr="00DE46B3">
              <w:rPr>
                <w:rFonts w:ascii="Times New Roman" w:eastAsiaTheme="minorHAnsi" w:hAnsi="Times New Roman" w:cs="Times New Roman"/>
                <w:b/>
                <w:bCs/>
                <w:color w:val="auto"/>
                <w:kern w:val="2"/>
                <w:sz w:val="24"/>
                <w:szCs w:val="24"/>
                <w14:ligatures w14:val="standardContextual"/>
              </w:rPr>
              <w:t>Boston</w:t>
            </w:r>
            <w:proofErr w:type="spellEnd"/>
            <w:r w:rsidRPr="00DE46B3">
              <w:rPr>
                <w:rFonts w:ascii="Times New Roman" w:eastAsiaTheme="minorHAnsi" w:hAnsi="Times New Roman" w:cs="Times New Roman"/>
                <w:b/>
                <w:bCs/>
                <w:color w:val="auto"/>
                <w:kern w:val="2"/>
                <w:sz w:val="24"/>
                <w:szCs w:val="24"/>
                <w14:ligatures w14:val="standardContextual"/>
              </w:rPr>
              <w:t xml:space="preserve"> </w:t>
            </w:r>
            <w:proofErr w:type="spellStart"/>
            <w:r w:rsidRPr="00DE46B3">
              <w:rPr>
                <w:rFonts w:ascii="Times New Roman" w:eastAsiaTheme="minorHAnsi" w:hAnsi="Times New Roman" w:cs="Times New Roman"/>
                <w:b/>
                <w:bCs/>
                <w:color w:val="auto"/>
                <w:kern w:val="2"/>
                <w:sz w:val="24"/>
                <w:szCs w:val="24"/>
                <w14:ligatures w14:val="standardContextual"/>
              </w:rPr>
              <w:t>Consulting</w:t>
            </w:r>
            <w:proofErr w:type="spellEnd"/>
            <w:r w:rsidRPr="00DE46B3">
              <w:rPr>
                <w:rFonts w:ascii="Times New Roman" w:eastAsiaTheme="minorHAnsi" w:hAnsi="Times New Roman" w:cs="Times New Roman"/>
                <w:b/>
                <w:bCs/>
                <w:color w:val="auto"/>
                <w:kern w:val="2"/>
                <w:sz w:val="24"/>
                <w:szCs w:val="24"/>
                <w14:ligatures w14:val="standardContextual"/>
              </w:rPr>
              <w:t xml:space="preserve"> Group“ ataskaitoje teigiama, kad spartus vėjo energetikos pajėgumų didinimas Suomijoje sukėlė didelį kainų svyravimą ir susilpnino šio sektoriaus pelningumą. </w:t>
            </w:r>
            <w:r w:rsidRPr="00DE46B3">
              <w:rPr>
                <w:rFonts w:ascii="Times New Roman" w:eastAsiaTheme="minorHAnsi" w:hAnsi="Times New Roman" w:cs="Times New Roman"/>
                <w:color w:val="auto"/>
                <w:kern w:val="2"/>
                <w:sz w:val="24"/>
                <w:szCs w:val="24"/>
                <w14:ligatures w14:val="standardContextual"/>
              </w:rPr>
              <w:t xml:space="preserve">Pasak konsultacijų bendrovės, vėjo energijos gamintojai dabar gauna tik apie pusę metinės vidutinės rinkos kainos dėl vadinamojo „dvigubo </w:t>
            </w:r>
            <w:proofErr w:type="spellStart"/>
            <w:r w:rsidRPr="00DE46B3">
              <w:rPr>
                <w:rFonts w:ascii="Times New Roman" w:eastAsiaTheme="minorHAnsi" w:hAnsi="Times New Roman" w:cs="Times New Roman"/>
                <w:color w:val="auto"/>
                <w:kern w:val="2"/>
                <w:sz w:val="24"/>
                <w:szCs w:val="24"/>
                <w14:ligatures w14:val="standardContextual"/>
              </w:rPr>
              <w:t>kanibalizacijos</w:t>
            </w:r>
            <w:proofErr w:type="spellEnd"/>
            <w:r w:rsidRPr="00DE46B3">
              <w:rPr>
                <w:rFonts w:ascii="Times New Roman" w:eastAsiaTheme="minorHAnsi" w:hAnsi="Times New Roman" w:cs="Times New Roman"/>
                <w:color w:val="auto"/>
                <w:kern w:val="2"/>
                <w:sz w:val="24"/>
                <w:szCs w:val="24"/>
                <w14:ligatures w14:val="standardContextual"/>
              </w:rPr>
              <w:t>“ efekto: kai vėjas stiprus, perteklinė pasiūla numuša elektros kainas iki nulio ar net neigiamo lygio, o kainų šuoliai dažniausiai vyksta nevėjuotais laikotarpiais, kai turbinos negamina energijos. Investicijų banga, kurią skatino tikėjimasis sparčios pramonės elektrifikacijos ir vandenilio ekonomikos plėtros, šiuo metu iš esmės sustojo. Ataskaitoje pažymima, kad Suomijos itin liberali ir lanksti elektros rinka, kurioje vartojimas prisitaiko labiau nei daugumoje Europos šalių, padėjo subalansuoti pasiūlą ir paklausą, tačiau ateityje reikės dar didesnio lankstumo. Sistemą stabilizuoti galėtų baterijų saugyklos, elektriniai katilai centriniam šildymui ir aktyvesnis pramonės dalyvavimas kainų arbitraže. Nors nauji vėjo projektai išlieka galimi, būsima plėtra turėtų vykti regionuose, kur vėjo dėsningumai papildytų esamus pajėgumus. Be spartesnio elektros paklausos augimo, pavyzdžiui, duomenų centruose ar pramonės elektrifikacijoje, naujas statybų bumas mažai tikėtinas, net ir toliau plečiantis didelio masto saulės energetikai.</w:t>
            </w:r>
          </w:p>
        </w:tc>
        <w:tc>
          <w:tcPr>
            <w:tcW w:w="2127" w:type="dxa"/>
            <w:tcMar>
              <w:top w:w="29" w:type="dxa"/>
              <w:left w:w="115" w:type="dxa"/>
              <w:bottom w:w="29" w:type="dxa"/>
              <w:right w:w="115" w:type="dxa"/>
            </w:tcMar>
          </w:tcPr>
          <w:p w14:paraId="1ADC9425" w14:textId="691406DC" w:rsidR="000747CD" w:rsidRPr="00DE46B3" w:rsidRDefault="00720C0C" w:rsidP="000C0908">
            <w:pPr>
              <w:pStyle w:val="Heading1"/>
              <w:spacing w:before="0" w:after="0" w:line="240" w:lineRule="auto"/>
              <w:jc w:val="both"/>
              <w:rPr>
                <w:rFonts w:ascii="Times New Roman" w:hAnsi="Times New Roman" w:cs="Times New Roman"/>
                <w:color w:val="auto"/>
                <w:sz w:val="24"/>
                <w:szCs w:val="24"/>
              </w:rPr>
            </w:pPr>
            <w:hyperlink r:id="rId12" w:history="1">
              <w:r w:rsidRPr="00DE46B3">
                <w:rPr>
                  <w:rStyle w:val="Hyperlink"/>
                  <w:rFonts w:ascii="Times New Roman" w:hAnsi="Times New Roman" w:cs="Times New Roman"/>
                  <w:color w:val="auto"/>
                  <w:sz w:val="24"/>
                  <w:szCs w:val="24"/>
                </w:rPr>
                <w:t>https://yle.fi/a/74-20212513</w:t>
              </w:r>
            </w:hyperlink>
            <w:r w:rsidRPr="00DE46B3">
              <w:rPr>
                <w:rFonts w:ascii="Times New Roman" w:hAnsi="Times New Roman" w:cs="Times New Roman"/>
                <w:color w:val="auto"/>
                <w:sz w:val="24"/>
                <w:szCs w:val="24"/>
              </w:rPr>
              <w:t xml:space="preserve"> </w:t>
            </w:r>
          </w:p>
        </w:tc>
      </w:tr>
      <w:tr w:rsidR="00DE46B3" w:rsidRPr="00DE46B3" w14:paraId="2CF56697" w14:textId="77777777" w:rsidTr="00334608">
        <w:trPr>
          <w:trHeight w:val="216"/>
        </w:trPr>
        <w:tc>
          <w:tcPr>
            <w:tcW w:w="8925" w:type="dxa"/>
            <w:gridSpan w:val="3"/>
            <w:tcMar>
              <w:top w:w="29" w:type="dxa"/>
              <w:left w:w="115" w:type="dxa"/>
              <w:bottom w:w="29" w:type="dxa"/>
              <w:right w:w="115" w:type="dxa"/>
            </w:tcMar>
          </w:tcPr>
          <w:p w14:paraId="206A66C5" w14:textId="77777777"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Bendra akreditacijos valstybių ekonominė informacija</w:t>
            </w:r>
          </w:p>
        </w:tc>
      </w:tr>
      <w:tr w:rsidR="00DE46B3" w:rsidRPr="00DE46B3" w14:paraId="6A6F6B41" w14:textId="77777777" w:rsidTr="00334608">
        <w:trPr>
          <w:trHeight w:val="216"/>
        </w:trPr>
        <w:tc>
          <w:tcPr>
            <w:tcW w:w="1043" w:type="dxa"/>
            <w:tcMar>
              <w:top w:w="29" w:type="dxa"/>
              <w:left w:w="115" w:type="dxa"/>
              <w:bottom w:w="29" w:type="dxa"/>
              <w:right w:w="115" w:type="dxa"/>
            </w:tcMar>
          </w:tcPr>
          <w:p w14:paraId="17AF63FE" w14:textId="4A1A7640" w:rsidR="003D513B" w:rsidRPr="00DE46B3" w:rsidRDefault="00CA6BB2" w:rsidP="000C0908">
            <w:pPr>
              <w:spacing w:after="0" w:line="240" w:lineRule="auto"/>
              <w:jc w:val="both"/>
              <w:rPr>
                <w:rFonts w:ascii="Times New Roman" w:hAnsi="Times New Roman"/>
                <w:sz w:val="24"/>
                <w:szCs w:val="24"/>
              </w:rPr>
            </w:pPr>
            <w:r w:rsidRPr="00DE46B3">
              <w:rPr>
                <w:rFonts w:ascii="Times New Roman" w:hAnsi="Times New Roman"/>
                <w:sz w:val="24"/>
                <w:szCs w:val="24"/>
              </w:rPr>
              <w:t>2026-02-18</w:t>
            </w:r>
          </w:p>
        </w:tc>
        <w:tc>
          <w:tcPr>
            <w:tcW w:w="5755" w:type="dxa"/>
            <w:tcMar>
              <w:top w:w="29" w:type="dxa"/>
              <w:left w:w="115" w:type="dxa"/>
              <w:bottom w:w="29" w:type="dxa"/>
              <w:right w:w="115" w:type="dxa"/>
            </w:tcMar>
          </w:tcPr>
          <w:p w14:paraId="3E9BC756" w14:textId="15646D7D" w:rsidR="003D513B" w:rsidRPr="00DE46B3" w:rsidRDefault="003D513B" w:rsidP="000C0908">
            <w:pPr>
              <w:spacing w:after="0" w:line="240" w:lineRule="auto"/>
              <w:jc w:val="both"/>
              <w:rPr>
                <w:rFonts w:ascii="Times New Roman" w:eastAsiaTheme="minorHAnsi" w:hAnsi="Times New Roman"/>
                <w:kern w:val="2"/>
                <w:sz w:val="24"/>
                <w:szCs w:val="24"/>
                <w14:ligatures w14:val="standardContextual"/>
              </w:rPr>
            </w:pPr>
            <w:r w:rsidRPr="00DE46B3">
              <w:rPr>
                <w:rFonts w:ascii="Times New Roman" w:eastAsiaTheme="minorHAnsi" w:hAnsi="Times New Roman"/>
                <w:b/>
                <w:bCs/>
                <w:kern w:val="2"/>
                <w:sz w:val="24"/>
                <w:szCs w:val="24"/>
                <w14:ligatures w14:val="standardContextual"/>
              </w:rPr>
              <w:t xml:space="preserve">Po užsitęsusio sąstingio laikotarpio Suomijos ekonomika pradeda rodyti pirmuosius atsigavimo ženklus. Remiantis vidine bankų grupės „Nordea“ statistika, šalyje fiksuojami keli teigiami indikatoriai. </w:t>
            </w:r>
            <w:r w:rsidRPr="00DE46B3">
              <w:rPr>
                <w:rFonts w:ascii="Times New Roman" w:eastAsiaTheme="minorHAnsi" w:hAnsi="Times New Roman"/>
                <w:kern w:val="2"/>
                <w:sz w:val="24"/>
                <w:szCs w:val="24"/>
                <w14:ligatures w14:val="standardContextual"/>
              </w:rPr>
              <w:t>„Nordea“ išskiria augantį atsiskaitymų kortelėmis skaičių bei didėjančias verslo paskolų apimtis, kurios rodo stiprėjantį vartojimą ir verslo investicinį pasitikėjimą.</w:t>
            </w:r>
            <w:r w:rsidR="00DE46B3" w:rsidRPr="00DE46B3">
              <w:rPr>
                <w:rFonts w:ascii="Times New Roman" w:eastAsiaTheme="minorHAnsi" w:hAnsi="Times New Roman"/>
                <w:kern w:val="2"/>
                <w:sz w:val="24"/>
                <w:szCs w:val="24"/>
                <w14:ligatures w14:val="standardContextual"/>
              </w:rPr>
              <w:t xml:space="preserve"> </w:t>
            </w:r>
            <w:r w:rsidRPr="00DE46B3">
              <w:rPr>
                <w:rFonts w:ascii="Times New Roman" w:eastAsiaTheme="minorHAnsi" w:hAnsi="Times New Roman"/>
                <w:kern w:val="2"/>
                <w:sz w:val="24"/>
                <w:szCs w:val="24"/>
                <w14:ligatures w14:val="standardContextual"/>
              </w:rPr>
              <w:t xml:space="preserve">Be to, pastebimi ryškūs klientų elgsenos pokyčiai: indėlių kaupimą keičia aktyvesnis lėšų investavimas. </w:t>
            </w:r>
            <w:r w:rsidR="002B3E64" w:rsidRPr="00DE46B3">
              <w:rPr>
                <w:rFonts w:ascii="Times New Roman" w:eastAsiaTheme="minorHAnsi" w:hAnsi="Times New Roman"/>
                <w:kern w:val="2"/>
                <w:sz w:val="24"/>
                <w:szCs w:val="24"/>
                <w14:ligatures w14:val="standardContextual"/>
              </w:rPr>
              <w:t>„Nordea“</w:t>
            </w:r>
            <w:r w:rsidRPr="00DE46B3">
              <w:rPr>
                <w:rFonts w:ascii="Times New Roman" w:eastAsiaTheme="minorHAnsi" w:hAnsi="Times New Roman"/>
                <w:kern w:val="2"/>
                <w:sz w:val="24"/>
                <w:szCs w:val="24"/>
                <w14:ligatures w14:val="standardContextual"/>
              </w:rPr>
              <w:t xml:space="preserve"> šiuos drąsinančius signalus pradėjo fiksuoti dar praėjusiais metais, o tai leidžia daryti prielaidą, kad po ilgo ekonominio neapibrėžtumo Suomija žengia į tvaresnio augimo etapą. Šios tendencijos suteikia pagrindo prognozuoti, kad artimiausiu metu šalies ekonominis aktyvumas toliau stiprės.</w:t>
            </w:r>
          </w:p>
        </w:tc>
        <w:tc>
          <w:tcPr>
            <w:tcW w:w="2127" w:type="dxa"/>
            <w:tcMar>
              <w:top w:w="29" w:type="dxa"/>
              <w:left w:w="115" w:type="dxa"/>
              <w:bottom w:w="29" w:type="dxa"/>
              <w:right w:w="115" w:type="dxa"/>
            </w:tcMar>
          </w:tcPr>
          <w:p w14:paraId="793B13B1" w14:textId="07B12708" w:rsidR="003D513B" w:rsidRPr="00DE46B3" w:rsidRDefault="00CA6BB2" w:rsidP="000C0908">
            <w:pPr>
              <w:spacing w:after="0" w:line="240" w:lineRule="auto"/>
              <w:jc w:val="both"/>
              <w:rPr>
                <w:rFonts w:ascii="Times New Roman" w:hAnsi="Times New Roman"/>
                <w:sz w:val="24"/>
                <w:szCs w:val="24"/>
              </w:rPr>
            </w:pPr>
            <w:hyperlink r:id="rId13" w:history="1">
              <w:r w:rsidRPr="00DE46B3">
                <w:rPr>
                  <w:rStyle w:val="Hyperlink"/>
                  <w:rFonts w:ascii="Times New Roman" w:hAnsi="Times New Roman"/>
                  <w:color w:val="auto"/>
                  <w:sz w:val="24"/>
                  <w:szCs w:val="24"/>
                </w:rPr>
                <w:t>https://www.hs.fi/visio/art-2000011814000.html</w:t>
              </w:r>
            </w:hyperlink>
            <w:r w:rsidRPr="00DE46B3">
              <w:rPr>
                <w:rFonts w:ascii="Times New Roman" w:hAnsi="Times New Roman"/>
                <w:sz w:val="24"/>
                <w:szCs w:val="24"/>
              </w:rPr>
              <w:t xml:space="preserve"> </w:t>
            </w:r>
          </w:p>
        </w:tc>
      </w:tr>
      <w:tr w:rsidR="00DE46B3" w:rsidRPr="00DE46B3" w14:paraId="307C229E" w14:textId="77777777" w:rsidTr="00334608">
        <w:trPr>
          <w:trHeight w:val="216"/>
        </w:trPr>
        <w:tc>
          <w:tcPr>
            <w:tcW w:w="1043" w:type="dxa"/>
            <w:tcMar>
              <w:top w:w="29" w:type="dxa"/>
              <w:left w:w="115" w:type="dxa"/>
              <w:bottom w:w="29" w:type="dxa"/>
              <w:right w:w="115" w:type="dxa"/>
            </w:tcMar>
          </w:tcPr>
          <w:p w14:paraId="38E78FA6" w14:textId="061A909D"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2026-02-01</w:t>
            </w:r>
          </w:p>
        </w:tc>
        <w:tc>
          <w:tcPr>
            <w:tcW w:w="5755" w:type="dxa"/>
            <w:tcMar>
              <w:top w:w="29" w:type="dxa"/>
              <w:left w:w="115" w:type="dxa"/>
              <w:bottom w:w="29" w:type="dxa"/>
              <w:right w:w="115" w:type="dxa"/>
            </w:tcMar>
          </w:tcPr>
          <w:p w14:paraId="267E96BE" w14:textId="325F5B72" w:rsidR="006435BA" w:rsidRPr="00DE46B3" w:rsidRDefault="006435BA" w:rsidP="000C0908">
            <w:pPr>
              <w:spacing w:after="0" w:line="240" w:lineRule="auto"/>
              <w:jc w:val="both"/>
              <w:rPr>
                <w:rFonts w:ascii="Times New Roman" w:eastAsiaTheme="minorHAnsi" w:hAnsi="Times New Roman"/>
                <w:b/>
                <w:bCs/>
                <w:kern w:val="2"/>
                <w:sz w:val="24"/>
                <w:szCs w:val="24"/>
                <w14:ligatures w14:val="standardContextual"/>
              </w:rPr>
            </w:pPr>
            <w:r w:rsidRPr="00DE46B3">
              <w:rPr>
                <w:rFonts w:ascii="Times New Roman" w:eastAsiaTheme="minorHAnsi" w:hAnsi="Times New Roman"/>
                <w:b/>
                <w:bCs/>
                <w:kern w:val="2"/>
                <w:sz w:val="24"/>
                <w:szCs w:val="24"/>
                <w14:ligatures w14:val="standardContextual"/>
              </w:rPr>
              <w:t>Reitingų agentūra „</w:t>
            </w:r>
            <w:proofErr w:type="spellStart"/>
            <w:r w:rsidRPr="00DE46B3">
              <w:rPr>
                <w:rFonts w:ascii="Times New Roman" w:eastAsiaTheme="minorHAnsi" w:hAnsi="Times New Roman"/>
                <w:b/>
                <w:bCs/>
                <w:kern w:val="2"/>
                <w:sz w:val="24"/>
                <w:szCs w:val="24"/>
                <w14:ligatures w14:val="standardContextual"/>
              </w:rPr>
              <w:t>Scope</w:t>
            </w:r>
            <w:proofErr w:type="spellEnd"/>
            <w:r w:rsidRPr="00DE46B3">
              <w:rPr>
                <w:rFonts w:ascii="Times New Roman" w:eastAsiaTheme="minorHAnsi" w:hAnsi="Times New Roman"/>
                <w:b/>
                <w:bCs/>
                <w:kern w:val="2"/>
                <w:sz w:val="24"/>
                <w:szCs w:val="24"/>
                <w14:ligatures w14:val="standardContextual"/>
              </w:rPr>
              <w:t xml:space="preserve"> </w:t>
            </w:r>
            <w:proofErr w:type="spellStart"/>
            <w:r w:rsidRPr="00DE46B3">
              <w:rPr>
                <w:rFonts w:ascii="Times New Roman" w:eastAsiaTheme="minorHAnsi" w:hAnsi="Times New Roman"/>
                <w:b/>
                <w:bCs/>
                <w:kern w:val="2"/>
                <w:sz w:val="24"/>
                <w:szCs w:val="24"/>
                <w14:ligatures w14:val="standardContextual"/>
              </w:rPr>
              <w:t>Ratings</w:t>
            </w:r>
            <w:proofErr w:type="spellEnd"/>
            <w:r w:rsidRPr="00DE46B3">
              <w:rPr>
                <w:rFonts w:ascii="Times New Roman" w:eastAsiaTheme="minorHAnsi" w:hAnsi="Times New Roman"/>
                <w:b/>
                <w:bCs/>
                <w:kern w:val="2"/>
                <w:sz w:val="24"/>
                <w:szCs w:val="24"/>
                <w14:ligatures w14:val="standardContextual"/>
              </w:rPr>
              <w:t xml:space="preserve">“ sumažino Suomijos kredito reitingą nuo AA+ iki AA, motyvuodama sparčiai didėjančia valstybės skola, </w:t>
            </w:r>
            <w:r w:rsidRPr="00DE46B3">
              <w:rPr>
                <w:rFonts w:ascii="Times New Roman" w:eastAsiaTheme="minorHAnsi" w:hAnsi="Times New Roman"/>
                <w:b/>
                <w:bCs/>
                <w:kern w:val="2"/>
                <w:sz w:val="24"/>
                <w:szCs w:val="24"/>
                <w14:ligatures w14:val="standardContextual"/>
              </w:rPr>
              <w:lastRenderedPageBreak/>
              <w:t xml:space="preserve">biudžeto deficitu ir vangiu ekonomikos vystymusi. </w:t>
            </w:r>
            <w:r w:rsidRPr="00DE46B3">
              <w:rPr>
                <w:rFonts w:ascii="Times New Roman" w:eastAsiaTheme="minorHAnsi" w:hAnsi="Times New Roman"/>
                <w:kern w:val="2"/>
                <w:sz w:val="24"/>
                <w:szCs w:val="24"/>
                <w14:ligatures w14:val="standardContextual"/>
              </w:rPr>
              <w:t>Prognozuojama, kad šalies ūkis 2026–2027 m. augs lėčiau nei ES vidurkis, o vyriausybei gali būti sunku įgyvendinti reikiamas taupymo priemones. Situaciją stebi ir Europos Sąjunga, rekomendavusi Suomijai iki 2028 m. subalansuoti biudžetą. Nepaisant reitingo kryčio, agentūra „</w:t>
            </w:r>
            <w:proofErr w:type="spellStart"/>
            <w:r w:rsidRPr="00DE46B3">
              <w:rPr>
                <w:rFonts w:ascii="Times New Roman" w:eastAsiaTheme="minorHAnsi" w:hAnsi="Times New Roman"/>
                <w:kern w:val="2"/>
                <w:sz w:val="24"/>
                <w:szCs w:val="24"/>
                <w14:ligatures w14:val="standardContextual"/>
              </w:rPr>
              <w:t>Moody’s</w:t>
            </w:r>
            <w:proofErr w:type="spellEnd"/>
            <w:r w:rsidRPr="00DE46B3">
              <w:rPr>
                <w:rFonts w:ascii="Times New Roman" w:eastAsiaTheme="minorHAnsi" w:hAnsi="Times New Roman"/>
                <w:kern w:val="2"/>
                <w:sz w:val="24"/>
                <w:szCs w:val="24"/>
                <w14:ligatures w14:val="standardContextual"/>
              </w:rPr>
              <w:t>“ vis dar išlaiko aukštesnį įvertinimą dėl stiprių šalies institucijų bei sukaupto didelio finansinio turto pensijų fonduose.</w:t>
            </w:r>
          </w:p>
        </w:tc>
        <w:tc>
          <w:tcPr>
            <w:tcW w:w="2127" w:type="dxa"/>
            <w:tcMar>
              <w:top w:w="29" w:type="dxa"/>
              <w:left w:w="115" w:type="dxa"/>
              <w:bottom w:w="29" w:type="dxa"/>
              <w:right w:w="115" w:type="dxa"/>
            </w:tcMar>
          </w:tcPr>
          <w:p w14:paraId="6169BCC8" w14:textId="51C3B49E" w:rsidR="006435BA" w:rsidRPr="00DE46B3" w:rsidRDefault="006435BA" w:rsidP="000C0908">
            <w:pPr>
              <w:spacing w:after="0" w:line="240" w:lineRule="auto"/>
              <w:jc w:val="both"/>
              <w:rPr>
                <w:rFonts w:ascii="Times New Roman" w:hAnsi="Times New Roman"/>
                <w:sz w:val="24"/>
                <w:szCs w:val="24"/>
              </w:rPr>
            </w:pPr>
            <w:hyperlink r:id="rId14" w:history="1">
              <w:r w:rsidRPr="00DE46B3">
                <w:rPr>
                  <w:rStyle w:val="Hyperlink"/>
                  <w:rFonts w:ascii="Times New Roman" w:hAnsi="Times New Roman"/>
                  <w:color w:val="auto"/>
                  <w:sz w:val="24"/>
                  <w:szCs w:val="24"/>
                </w:rPr>
                <w:t>https://www.is.fi/taloussanomat/art-</w:t>
              </w:r>
              <w:r w:rsidRPr="00DE46B3">
                <w:rPr>
                  <w:rStyle w:val="Hyperlink"/>
                  <w:rFonts w:ascii="Times New Roman" w:hAnsi="Times New Roman"/>
                  <w:color w:val="auto"/>
                  <w:sz w:val="24"/>
                  <w:szCs w:val="24"/>
                </w:rPr>
                <w:lastRenderedPageBreak/>
                <w:t>2000011786074.html</w:t>
              </w:r>
            </w:hyperlink>
            <w:r w:rsidRPr="00DE46B3">
              <w:rPr>
                <w:rFonts w:ascii="Times New Roman" w:hAnsi="Times New Roman"/>
                <w:sz w:val="24"/>
                <w:szCs w:val="24"/>
              </w:rPr>
              <w:t xml:space="preserve"> </w:t>
            </w:r>
          </w:p>
        </w:tc>
      </w:tr>
      <w:tr w:rsidR="00DE46B3" w:rsidRPr="00DE46B3" w14:paraId="0B433D35" w14:textId="77777777" w:rsidTr="00334608">
        <w:trPr>
          <w:trHeight w:val="216"/>
        </w:trPr>
        <w:tc>
          <w:tcPr>
            <w:tcW w:w="1043" w:type="dxa"/>
            <w:tcMar>
              <w:top w:w="29" w:type="dxa"/>
              <w:left w:w="115" w:type="dxa"/>
              <w:bottom w:w="29" w:type="dxa"/>
              <w:right w:w="115" w:type="dxa"/>
            </w:tcMar>
          </w:tcPr>
          <w:p w14:paraId="1DCAAE5F" w14:textId="50DECCA0" w:rsidR="000F310F" w:rsidRPr="00DE46B3" w:rsidRDefault="00915EBE" w:rsidP="000C0908">
            <w:pPr>
              <w:spacing w:after="0" w:line="240" w:lineRule="auto"/>
              <w:jc w:val="both"/>
              <w:rPr>
                <w:rFonts w:ascii="Times New Roman" w:hAnsi="Times New Roman"/>
                <w:sz w:val="24"/>
                <w:szCs w:val="24"/>
              </w:rPr>
            </w:pPr>
            <w:r w:rsidRPr="00DE46B3">
              <w:rPr>
                <w:rFonts w:ascii="Times New Roman" w:hAnsi="Times New Roman"/>
                <w:sz w:val="24"/>
                <w:szCs w:val="24"/>
              </w:rPr>
              <w:lastRenderedPageBreak/>
              <w:t>2026-02-23</w:t>
            </w:r>
          </w:p>
        </w:tc>
        <w:tc>
          <w:tcPr>
            <w:tcW w:w="5755" w:type="dxa"/>
            <w:tcMar>
              <w:top w:w="29" w:type="dxa"/>
              <w:left w:w="115" w:type="dxa"/>
              <w:bottom w:w="29" w:type="dxa"/>
              <w:right w:w="115" w:type="dxa"/>
            </w:tcMar>
          </w:tcPr>
          <w:p w14:paraId="039042FD" w14:textId="7B7A1EBF" w:rsidR="000F310F" w:rsidRPr="00DE46B3" w:rsidRDefault="000F310F" w:rsidP="000C0908">
            <w:pPr>
              <w:spacing w:after="0" w:line="240" w:lineRule="auto"/>
              <w:jc w:val="both"/>
              <w:rPr>
                <w:rFonts w:ascii="Times New Roman" w:eastAsiaTheme="minorHAnsi" w:hAnsi="Times New Roman"/>
                <w:b/>
                <w:bCs/>
                <w:kern w:val="2"/>
                <w:sz w:val="24"/>
                <w:szCs w:val="24"/>
                <w14:ligatures w14:val="standardContextual"/>
              </w:rPr>
            </w:pPr>
            <w:r w:rsidRPr="00DE46B3">
              <w:rPr>
                <w:rFonts w:ascii="Times New Roman" w:eastAsiaTheme="minorHAnsi" w:hAnsi="Times New Roman"/>
                <w:b/>
                <w:bCs/>
                <w:kern w:val="2"/>
                <w:sz w:val="24"/>
                <w:szCs w:val="24"/>
                <w14:ligatures w14:val="standardContextual"/>
              </w:rPr>
              <w:t>Suomijos kvantinių kompiuterių įmonė „IQM“ ketina žengti į JAV akcijų rinką per SPAC susijungimą su „</w:t>
            </w:r>
            <w:proofErr w:type="spellStart"/>
            <w:r w:rsidRPr="00DE46B3">
              <w:rPr>
                <w:rFonts w:ascii="Times New Roman" w:eastAsiaTheme="minorHAnsi" w:hAnsi="Times New Roman"/>
                <w:b/>
                <w:bCs/>
                <w:kern w:val="2"/>
                <w:sz w:val="24"/>
                <w:szCs w:val="24"/>
                <w14:ligatures w14:val="standardContextual"/>
              </w:rPr>
              <w:t>Real</w:t>
            </w:r>
            <w:proofErr w:type="spellEnd"/>
            <w:r w:rsidRPr="00DE46B3">
              <w:rPr>
                <w:rFonts w:ascii="Times New Roman" w:eastAsiaTheme="minorHAnsi" w:hAnsi="Times New Roman"/>
                <w:b/>
                <w:bCs/>
                <w:kern w:val="2"/>
                <w:sz w:val="24"/>
                <w:szCs w:val="24"/>
                <w14:ligatures w14:val="standardContextual"/>
              </w:rPr>
              <w:t xml:space="preserve"> </w:t>
            </w:r>
            <w:proofErr w:type="spellStart"/>
            <w:r w:rsidRPr="00DE46B3">
              <w:rPr>
                <w:rFonts w:ascii="Times New Roman" w:eastAsiaTheme="minorHAnsi" w:hAnsi="Times New Roman"/>
                <w:b/>
                <w:bCs/>
                <w:kern w:val="2"/>
                <w:sz w:val="24"/>
                <w:szCs w:val="24"/>
                <w14:ligatures w14:val="standardContextual"/>
              </w:rPr>
              <w:t>Asset</w:t>
            </w:r>
            <w:proofErr w:type="spellEnd"/>
            <w:r w:rsidRPr="00DE46B3">
              <w:rPr>
                <w:rFonts w:ascii="Times New Roman" w:eastAsiaTheme="minorHAnsi" w:hAnsi="Times New Roman"/>
                <w:b/>
                <w:bCs/>
                <w:kern w:val="2"/>
                <w:sz w:val="24"/>
                <w:szCs w:val="24"/>
                <w14:ligatures w14:val="standardContextual"/>
              </w:rPr>
              <w:t xml:space="preserve"> </w:t>
            </w:r>
            <w:proofErr w:type="spellStart"/>
            <w:r w:rsidRPr="00DE46B3">
              <w:rPr>
                <w:rFonts w:ascii="Times New Roman" w:eastAsiaTheme="minorHAnsi" w:hAnsi="Times New Roman"/>
                <w:b/>
                <w:bCs/>
                <w:kern w:val="2"/>
                <w:sz w:val="24"/>
                <w:szCs w:val="24"/>
                <w14:ligatures w14:val="standardContextual"/>
              </w:rPr>
              <w:t>Acquisition</w:t>
            </w:r>
            <w:proofErr w:type="spellEnd"/>
            <w:r w:rsidRPr="00DE46B3">
              <w:rPr>
                <w:rFonts w:ascii="Times New Roman" w:eastAsiaTheme="minorHAnsi" w:hAnsi="Times New Roman"/>
                <w:b/>
                <w:bCs/>
                <w:kern w:val="2"/>
                <w:sz w:val="24"/>
                <w:szCs w:val="24"/>
                <w14:ligatures w14:val="standardContextual"/>
              </w:rPr>
              <w:t xml:space="preserve"> </w:t>
            </w:r>
            <w:proofErr w:type="spellStart"/>
            <w:r w:rsidRPr="00DE46B3">
              <w:rPr>
                <w:rFonts w:ascii="Times New Roman" w:eastAsiaTheme="minorHAnsi" w:hAnsi="Times New Roman"/>
                <w:b/>
                <w:bCs/>
                <w:kern w:val="2"/>
                <w:sz w:val="24"/>
                <w:szCs w:val="24"/>
                <w14:ligatures w14:val="standardContextual"/>
              </w:rPr>
              <w:t>Corp</w:t>
            </w:r>
            <w:proofErr w:type="spellEnd"/>
            <w:r w:rsidRPr="00DE46B3">
              <w:rPr>
                <w:rFonts w:ascii="Times New Roman" w:eastAsiaTheme="minorHAnsi" w:hAnsi="Times New Roman"/>
                <w:b/>
                <w:bCs/>
                <w:kern w:val="2"/>
                <w:sz w:val="24"/>
                <w:szCs w:val="24"/>
                <w14:ligatures w14:val="standardContextual"/>
              </w:rPr>
              <w:t xml:space="preserve">“, o bendrovės vertė sieks maždaug 1,8 mlrd. JAV dolerių. </w:t>
            </w:r>
            <w:r w:rsidRPr="00DE46B3">
              <w:rPr>
                <w:rFonts w:ascii="Times New Roman" w:eastAsiaTheme="minorHAnsi" w:hAnsi="Times New Roman"/>
                <w:kern w:val="2"/>
                <w:sz w:val="24"/>
                <w:szCs w:val="24"/>
                <w14:ligatures w14:val="standardContextual"/>
              </w:rPr>
              <w:t xml:space="preserve">Pritrauktas kapitalas bus skirtas „IQM“ kvantinių kompiuterių komercinei ir technologinei plėtrai; šie įrenginiai kuriami ne tolimai ateičiai, o tiesioginiam praktiniam pritaikymui. Įmonė taip pat planuoja lygiagrečiai </w:t>
            </w:r>
            <w:proofErr w:type="spellStart"/>
            <w:r w:rsidRPr="00DE46B3">
              <w:rPr>
                <w:rFonts w:ascii="Times New Roman" w:eastAsiaTheme="minorHAnsi" w:hAnsi="Times New Roman"/>
                <w:kern w:val="2"/>
                <w:sz w:val="24"/>
                <w:szCs w:val="24"/>
                <w14:ligatures w14:val="standardContextual"/>
              </w:rPr>
              <w:t>listinguoti</w:t>
            </w:r>
            <w:proofErr w:type="spellEnd"/>
            <w:r w:rsidRPr="00DE46B3">
              <w:rPr>
                <w:rFonts w:ascii="Times New Roman" w:eastAsiaTheme="minorHAnsi" w:hAnsi="Times New Roman"/>
                <w:kern w:val="2"/>
                <w:sz w:val="24"/>
                <w:szCs w:val="24"/>
                <w14:ligatures w14:val="standardContextual"/>
              </w:rPr>
              <w:t xml:space="preserve"> savo akcijas Helsinkio vertybinių popierių biržoje. Nepaisant žengimo į JAV rinką, „IQM“ pabrėžia, kad jos centrinė būstinė bei tyrimų ir plėtros (R&amp;D) operacijos liks Suomijoje. Generalinis direktorius </w:t>
            </w:r>
            <w:proofErr w:type="spellStart"/>
            <w:r w:rsidRPr="00DE46B3">
              <w:rPr>
                <w:rFonts w:ascii="Times New Roman" w:eastAsiaTheme="minorHAnsi" w:hAnsi="Times New Roman"/>
                <w:kern w:val="2"/>
                <w:sz w:val="24"/>
                <w:szCs w:val="24"/>
                <w14:ligatures w14:val="standardContextual"/>
              </w:rPr>
              <w:t>Jan</w:t>
            </w:r>
            <w:proofErr w:type="spellEnd"/>
            <w:r w:rsidRPr="00DE46B3">
              <w:rPr>
                <w:rFonts w:ascii="Times New Roman" w:eastAsiaTheme="minorHAnsi" w:hAnsi="Times New Roman"/>
                <w:kern w:val="2"/>
                <w:sz w:val="24"/>
                <w:szCs w:val="24"/>
                <w14:ligatures w14:val="standardContextual"/>
              </w:rPr>
              <w:t xml:space="preserve"> </w:t>
            </w:r>
            <w:proofErr w:type="spellStart"/>
            <w:r w:rsidRPr="00DE46B3">
              <w:rPr>
                <w:rFonts w:ascii="Times New Roman" w:eastAsiaTheme="minorHAnsi" w:hAnsi="Times New Roman"/>
                <w:kern w:val="2"/>
                <w:sz w:val="24"/>
                <w:szCs w:val="24"/>
                <w14:ligatures w14:val="standardContextual"/>
              </w:rPr>
              <w:t>Goetz</w:t>
            </w:r>
            <w:proofErr w:type="spellEnd"/>
            <w:r w:rsidRPr="00DE46B3">
              <w:rPr>
                <w:rFonts w:ascii="Times New Roman" w:eastAsiaTheme="minorHAnsi" w:hAnsi="Times New Roman"/>
                <w:kern w:val="2"/>
                <w:sz w:val="24"/>
                <w:szCs w:val="24"/>
                <w14:ligatures w14:val="standardContextual"/>
              </w:rPr>
              <w:t xml:space="preserve"> patvirtino, kad į Suomijoje esančią lustų gamyklą bus papildomai investuota 40 mln. eurų, taip patvirtinant tvirtą įsipareigojimą toliau ugdyti talentus, vystyti technologijas ir gamybą šalies viduje.</w:t>
            </w:r>
          </w:p>
        </w:tc>
        <w:tc>
          <w:tcPr>
            <w:tcW w:w="2127" w:type="dxa"/>
            <w:tcMar>
              <w:top w:w="29" w:type="dxa"/>
              <w:left w:w="115" w:type="dxa"/>
              <w:bottom w:w="29" w:type="dxa"/>
              <w:right w:w="115" w:type="dxa"/>
            </w:tcMar>
          </w:tcPr>
          <w:p w14:paraId="50669A88" w14:textId="3086CF3D" w:rsidR="000F310F" w:rsidRPr="00DE46B3" w:rsidRDefault="00915EBE" w:rsidP="000C0908">
            <w:pPr>
              <w:spacing w:after="0" w:line="240" w:lineRule="auto"/>
              <w:jc w:val="both"/>
              <w:rPr>
                <w:rFonts w:ascii="Times New Roman" w:hAnsi="Times New Roman"/>
                <w:sz w:val="24"/>
                <w:szCs w:val="24"/>
              </w:rPr>
            </w:pPr>
            <w:r w:rsidRPr="00DE46B3">
              <w:rPr>
                <w:rFonts w:ascii="Times New Roman" w:hAnsi="Times New Roman"/>
                <w:sz w:val="24"/>
                <w:szCs w:val="24"/>
              </w:rPr>
              <w:t>https://www.mtvuutiset.fi/artikkeli/suomalainen-kvanttitietokoneyhtio-listautuu-porssiin-yhdysvalloissa-jatkamme-investoimista-suomeen/9301010</w:t>
            </w:r>
          </w:p>
        </w:tc>
      </w:tr>
      <w:tr w:rsidR="00DE46B3" w:rsidRPr="00DE46B3" w14:paraId="7EA206A9" w14:textId="77777777" w:rsidTr="00334608">
        <w:trPr>
          <w:trHeight w:val="216"/>
        </w:trPr>
        <w:tc>
          <w:tcPr>
            <w:tcW w:w="1043" w:type="dxa"/>
            <w:tcMar>
              <w:top w:w="29" w:type="dxa"/>
              <w:left w:w="115" w:type="dxa"/>
              <w:bottom w:w="29" w:type="dxa"/>
              <w:right w:w="115" w:type="dxa"/>
            </w:tcMar>
          </w:tcPr>
          <w:p w14:paraId="6F298B82" w14:textId="1BD1670D" w:rsidR="003002BF" w:rsidRPr="00DE46B3" w:rsidRDefault="005410D0" w:rsidP="000C0908">
            <w:pPr>
              <w:spacing w:after="0" w:line="240" w:lineRule="auto"/>
              <w:jc w:val="both"/>
              <w:rPr>
                <w:rFonts w:ascii="Times New Roman" w:hAnsi="Times New Roman"/>
                <w:sz w:val="24"/>
                <w:szCs w:val="24"/>
              </w:rPr>
            </w:pPr>
            <w:r w:rsidRPr="00DE46B3">
              <w:rPr>
                <w:rFonts w:ascii="Times New Roman" w:hAnsi="Times New Roman"/>
                <w:sz w:val="24"/>
                <w:szCs w:val="24"/>
              </w:rPr>
              <w:t>2026-02-25</w:t>
            </w:r>
          </w:p>
        </w:tc>
        <w:tc>
          <w:tcPr>
            <w:tcW w:w="5755" w:type="dxa"/>
            <w:tcMar>
              <w:top w:w="29" w:type="dxa"/>
              <w:left w:w="115" w:type="dxa"/>
              <w:bottom w:w="29" w:type="dxa"/>
              <w:right w:w="115" w:type="dxa"/>
            </w:tcMar>
          </w:tcPr>
          <w:p w14:paraId="27D9E78C" w14:textId="04DC74F9" w:rsidR="003002BF" w:rsidRPr="00DE46B3" w:rsidRDefault="003002BF" w:rsidP="000C0908">
            <w:pPr>
              <w:spacing w:after="0" w:line="240" w:lineRule="auto"/>
              <w:jc w:val="both"/>
              <w:rPr>
                <w:rFonts w:ascii="Times New Roman" w:eastAsiaTheme="minorHAnsi" w:hAnsi="Times New Roman"/>
                <w:kern w:val="2"/>
                <w:sz w:val="24"/>
                <w:szCs w:val="24"/>
                <w14:ligatures w14:val="standardContextual"/>
              </w:rPr>
            </w:pPr>
            <w:r w:rsidRPr="00DE46B3">
              <w:rPr>
                <w:rFonts w:ascii="Times New Roman" w:eastAsiaTheme="minorHAnsi" w:hAnsi="Times New Roman"/>
                <w:b/>
                <w:bCs/>
                <w:kern w:val="2"/>
                <w:sz w:val="24"/>
                <w:szCs w:val="24"/>
                <w14:ligatures w14:val="standardContextual"/>
              </w:rPr>
              <w:t xml:space="preserve">Ministro Pirmininko </w:t>
            </w:r>
            <w:proofErr w:type="spellStart"/>
            <w:r w:rsidRPr="00DE46B3">
              <w:rPr>
                <w:rFonts w:ascii="Times New Roman" w:eastAsiaTheme="minorHAnsi" w:hAnsi="Times New Roman"/>
                <w:b/>
                <w:bCs/>
                <w:kern w:val="2"/>
                <w:sz w:val="24"/>
                <w:szCs w:val="24"/>
                <w14:ligatures w14:val="standardContextual"/>
              </w:rPr>
              <w:t>Petteri</w:t>
            </w:r>
            <w:proofErr w:type="spellEnd"/>
            <w:r w:rsidRPr="00DE46B3">
              <w:rPr>
                <w:rFonts w:ascii="Times New Roman" w:eastAsiaTheme="minorHAnsi" w:hAnsi="Times New Roman"/>
                <w:b/>
                <w:bCs/>
                <w:kern w:val="2"/>
                <w:sz w:val="24"/>
                <w:szCs w:val="24"/>
                <w14:ligatures w14:val="standardContextual"/>
              </w:rPr>
              <w:t xml:space="preserve"> </w:t>
            </w:r>
            <w:proofErr w:type="spellStart"/>
            <w:r w:rsidRPr="00DE46B3">
              <w:rPr>
                <w:rFonts w:ascii="Times New Roman" w:eastAsiaTheme="minorHAnsi" w:hAnsi="Times New Roman"/>
                <w:b/>
                <w:bCs/>
                <w:kern w:val="2"/>
                <w:sz w:val="24"/>
                <w:szCs w:val="24"/>
                <w14:ligatures w14:val="standardContextual"/>
              </w:rPr>
              <w:t>Orpo</w:t>
            </w:r>
            <w:proofErr w:type="spellEnd"/>
            <w:r w:rsidRPr="00DE46B3">
              <w:rPr>
                <w:rFonts w:ascii="Times New Roman" w:eastAsiaTheme="minorHAnsi" w:hAnsi="Times New Roman"/>
                <w:b/>
                <w:bCs/>
                <w:kern w:val="2"/>
                <w:sz w:val="24"/>
                <w:szCs w:val="24"/>
                <w14:ligatures w14:val="standardContextual"/>
              </w:rPr>
              <w:t xml:space="preserve"> paskirto specialiojo pasiuntinio </w:t>
            </w:r>
            <w:proofErr w:type="spellStart"/>
            <w:r w:rsidRPr="00DE46B3">
              <w:rPr>
                <w:rFonts w:ascii="Times New Roman" w:eastAsiaTheme="minorHAnsi" w:hAnsi="Times New Roman"/>
                <w:b/>
                <w:bCs/>
                <w:kern w:val="2"/>
                <w:sz w:val="24"/>
                <w:szCs w:val="24"/>
                <w14:ligatures w14:val="standardContextual"/>
              </w:rPr>
              <w:t>Harri</w:t>
            </w:r>
            <w:proofErr w:type="spellEnd"/>
            <w:r w:rsidRPr="00DE46B3">
              <w:rPr>
                <w:rFonts w:ascii="Times New Roman" w:eastAsiaTheme="minorHAnsi" w:hAnsi="Times New Roman"/>
                <w:b/>
                <w:bCs/>
                <w:kern w:val="2"/>
                <w:sz w:val="24"/>
                <w:szCs w:val="24"/>
                <w14:ligatures w14:val="standardContextual"/>
              </w:rPr>
              <w:t xml:space="preserve"> </w:t>
            </w:r>
            <w:proofErr w:type="spellStart"/>
            <w:r w:rsidRPr="00DE46B3">
              <w:rPr>
                <w:rFonts w:ascii="Times New Roman" w:eastAsiaTheme="minorHAnsi" w:hAnsi="Times New Roman"/>
                <w:b/>
                <w:bCs/>
                <w:kern w:val="2"/>
                <w:sz w:val="24"/>
                <w:szCs w:val="24"/>
                <w14:ligatures w14:val="standardContextual"/>
              </w:rPr>
              <w:t>Bromano</w:t>
            </w:r>
            <w:proofErr w:type="spellEnd"/>
            <w:r w:rsidRPr="00DE46B3">
              <w:rPr>
                <w:rFonts w:ascii="Times New Roman" w:eastAsiaTheme="minorHAnsi" w:hAnsi="Times New Roman"/>
                <w:b/>
                <w:bCs/>
                <w:kern w:val="2"/>
                <w:sz w:val="24"/>
                <w:szCs w:val="24"/>
                <w14:ligatures w14:val="standardContextual"/>
              </w:rPr>
              <w:t xml:space="preserve"> pasiūlyme raginama </w:t>
            </w:r>
            <w:proofErr w:type="spellStart"/>
            <w:r w:rsidRPr="00DE46B3">
              <w:rPr>
                <w:rFonts w:ascii="Times New Roman" w:eastAsiaTheme="minorHAnsi" w:hAnsi="Times New Roman"/>
                <w:b/>
                <w:bCs/>
                <w:kern w:val="2"/>
                <w:sz w:val="24"/>
                <w:szCs w:val="24"/>
                <w14:ligatures w14:val="standardContextual"/>
              </w:rPr>
              <w:t>Kajanyje</w:t>
            </w:r>
            <w:proofErr w:type="spellEnd"/>
            <w:r w:rsidRPr="00DE46B3">
              <w:rPr>
                <w:rFonts w:ascii="Times New Roman" w:eastAsiaTheme="minorHAnsi" w:hAnsi="Times New Roman"/>
                <w:b/>
                <w:bCs/>
                <w:kern w:val="2"/>
                <w:sz w:val="24"/>
                <w:szCs w:val="24"/>
                <w14:ligatures w14:val="standardContextual"/>
              </w:rPr>
              <w:t xml:space="preserve"> ir </w:t>
            </w:r>
            <w:proofErr w:type="spellStart"/>
            <w:r w:rsidRPr="00DE46B3">
              <w:rPr>
                <w:rFonts w:ascii="Times New Roman" w:eastAsiaTheme="minorHAnsi" w:hAnsi="Times New Roman"/>
                <w:b/>
                <w:bCs/>
                <w:kern w:val="2"/>
                <w:sz w:val="24"/>
                <w:szCs w:val="24"/>
                <w14:ligatures w14:val="standardContextual"/>
              </w:rPr>
              <w:t>Imatroje</w:t>
            </w:r>
            <w:proofErr w:type="spellEnd"/>
            <w:r w:rsidRPr="00DE46B3">
              <w:rPr>
                <w:rFonts w:ascii="Times New Roman" w:eastAsiaTheme="minorHAnsi" w:hAnsi="Times New Roman"/>
                <w:b/>
                <w:bCs/>
                <w:kern w:val="2"/>
                <w:sz w:val="24"/>
                <w:szCs w:val="24"/>
                <w14:ligatures w14:val="standardContextual"/>
              </w:rPr>
              <w:t xml:space="preserve"> (</w:t>
            </w:r>
            <w:r w:rsidR="005C3441" w:rsidRPr="00DE46B3">
              <w:rPr>
                <w:rFonts w:ascii="Times New Roman" w:eastAsiaTheme="minorHAnsi" w:hAnsi="Times New Roman"/>
                <w:b/>
                <w:bCs/>
                <w:kern w:val="2"/>
                <w:sz w:val="24"/>
                <w:szCs w:val="24"/>
                <w14:ligatures w14:val="standardContextual"/>
              </w:rPr>
              <w:t>atitinkamai vidurio ir pietryčių Suomijoje</w:t>
            </w:r>
            <w:r w:rsidRPr="00DE46B3">
              <w:rPr>
                <w:rFonts w:ascii="Times New Roman" w:eastAsiaTheme="minorHAnsi" w:hAnsi="Times New Roman"/>
                <w:b/>
                <w:bCs/>
                <w:kern w:val="2"/>
                <w:sz w:val="24"/>
                <w:szCs w:val="24"/>
                <w14:ligatures w14:val="standardContextual"/>
              </w:rPr>
              <w:t>) sukurti specialiąsias ekonomines zonas, kuriose įmonės galėtų 30–70 % susimažinti pelno mokestį naujoms investicijoms 12–15 metų laikotarpiui.</w:t>
            </w:r>
            <w:r w:rsidRPr="00DE46B3">
              <w:rPr>
                <w:rFonts w:ascii="Times New Roman" w:eastAsiaTheme="minorHAnsi" w:hAnsi="Times New Roman"/>
                <w:kern w:val="2"/>
                <w:sz w:val="24"/>
                <w:szCs w:val="24"/>
                <w14:ligatures w14:val="standardContextual"/>
              </w:rPr>
              <w:t xml:space="preserve"> Savivaldybės taip pat galėtų taikyti 50–100 % nekilnojamojo turto mokesčio lengvatas naujoms investicijoms trejų metų laikotarpiui. H. </w:t>
            </w:r>
            <w:proofErr w:type="spellStart"/>
            <w:r w:rsidRPr="00DE46B3">
              <w:rPr>
                <w:rFonts w:ascii="Times New Roman" w:eastAsiaTheme="minorHAnsi" w:hAnsi="Times New Roman"/>
                <w:kern w:val="2"/>
                <w:sz w:val="24"/>
                <w:szCs w:val="24"/>
                <w14:ligatures w14:val="standardContextual"/>
              </w:rPr>
              <w:t>Bromano</w:t>
            </w:r>
            <w:proofErr w:type="spellEnd"/>
            <w:r w:rsidRPr="00DE46B3">
              <w:rPr>
                <w:rFonts w:ascii="Times New Roman" w:eastAsiaTheme="minorHAnsi" w:hAnsi="Times New Roman"/>
                <w:kern w:val="2"/>
                <w:sz w:val="24"/>
                <w:szCs w:val="24"/>
                <w14:ligatures w14:val="standardContextual"/>
              </w:rPr>
              <w:t xml:space="preserve"> planu siekiama paskatinti regionų ekonominį aktyvumą ir pritraukti investicijas, ypač užsienio, kurios priešingu atveju galėtų pasitraukti kitur. Tačiau pažymima rizika, kad kaimyninės vietovės, pavyzdžiui, </w:t>
            </w:r>
            <w:proofErr w:type="spellStart"/>
            <w:r w:rsidRPr="00DE46B3">
              <w:rPr>
                <w:rFonts w:ascii="Times New Roman" w:eastAsiaTheme="minorHAnsi" w:hAnsi="Times New Roman"/>
                <w:kern w:val="2"/>
                <w:sz w:val="24"/>
                <w:szCs w:val="24"/>
                <w14:ligatures w14:val="standardContextual"/>
              </w:rPr>
              <w:t>Lapenranta</w:t>
            </w:r>
            <w:proofErr w:type="spellEnd"/>
            <w:r w:rsidR="005C3441" w:rsidRPr="00DE46B3">
              <w:rPr>
                <w:rFonts w:ascii="Times New Roman" w:eastAsiaTheme="minorHAnsi" w:hAnsi="Times New Roman"/>
                <w:kern w:val="2"/>
                <w:sz w:val="24"/>
                <w:szCs w:val="24"/>
                <w14:ligatures w14:val="standardContextual"/>
              </w:rPr>
              <w:t xml:space="preserve"> (pietryčių Suomija)</w:t>
            </w:r>
            <w:r w:rsidRPr="00DE46B3">
              <w:rPr>
                <w:rFonts w:ascii="Times New Roman" w:eastAsiaTheme="minorHAnsi" w:hAnsi="Times New Roman"/>
                <w:kern w:val="2"/>
                <w:sz w:val="24"/>
                <w:szCs w:val="24"/>
                <w14:ligatures w14:val="standardContextual"/>
              </w:rPr>
              <w:t>, gali pajusti aktyvumo sumažėjimą, jei investicijos susikoncentruos tik specialiosiose zonose. Europos patirtis su panašiomis zonomis rodo, kad mokesčių lengvatos dažnai yra lemiamas veiksnys – įmonės paprastai nebūtų investavusios be jų. Pasiūlymas vis dar svarstomas politiniu lygmeniu; prieš priimant galutinius sprendimus, numatyta atlikti konstitucinę lygybės ir proporcingumo principų patikrą.</w:t>
            </w:r>
          </w:p>
        </w:tc>
        <w:tc>
          <w:tcPr>
            <w:tcW w:w="2127" w:type="dxa"/>
            <w:tcMar>
              <w:top w:w="29" w:type="dxa"/>
              <w:left w:w="115" w:type="dxa"/>
              <w:bottom w:w="29" w:type="dxa"/>
              <w:right w:w="115" w:type="dxa"/>
            </w:tcMar>
          </w:tcPr>
          <w:p w14:paraId="6D94C04C" w14:textId="06B216D3" w:rsidR="003002BF" w:rsidRPr="00DE46B3" w:rsidRDefault="005410D0" w:rsidP="000C0908">
            <w:pPr>
              <w:spacing w:after="0" w:line="240" w:lineRule="auto"/>
              <w:jc w:val="both"/>
              <w:rPr>
                <w:rFonts w:ascii="Times New Roman" w:hAnsi="Times New Roman"/>
                <w:sz w:val="24"/>
                <w:szCs w:val="24"/>
              </w:rPr>
            </w:pPr>
            <w:hyperlink r:id="rId15" w:history="1">
              <w:r w:rsidRPr="00DE46B3">
                <w:rPr>
                  <w:rStyle w:val="Hyperlink"/>
                  <w:rFonts w:ascii="Times New Roman" w:hAnsi="Times New Roman"/>
                  <w:color w:val="auto"/>
                  <w:sz w:val="24"/>
                  <w:szCs w:val="24"/>
                </w:rPr>
                <w:t>https://www.hs.fi/politiikka/art-2000011842487.html</w:t>
              </w:r>
            </w:hyperlink>
            <w:r w:rsidRPr="00DE46B3">
              <w:rPr>
                <w:rFonts w:ascii="Times New Roman" w:hAnsi="Times New Roman"/>
                <w:sz w:val="24"/>
                <w:szCs w:val="24"/>
              </w:rPr>
              <w:t xml:space="preserve"> </w:t>
            </w:r>
          </w:p>
        </w:tc>
      </w:tr>
      <w:tr w:rsidR="00DE46B3" w:rsidRPr="00DE46B3" w14:paraId="48E45537" w14:textId="77777777" w:rsidTr="00334608">
        <w:trPr>
          <w:trHeight w:val="216"/>
        </w:trPr>
        <w:tc>
          <w:tcPr>
            <w:tcW w:w="1043" w:type="dxa"/>
            <w:tcMar>
              <w:top w:w="29" w:type="dxa"/>
              <w:left w:w="115" w:type="dxa"/>
              <w:bottom w:w="29" w:type="dxa"/>
              <w:right w:w="115" w:type="dxa"/>
            </w:tcMar>
          </w:tcPr>
          <w:p w14:paraId="6B498F48" w14:textId="48A45E29"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2026-02-02</w:t>
            </w:r>
          </w:p>
        </w:tc>
        <w:tc>
          <w:tcPr>
            <w:tcW w:w="5755" w:type="dxa"/>
            <w:tcMar>
              <w:top w:w="29" w:type="dxa"/>
              <w:left w:w="115" w:type="dxa"/>
              <w:bottom w:w="29" w:type="dxa"/>
              <w:right w:w="115" w:type="dxa"/>
            </w:tcMar>
          </w:tcPr>
          <w:p w14:paraId="07301124" w14:textId="77777777"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 xml:space="preserve">Suomijos vyriausybė rengia Maisto rinkos įstatymo reformą, kuria siekiama apriboti didžiųjų prekybos tinklų galimybes gaminti ir reklamuoti savo pigesnius </w:t>
            </w:r>
            <w:r w:rsidRPr="00DE46B3">
              <w:rPr>
                <w:rFonts w:ascii="Times New Roman" w:hAnsi="Times New Roman"/>
                <w:b/>
                <w:bCs/>
                <w:sz w:val="24"/>
                <w:szCs w:val="24"/>
              </w:rPr>
              <w:lastRenderedPageBreak/>
              <w:t>prekės ženklus (tokius kaip „</w:t>
            </w:r>
            <w:proofErr w:type="spellStart"/>
            <w:r w:rsidRPr="00DE46B3">
              <w:rPr>
                <w:rFonts w:ascii="Times New Roman" w:hAnsi="Times New Roman"/>
                <w:b/>
                <w:bCs/>
                <w:sz w:val="24"/>
                <w:szCs w:val="24"/>
              </w:rPr>
              <w:t>Pirkka</w:t>
            </w:r>
            <w:proofErr w:type="spellEnd"/>
            <w:r w:rsidRPr="00DE46B3">
              <w:rPr>
                <w:rFonts w:ascii="Times New Roman" w:hAnsi="Times New Roman"/>
                <w:b/>
                <w:bCs/>
                <w:sz w:val="24"/>
                <w:szCs w:val="24"/>
              </w:rPr>
              <w:t>“, „</w:t>
            </w:r>
            <w:proofErr w:type="spellStart"/>
            <w:r w:rsidRPr="00DE46B3">
              <w:rPr>
                <w:rFonts w:ascii="Times New Roman" w:hAnsi="Times New Roman"/>
                <w:b/>
                <w:bCs/>
                <w:sz w:val="24"/>
                <w:szCs w:val="24"/>
              </w:rPr>
              <w:t>Coop</w:t>
            </w:r>
            <w:proofErr w:type="spellEnd"/>
            <w:r w:rsidRPr="00DE46B3">
              <w:rPr>
                <w:rFonts w:ascii="Times New Roman" w:hAnsi="Times New Roman"/>
                <w:b/>
                <w:bCs/>
                <w:sz w:val="24"/>
                <w:szCs w:val="24"/>
              </w:rPr>
              <w:t>“ ar „</w:t>
            </w:r>
            <w:proofErr w:type="spellStart"/>
            <w:r w:rsidRPr="00DE46B3">
              <w:rPr>
                <w:rFonts w:ascii="Times New Roman" w:hAnsi="Times New Roman"/>
                <w:b/>
                <w:bCs/>
                <w:sz w:val="24"/>
                <w:szCs w:val="24"/>
              </w:rPr>
              <w:t>Xtra</w:t>
            </w:r>
            <w:proofErr w:type="spellEnd"/>
            <w:r w:rsidRPr="00DE46B3">
              <w:rPr>
                <w:rFonts w:ascii="Times New Roman" w:hAnsi="Times New Roman"/>
                <w:b/>
                <w:bCs/>
                <w:sz w:val="24"/>
                <w:szCs w:val="24"/>
              </w:rPr>
              <w:t xml:space="preserve">“). </w:t>
            </w:r>
            <w:r w:rsidRPr="00DE46B3">
              <w:rPr>
                <w:rFonts w:ascii="Times New Roman" w:hAnsi="Times New Roman"/>
                <w:sz w:val="24"/>
                <w:szCs w:val="24"/>
              </w:rPr>
              <w:t>Šiuo žingsniu norima perskirstyti galią maisto tiekimo grandinėje ir sustiprinti ūkininkų bei gamintojų derybinę poziciją prieš dominuojančius prekybos tinklus. Šiuo metu tokie privatūs prekės ženklai sudaro apie ketvirtadalį visų maisto prekių pardavimų Suomijoje.</w:t>
            </w:r>
          </w:p>
          <w:p w14:paraId="000A9CFE" w14:textId="7C664A3B" w:rsidR="006435BA" w:rsidRPr="00DE46B3" w:rsidRDefault="006435BA" w:rsidP="000C0908">
            <w:pPr>
              <w:spacing w:after="0" w:line="240" w:lineRule="auto"/>
              <w:jc w:val="both"/>
              <w:rPr>
                <w:rFonts w:ascii="Times New Roman" w:hAnsi="Times New Roman"/>
                <w:b/>
                <w:bCs/>
                <w:sz w:val="24"/>
                <w:szCs w:val="24"/>
              </w:rPr>
            </w:pPr>
            <w:r w:rsidRPr="00DE46B3">
              <w:rPr>
                <w:rFonts w:ascii="Times New Roman" w:hAnsi="Times New Roman"/>
                <w:sz w:val="24"/>
                <w:szCs w:val="24"/>
              </w:rPr>
              <w:t>Nors reformos tikslas yra sukurti sąžiningesnes rinkos sąlygas, ekspertai ir vartotojų grupės įspėja apie neigiamas pasekmes. Teigiama, kad apribojus pigesnes alternatyvas, susilpnės kainų konkurencija, o tai skausmingiausiai pajus mažas pajamas gaunantys namų ūkių ūkiai. Kritikai baiminasi, kad reforma ne tik padidins maisto kainas ir sumažins pasirinkimą, bet ir užkraus papildomą administracinę naštą verslui, nebūtinai užtikrindama geresnes pajamas patiems gamintojams. Tad nors maisto pramonės atstovai pokyčius vertina teigiamai, lieka rizika, kad gera iniciatyva galutiniam vartotojui tiesiog pabrangins pirkinių krepšelį.</w:t>
            </w:r>
          </w:p>
        </w:tc>
        <w:tc>
          <w:tcPr>
            <w:tcW w:w="2127" w:type="dxa"/>
            <w:tcMar>
              <w:top w:w="29" w:type="dxa"/>
              <w:left w:w="115" w:type="dxa"/>
              <w:bottom w:w="29" w:type="dxa"/>
              <w:right w:w="115" w:type="dxa"/>
            </w:tcMar>
          </w:tcPr>
          <w:p w14:paraId="32357C0A" w14:textId="330F0030" w:rsidR="006435BA" w:rsidRPr="00DE46B3" w:rsidRDefault="006435BA" w:rsidP="000C0908">
            <w:pPr>
              <w:spacing w:after="0" w:line="240" w:lineRule="auto"/>
              <w:jc w:val="both"/>
              <w:rPr>
                <w:rFonts w:ascii="Times New Roman" w:hAnsi="Times New Roman"/>
                <w:sz w:val="24"/>
                <w:szCs w:val="24"/>
              </w:rPr>
            </w:pPr>
            <w:hyperlink r:id="rId16" w:history="1">
              <w:r w:rsidRPr="00DE46B3">
                <w:rPr>
                  <w:rStyle w:val="Hyperlink"/>
                  <w:rFonts w:ascii="Times New Roman" w:hAnsi="Times New Roman"/>
                  <w:color w:val="auto"/>
                  <w:sz w:val="24"/>
                  <w:szCs w:val="24"/>
                </w:rPr>
                <w:t>https://www.hs.fi/visio/art-</w:t>
              </w:r>
              <w:r w:rsidRPr="00DE46B3">
                <w:rPr>
                  <w:rStyle w:val="Hyperlink"/>
                  <w:rFonts w:ascii="Times New Roman" w:hAnsi="Times New Roman"/>
                  <w:color w:val="auto"/>
                  <w:sz w:val="24"/>
                  <w:szCs w:val="24"/>
                </w:rPr>
                <w:lastRenderedPageBreak/>
                <w:t>2000011773164.html</w:t>
              </w:r>
            </w:hyperlink>
            <w:r w:rsidRPr="00DE46B3">
              <w:rPr>
                <w:rFonts w:ascii="Times New Roman" w:hAnsi="Times New Roman"/>
                <w:sz w:val="24"/>
                <w:szCs w:val="24"/>
              </w:rPr>
              <w:t xml:space="preserve"> </w:t>
            </w:r>
          </w:p>
        </w:tc>
      </w:tr>
      <w:tr w:rsidR="00DE46B3" w:rsidRPr="00DE46B3" w14:paraId="6E5D6DAA" w14:textId="77777777" w:rsidTr="00334608">
        <w:trPr>
          <w:trHeight w:val="216"/>
        </w:trPr>
        <w:tc>
          <w:tcPr>
            <w:tcW w:w="1043" w:type="dxa"/>
            <w:tcMar>
              <w:top w:w="29" w:type="dxa"/>
              <w:left w:w="115" w:type="dxa"/>
              <w:bottom w:w="29" w:type="dxa"/>
              <w:right w:w="115" w:type="dxa"/>
            </w:tcMar>
          </w:tcPr>
          <w:p w14:paraId="246B10C0" w14:textId="03EFDD7D"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lastRenderedPageBreak/>
              <w:t>2026-02-01</w:t>
            </w:r>
          </w:p>
        </w:tc>
        <w:tc>
          <w:tcPr>
            <w:tcW w:w="5755" w:type="dxa"/>
            <w:tcMar>
              <w:top w:w="29" w:type="dxa"/>
              <w:left w:w="115" w:type="dxa"/>
              <w:bottom w:w="29" w:type="dxa"/>
              <w:right w:w="115" w:type="dxa"/>
            </w:tcMar>
          </w:tcPr>
          <w:p w14:paraId="2CE1DFC8" w14:textId="64FCC6A2"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 xml:space="preserve">Sparčiai augantis Laplandijos turizmo sektorius pritraukia vis daugiau verslininkų iš užsienio, o tokie Laplandijos miestai kaip </w:t>
            </w:r>
            <w:proofErr w:type="spellStart"/>
            <w:r w:rsidRPr="00DE46B3">
              <w:rPr>
                <w:rFonts w:ascii="Times New Roman" w:hAnsi="Times New Roman"/>
                <w:b/>
                <w:bCs/>
                <w:sz w:val="24"/>
                <w:szCs w:val="24"/>
              </w:rPr>
              <w:t>Rovani</w:t>
            </w:r>
            <w:r w:rsidR="00D25147">
              <w:rPr>
                <w:rFonts w:ascii="Times New Roman" w:hAnsi="Times New Roman"/>
                <w:b/>
                <w:bCs/>
                <w:sz w:val="24"/>
                <w:szCs w:val="24"/>
              </w:rPr>
              <w:t>emis</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t>Kitila</w:t>
            </w:r>
            <w:proofErr w:type="spellEnd"/>
            <w:r w:rsidRPr="00DE46B3">
              <w:rPr>
                <w:rFonts w:ascii="Times New Roman" w:hAnsi="Times New Roman"/>
                <w:b/>
                <w:bCs/>
                <w:sz w:val="24"/>
                <w:szCs w:val="24"/>
              </w:rPr>
              <w:t xml:space="preserve"> ir </w:t>
            </w:r>
            <w:proofErr w:type="spellStart"/>
            <w:r w:rsidRPr="00DE46B3">
              <w:rPr>
                <w:rFonts w:ascii="Times New Roman" w:hAnsi="Times New Roman"/>
                <w:b/>
                <w:bCs/>
                <w:sz w:val="24"/>
                <w:szCs w:val="24"/>
              </w:rPr>
              <w:t>Ekaslompolas</w:t>
            </w:r>
            <w:proofErr w:type="spellEnd"/>
            <w:r w:rsidRPr="00DE46B3">
              <w:rPr>
                <w:rFonts w:ascii="Times New Roman" w:hAnsi="Times New Roman"/>
                <w:b/>
                <w:bCs/>
                <w:sz w:val="24"/>
                <w:szCs w:val="24"/>
              </w:rPr>
              <w:t xml:space="preserve"> virsta tarptautinį verslą pritraukiančiomis vietomis.</w:t>
            </w:r>
            <w:r w:rsidRPr="00DE46B3">
              <w:rPr>
                <w:rFonts w:ascii="Times New Roman" w:hAnsi="Times New Roman"/>
                <w:sz w:val="24"/>
                <w:szCs w:val="24"/>
              </w:rPr>
              <w:t xml:space="preserve"> Vien </w:t>
            </w:r>
            <w:proofErr w:type="spellStart"/>
            <w:r w:rsidRPr="00DE46B3">
              <w:rPr>
                <w:rFonts w:ascii="Times New Roman" w:hAnsi="Times New Roman"/>
                <w:sz w:val="24"/>
                <w:szCs w:val="24"/>
              </w:rPr>
              <w:t>Rovani</w:t>
            </w:r>
            <w:r w:rsidR="00D25147">
              <w:rPr>
                <w:rFonts w:ascii="Times New Roman" w:hAnsi="Times New Roman"/>
                <w:sz w:val="24"/>
                <w:szCs w:val="24"/>
              </w:rPr>
              <w:t>emyje</w:t>
            </w:r>
            <w:proofErr w:type="spellEnd"/>
            <w:r w:rsidRPr="00DE46B3">
              <w:rPr>
                <w:rFonts w:ascii="Times New Roman" w:hAnsi="Times New Roman"/>
                <w:sz w:val="24"/>
                <w:szCs w:val="24"/>
              </w:rPr>
              <w:t xml:space="preserve"> praėjusiais metais įkurta daugiau nei 600 naujų įmonių – beveik dvigubai daugiau nei prieš dešimtmetį, o didelę dalį šio augimo generuoja užsieniečiai. Nors dauguma investuotojų atvyksta iš Europos (Prancūzijos, Vokietijos), verslo galimybėmis domisi ir verslininkai iš tolimesnių šalių, pavyzdžiui, Zimbabvės ar Moldovos. Juos traukia Laplandijos gamta, saugumas, socialinis stabilumas ir milžiniška turizmo paslaugų paklausa.</w:t>
            </w:r>
          </w:p>
          <w:p w14:paraId="3A6E5404" w14:textId="6575D116"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Vietos valdžia šį tarptautinį susidomėjimą laiko pagrindiniu regiono ekonomikos varikliu, ypač apgyvendinimo ir pramogų sektoriuose. Patys verslininkai Suomiją vertina kaip patikimą vietą verslui, tačiau pripažįsta, kad iššūkių kelia biurokratija. Taip pat baiminamasi, kad dėl itin sparčios plėtros gali nukentėti paslaugų kokybė. Nepaisant to, Laplandija įsitvirtina kaip pasaulinio lygio turizmo kryptis, kurios ateitį vis labiau formuoja tarptautinės investicijos.</w:t>
            </w:r>
          </w:p>
        </w:tc>
        <w:tc>
          <w:tcPr>
            <w:tcW w:w="2127" w:type="dxa"/>
            <w:tcMar>
              <w:top w:w="29" w:type="dxa"/>
              <w:left w:w="115" w:type="dxa"/>
              <w:bottom w:w="29" w:type="dxa"/>
              <w:right w:w="115" w:type="dxa"/>
            </w:tcMar>
          </w:tcPr>
          <w:p w14:paraId="3599F51F" w14:textId="2D6B8F52" w:rsidR="006435BA" w:rsidRPr="00DE46B3" w:rsidRDefault="006435BA" w:rsidP="000C0908">
            <w:pPr>
              <w:spacing w:after="0" w:line="240" w:lineRule="auto"/>
              <w:jc w:val="both"/>
              <w:rPr>
                <w:rFonts w:ascii="Times New Roman" w:hAnsi="Times New Roman"/>
                <w:sz w:val="24"/>
                <w:szCs w:val="24"/>
              </w:rPr>
            </w:pPr>
            <w:hyperlink r:id="rId17" w:history="1">
              <w:r w:rsidRPr="00DE46B3">
                <w:rPr>
                  <w:rStyle w:val="Hyperlink"/>
                  <w:rFonts w:ascii="Times New Roman" w:hAnsi="Times New Roman"/>
                  <w:color w:val="auto"/>
                  <w:sz w:val="24"/>
                  <w:szCs w:val="24"/>
                </w:rPr>
                <w:t>https://yle.fi/a/74-20204734</w:t>
              </w:r>
            </w:hyperlink>
            <w:r w:rsidRPr="00DE46B3">
              <w:rPr>
                <w:rFonts w:ascii="Times New Roman" w:hAnsi="Times New Roman"/>
                <w:sz w:val="24"/>
                <w:szCs w:val="24"/>
              </w:rPr>
              <w:t xml:space="preserve"> </w:t>
            </w:r>
          </w:p>
        </w:tc>
      </w:tr>
      <w:tr w:rsidR="00DE46B3" w:rsidRPr="00DE46B3" w14:paraId="68DABEC1" w14:textId="77777777" w:rsidTr="00334608">
        <w:trPr>
          <w:trHeight w:val="216"/>
        </w:trPr>
        <w:tc>
          <w:tcPr>
            <w:tcW w:w="1043" w:type="dxa"/>
            <w:tcMar>
              <w:top w:w="29" w:type="dxa"/>
              <w:left w:w="115" w:type="dxa"/>
              <w:bottom w:w="29" w:type="dxa"/>
              <w:right w:w="115" w:type="dxa"/>
            </w:tcMar>
          </w:tcPr>
          <w:p w14:paraId="2F939599" w14:textId="2E79BCF0" w:rsidR="00EE5693" w:rsidRPr="00DE46B3" w:rsidRDefault="007A736B" w:rsidP="000C0908">
            <w:pPr>
              <w:spacing w:after="0" w:line="240" w:lineRule="auto"/>
              <w:jc w:val="both"/>
              <w:rPr>
                <w:rFonts w:ascii="Times New Roman" w:hAnsi="Times New Roman"/>
                <w:sz w:val="24"/>
                <w:szCs w:val="24"/>
              </w:rPr>
            </w:pPr>
            <w:r w:rsidRPr="00DE46B3">
              <w:rPr>
                <w:rFonts w:ascii="Times New Roman" w:hAnsi="Times New Roman"/>
                <w:sz w:val="24"/>
                <w:szCs w:val="24"/>
              </w:rPr>
              <w:t>2026-02-26</w:t>
            </w:r>
          </w:p>
        </w:tc>
        <w:tc>
          <w:tcPr>
            <w:tcW w:w="5755" w:type="dxa"/>
            <w:tcMar>
              <w:top w:w="29" w:type="dxa"/>
              <w:left w:w="115" w:type="dxa"/>
              <w:bottom w:w="29" w:type="dxa"/>
              <w:right w:w="115" w:type="dxa"/>
            </w:tcMar>
          </w:tcPr>
          <w:p w14:paraId="4BDED47D" w14:textId="6E9513C1" w:rsidR="00EE5693" w:rsidRPr="00DE46B3" w:rsidRDefault="00EE5693" w:rsidP="000C0908">
            <w:pPr>
              <w:spacing w:after="0" w:line="240" w:lineRule="auto"/>
              <w:jc w:val="both"/>
              <w:rPr>
                <w:rFonts w:ascii="Times New Roman" w:hAnsi="Times New Roman"/>
                <w:b/>
                <w:bCs/>
                <w:sz w:val="24"/>
                <w:szCs w:val="24"/>
              </w:rPr>
            </w:pPr>
            <w:r w:rsidRPr="00DE46B3">
              <w:rPr>
                <w:rFonts w:ascii="Times New Roman" w:hAnsi="Times New Roman"/>
                <w:b/>
                <w:bCs/>
                <w:sz w:val="24"/>
                <w:szCs w:val="24"/>
              </w:rPr>
              <w:t>Rytų Suomijos universiteto atliktas tyrimas rodo, kad planuojamas naujasis rytinis geležinkelis („</w:t>
            </w:r>
            <w:proofErr w:type="spellStart"/>
            <w:r w:rsidRPr="00DE46B3">
              <w:rPr>
                <w:rFonts w:ascii="Times New Roman" w:hAnsi="Times New Roman"/>
                <w:b/>
                <w:bCs/>
                <w:sz w:val="24"/>
                <w:szCs w:val="24"/>
              </w:rPr>
              <w:t>Itärata</w:t>
            </w:r>
            <w:proofErr w:type="spellEnd"/>
            <w:r w:rsidRPr="00DE46B3">
              <w:rPr>
                <w:rFonts w:ascii="Times New Roman" w:hAnsi="Times New Roman"/>
                <w:b/>
                <w:bCs/>
                <w:sz w:val="24"/>
                <w:szCs w:val="24"/>
              </w:rPr>
              <w:t xml:space="preserve">“) pagerintų susisiekimą ir sustiprintų darbo rinkas Rytų Suomijoje. </w:t>
            </w:r>
            <w:r w:rsidRPr="00DE46B3">
              <w:rPr>
                <w:rFonts w:ascii="Times New Roman" w:hAnsi="Times New Roman"/>
                <w:sz w:val="24"/>
                <w:szCs w:val="24"/>
              </w:rPr>
              <w:t xml:space="preserve">Kelionės laikas iš </w:t>
            </w:r>
            <w:proofErr w:type="spellStart"/>
            <w:r w:rsidRPr="00DE46B3">
              <w:rPr>
                <w:rFonts w:ascii="Times New Roman" w:hAnsi="Times New Roman"/>
                <w:sz w:val="24"/>
                <w:szCs w:val="24"/>
              </w:rPr>
              <w:t>Kuopijo</w:t>
            </w:r>
            <w:proofErr w:type="spellEnd"/>
            <w:r w:rsidRPr="00DE46B3">
              <w:rPr>
                <w:rFonts w:ascii="Times New Roman" w:hAnsi="Times New Roman"/>
                <w:sz w:val="24"/>
                <w:szCs w:val="24"/>
              </w:rPr>
              <w:t xml:space="preserve"> ir </w:t>
            </w:r>
            <w:proofErr w:type="spellStart"/>
            <w:r w:rsidRPr="00DE46B3">
              <w:rPr>
                <w:rFonts w:ascii="Times New Roman" w:hAnsi="Times New Roman"/>
                <w:sz w:val="24"/>
                <w:szCs w:val="24"/>
              </w:rPr>
              <w:t>Joensū</w:t>
            </w:r>
            <w:proofErr w:type="spellEnd"/>
            <w:r w:rsidRPr="00DE46B3">
              <w:rPr>
                <w:rFonts w:ascii="Times New Roman" w:hAnsi="Times New Roman"/>
                <w:sz w:val="24"/>
                <w:szCs w:val="24"/>
              </w:rPr>
              <w:t xml:space="preserve"> į Helsinkį galėtų sutrumpėti iki maždaug trijų valandų, o tai išplėstų važinėjimo į darbą zonas ir skatintų ekonominį augimą, ypač Pietryčių Suomijos bei Helsinkio </w:t>
            </w:r>
            <w:proofErr w:type="spellStart"/>
            <w:r w:rsidRPr="00DE46B3">
              <w:rPr>
                <w:rFonts w:ascii="Times New Roman" w:hAnsi="Times New Roman"/>
                <w:sz w:val="24"/>
                <w:szCs w:val="24"/>
              </w:rPr>
              <w:t>metropolinės</w:t>
            </w:r>
            <w:proofErr w:type="spellEnd"/>
            <w:r w:rsidRPr="00DE46B3">
              <w:rPr>
                <w:rFonts w:ascii="Times New Roman" w:hAnsi="Times New Roman"/>
                <w:sz w:val="24"/>
                <w:szCs w:val="24"/>
              </w:rPr>
              <w:t xml:space="preserve"> zonos kryptimis. Teigiamas poveikis taip pat būtų juntamas Šiaurės Karelijoje ir Šiaurės Sav</w:t>
            </w:r>
            <w:r w:rsidR="00363641" w:rsidRPr="00DE46B3">
              <w:rPr>
                <w:rFonts w:ascii="Times New Roman" w:hAnsi="Times New Roman"/>
                <w:sz w:val="24"/>
                <w:szCs w:val="24"/>
              </w:rPr>
              <w:t>o provincijoje</w:t>
            </w:r>
            <w:r w:rsidRPr="00DE46B3">
              <w:rPr>
                <w:rFonts w:ascii="Times New Roman" w:hAnsi="Times New Roman"/>
                <w:sz w:val="24"/>
                <w:szCs w:val="24"/>
              </w:rPr>
              <w:t xml:space="preserve">. </w:t>
            </w:r>
            <w:r w:rsidRPr="00DE46B3">
              <w:rPr>
                <w:rFonts w:ascii="Times New Roman" w:hAnsi="Times New Roman"/>
                <w:sz w:val="24"/>
                <w:szCs w:val="24"/>
              </w:rPr>
              <w:lastRenderedPageBreak/>
              <w:t>Šiuo metu viešai pristatomi projekto poveikio aplinkai vertinimai, taip pat vykdomi tolesni planavimo darbai, įskaitant greitojo geležinkelio reikalavimų analizę.</w:t>
            </w:r>
          </w:p>
        </w:tc>
        <w:tc>
          <w:tcPr>
            <w:tcW w:w="2127" w:type="dxa"/>
            <w:tcMar>
              <w:top w:w="29" w:type="dxa"/>
              <w:left w:w="115" w:type="dxa"/>
              <w:bottom w:w="29" w:type="dxa"/>
              <w:right w:w="115" w:type="dxa"/>
            </w:tcMar>
          </w:tcPr>
          <w:p w14:paraId="3E8AAB4F" w14:textId="3C747B47" w:rsidR="00EE5693" w:rsidRPr="00DE46B3" w:rsidRDefault="007A736B" w:rsidP="000C0908">
            <w:pPr>
              <w:spacing w:after="0" w:line="240" w:lineRule="auto"/>
              <w:jc w:val="both"/>
              <w:rPr>
                <w:rFonts w:ascii="Times New Roman" w:hAnsi="Times New Roman"/>
                <w:sz w:val="24"/>
                <w:szCs w:val="24"/>
              </w:rPr>
            </w:pPr>
            <w:hyperlink r:id="rId18" w:history="1">
              <w:r w:rsidRPr="00DE46B3">
                <w:rPr>
                  <w:rStyle w:val="Hyperlink"/>
                  <w:rFonts w:ascii="Times New Roman" w:hAnsi="Times New Roman"/>
                  <w:color w:val="auto"/>
                  <w:sz w:val="24"/>
                  <w:szCs w:val="24"/>
                </w:rPr>
                <w:t>https://yle.fi/a/74-20212310</w:t>
              </w:r>
            </w:hyperlink>
            <w:r w:rsidRPr="00DE46B3">
              <w:rPr>
                <w:rFonts w:ascii="Times New Roman" w:hAnsi="Times New Roman"/>
                <w:sz w:val="24"/>
                <w:szCs w:val="24"/>
              </w:rPr>
              <w:t xml:space="preserve"> </w:t>
            </w:r>
          </w:p>
        </w:tc>
      </w:tr>
      <w:tr w:rsidR="00DE46B3" w:rsidRPr="00DE46B3" w14:paraId="00041D9C" w14:textId="77777777" w:rsidTr="00334608">
        <w:trPr>
          <w:trHeight w:val="216"/>
        </w:trPr>
        <w:tc>
          <w:tcPr>
            <w:tcW w:w="1043" w:type="dxa"/>
            <w:tcMar>
              <w:top w:w="29" w:type="dxa"/>
              <w:left w:w="115" w:type="dxa"/>
              <w:bottom w:w="29" w:type="dxa"/>
              <w:right w:w="115" w:type="dxa"/>
            </w:tcMar>
          </w:tcPr>
          <w:p w14:paraId="4730585B" w14:textId="3DC28531" w:rsidR="009D6B76" w:rsidRPr="00DE46B3" w:rsidRDefault="00FA62A1" w:rsidP="000C0908">
            <w:pPr>
              <w:spacing w:after="0" w:line="240" w:lineRule="auto"/>
              <w:jc w:val="both"/>
              <w:rPr>
                <w:rFonts w:ascii="Times New Roman" w:hAnsi="Times New Roman"/>
                <w:sz w:val="24"/>
                <w:szCs w:val="24"/>
              </w:rPr>
            </w:pPr>
            <w:r w:rsidRPr="00DE46B3">
              <w:rPr>
                <w:rFonts w:ascii="Times New Roman" w:hAnsi="Times New Roman"/>
                <w:sz w:val="24"/>
                <w:szCs w:val="24"/>
              </w:rPr>
              <w:t>2026-02-19</w:t>
            </w:r>
          </w:p>
        </w:tc>
        <w:tc>
          <w:tcPr>
            <w:tcW w:w="5755" w:type="dxa"/>
            <w:tcMar>
              <w:top w:w="29" w:type="dxa"/>
              <w:left w:w="115" w:type="dxa"/>
              <w:bottom w:w="29" w:type="dxa"/>
              <w:right w:w="115" w:type="dxa"/>
            </w:tcMar>
          </w:tcPr>
          <w:p w14:paraId="24BA7FC4" w14:textId="2A07BD00" w:rsidR="009D6B76" w:rsidRPr="00DE46B3" w:rsidRDefault="009D6B76" w:rsidP="000C0908">
            <w:pPr>
              <w:spacing w:after="0" w:line="240" w:lineRule="auto"/>
              <w:jc w:val="both"/>
              <w:rPr>
                <w:rFonts w:ascii="Times New Roman" w:hAnsi="Times New Roman"/>
                <w:b/>
                <w:bCs/>
                <w:sz w:val="24"/>
                <w:szCs w:val="24"/>
              </w:rPr>
            </w:pPr>
            <w:r w:rsidRPr="00DE46B3">
              <w:rPr>
                <w:rFonts w:ascii="Times New Roman" w:hAnsi="Times New Roman"/>
                <w:b/>
                <w:bCs/>
                <w:sz w:val="24"/>
                <w:szCs w:val="24"/>
              </w:rPr>
              <w:t xml:space="preserve">Suomijos parlamentinių partijų sudaryta šalies skolos stabdymo darbo grupė pasiekė preliminarų susitarimą, kuris įpareigos kitą vyriausybę iki 2031 m. sutaupyti nuo 8 iki 11 mlrd. eurų. </w:t>
            </w:r>
            <w:r w:rsidRPr="00DE46B3">
              <w:rPr>
                <w:rFonts w:ascii="Times New Roman" w:hAnsi="Times New Roman"/>
                <w:sz w:val="24"/>
                <w:szCs w:val="24"/>
              </w:rPr>
              <w:t xml:space="preserve">Šis plano projektas parengtas siekiant suderinti šalies fiskalinę politiką su griežtomis </w:t>
            </w:r>
            <w:r w:rsidR="00171F42" w:rsidRPr="00DE46B3">
              <w:rPr>
                <w:rFonts w:ascii="Times New Roman" w:hAnsi="Times New Roman"/>
                <w:sz w:val="24"/>
                <w:szCs w:val="24"/>
              </w:rPr>
              <w:t>ES</w:t>
            </w:r>
            <w:r w:rsidRPr="00DE46B3">
              <w:rPr>
                <w:rFonts w:ascii="Times New Roman" w:hAnsi="Times New Roman"/>
                <w:sz w:val="24"/>
                <w:szCs w:val="24"/>
              </w:rPr>
              <w:t xml:space="preserve"> taisyklėmis, tačiau proceso įgyvendinimas išlieka apgaubtas neapibrėžtumo.</w:t>
            </w:r>
            <w:r w:rsidR="00171F42" w:rsidRPr="00DE46B3">
              <w:rPr>
                <w:rFonts w:ascii="Times New Roman" w:hAnsi="Times New Roman"/>
                <w:sz w:val="24"/>
                <w:szCs w:val="24"/>
              </w:rPr>
              <w:t xml:space="preserve"> </w:t>
            </w:r>
            <w:r w:rsidRPr="00DE46B3">
              <w:rPr>
                <w:rFonts w:ascii="Times New Roman" w:hAnsi="Times New Roman"/>
                <w:sz w:val="24"/>
                <w:szCs w:val="24"/>
              </w:rPr>
              <w:t>Dabartinei vyriausybei pavyko subalansuoti biudžetą tik 3,5 mlrd. eurų suma, todėl būsimai administracijai greičiausiai teks imtis drastiškų priemonių – ženklaus išlaidų mažinimo bei mokesčių didinimo. Galutinis finansinio koregavimo tikslas turėtų būti patvirtintas šių metų gruodį. Tiesa, numatoma išlyga: reikalaujama suma gali būti sumažinta, jei dabartinė valdžia kitais metais sugebės įgyvendinti papildomas taupymo priemones.</w:t>
            </w:r>
          </w:p>
        </w:tc>
        <w:tc>
          <w:tcPr>
            <w:tcW w:w="2127" w:type="dxa"/>
            <w:tcMar>
              <w:top w:w="29" w:type="dxa"/>
              <w:left w:w="115" w:type="dxa"/>
              <w:bottom w:w="29" w:type="dxa"/>
              <w:right w:w="115" w:type="dxa"/>
            </w:tcMar>
          </w:tcPr>
          <w:p w14:paraId="21C43A7A" w14:textId="439146E2" w:rsidR="009D6B76" w:rsidRPr="00DE46B3" w:rsidRDefault="00FA62A1" w:rsidP="000C0908">
            <w:pPr>
              <w:spacing w:after="0" w:line="240" w:lineRule="auto"/>
              <w:jc w:val="both"/>
              <w:rPr>
                <w:rFonts w:ascii="Times New Roman" w:hAnsi="Times New Roman"/>
                <w:sz w:val="24"/>
                <w:szCs w:val="24"/>
              </w:rPr>
            </w:pPr>
            <w:hyperlink r:id="rId19" w:history="1">
              <w:r w:rsidRPr="00DE46B3">
                <w:rPr>
                  <w:rStyle w:val="Hyperlink"/>
                  <w:rFonts w:ascii="Times New Roman" w:hAnsi="Times New Roman"/>
                  <w:color w:val="auto"/>
                  <w:sz w:val="24"/>
                  <w:szCs w:val="24"/>
                </w:rPr>
                <w:t>https://www.hs.fi/politiikka/art-2000011830085.html</w:t>
              </w:r>
            </w:hyperlink>
            <w:r w:rsidRPr="00DE46B3">
              <w:rPr>
                <w:rFonts w:ascii="Times New Roman" w:hAnsi="Times New Roman"/>
                <w:sz w:val="24"/>
                <w:szCs w:val="24"/>
              </w:rPr>
              <w:t xml:space="preserve"> </w:t>
            </w:r>
          </w:p>
        </w:tc>
      </w:tr>
      <w:tr w:rsidR="00DE46B3" w:rsidRPr="00DE46B3" w14:paraId="2CB1226D" w14:textId="77777777" w:rsidTr="00334608">
        <w:trPr>
          <w:trHeight w:val="216"/>
        </w:trPr>
        <w:tc>
          <w:tcPr>
            <w:tcW w:w="1043" w:type="dxa"/>
            <w:tcMar>
              <w:top w:w="29" w:type="dxa"/>
              <w:left w:w="115" w:type="dxa"/>
              <w:bottom w:w="29" w:type="dxa"/>
              <w:right w:w="115" w:type="dxa"/>
            </w:tcMar>
          </w:tcPr>
          <w:p w14:paraId="5C55B5C5" w14:textId="0BCDA666" w:rsidR="00FE1F6A" w:rsidRPr="00DE46B3" w:rsidRDefault="00286A4C" w:rsidP="000C0908">
            <w:pPr>
              <w:spacing w:after="0" w:line="240" w:lineRule="auto"/>
              <w:jc w:val="both"/>
              <w:rPr>
                <w:rFonts w:ascii="Times New Roman" w:hAnsi="Times New Roman"/>
                <w:sz w:val="24"/>
                <w:szCs w:val="24"/>
              </w:rPr>
            </w:pPr>
            <w:r w:rsidRPr="00DE46B3">
              <w:rPr>
                <w:rFonts w:ascii="Times New Roman" w:hAnsi="Times New Roman"/>
                <w:sz w:val="24"/>
                <w:szCs w:val="24"/>
              </w:rPr>
              <w:t>2026-02-26</w:t>
            </w:r>
          </w:p>
        </w:tc>
        <w:tc>
          <w:tcPr>
            <w:tcW w:w="5755" w:type="dxa"/>
            <w:tcMar>
              <w:top w:w="29" w:type="dxa"/>
              <w:left w:w="115" w:type="dxa"/>
              <w:bottom w:w="29" w:type="dxa"/>
              <w:right w:w="115" w:type="dxa"/>
            </w:tcMar>
          </w:tcPr>
          <w:p w14:paraId="5F2B2A12" w14:textId="24FBEA73" w:rsidR="00FE1F6A" w:rsidRPr="00DE46B3" w:rsidRDefault="00FE1F6A"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Suomija įvedė mokesčių lengvatą, skirtą pritraukti aukštos kvalifikacijos ir gerai apmokamus užsieniečius</w:t>
            </w:r>
            <w:r w:rsidR="00286A4C" w:rsidRPr="00DE46B3">
              <w:rPr>
                <w:rFonts w:ascii="Times New Roman" w:hAnsi="Times New Roman"/>
                <w:b/>
                <w:bCs/>
                <w:sz w:val="24"/>
                <w:szCs w:val="24"/>
              </w:rPr>
              <w:t xml:space="preserve"> – n</w:t>
            </w:r>
            <w:r w:rsidRPr="00DE46B3">
              <w:rPr>
                <w:rFonts w:ascii="Times New Roman" w:hAnsi="Times New Roman"/>
                <w:b/>
                <w:bCs/>
                <w:sz w:val="24"/>
                <w:szCs w:val="24"/>
              </w:rPr>
              <w:t xml:space="preserve">uo </w:t>
            </w:r>
            <w:r w:rsidR="000E1B67" w:rsidRPr="00DE46B3">
              <w:rPr>
                <w:rFonts w:ascii="Times New Roman" w:hAnsi="Times New Roman"/>
                <w:b/>
                <w:bCs/>
                <w:sz w:val="24"/>
                <w:szCs w:val="24"/>
              </w:rPr>
              <w:t xml:space="preserve">šių </w:t>
            </w:r>
            <w:r w:rsidRPr="00DE46B3">
              <w:rPr>
                <w:rFonts w:ascii="Times New Roman" w:hAnsi="Times New Roman"/>
                <w:b/>
                <w:bCs/>
                <w:sz w:val="24"/>
                <w:szCs w:val="24"/>
              </w:rPr>
              <w:t xml:space="preserve">metų pradžios įsigaliojusi „pagrindinio užsienio personalo“ (angl. </w:t>
            </w:r>
            <w:proofErr w:type="spellStart"/>
            <w:r w:rsidRPr="00DE46B3">
              <w:rPr>
                <w:rFonts w:ascii="Times New Roman" w:hAnsi="Times New Roman"/>
                <w:b/>
                <w:bCs/>
                <w:i/>
                <w:iCs/>
                <w:sz w:val="24"/>
                <w:szCs w:val="24"/>
              </w:rPr>
              <w:t>key</w:t>
            </w:r>
            <w:proofErr w:type="spellEnd"/>
            <w:r w:rsidRPr="00DE46B3">
              <w:rPr>
                <w:rFonts w:ascii="Times New Roman" w:hAnsi="Times New Roman"/>
                <w:b/>
                <w:bCs/>
                <w:i/>
                <w:iCs/>
                <w:sz w:val="24"/>
                <w:szCs w:val="24"/>
              </w:rPr>
              <w:t xml:space="preserve"> </w:t>
            </w:r>
            <w:proofErr w:type="spellStart"/>
            <w:r w:rsidRPr="00DE46B3">
              <w:rPr>
                <w:rFonts w:ascii="Times New Roman" w:hAnsi="Times New Roman"/>
                <w:b/>
                <w:bCs/>
                <w:i/>
                <w:iCs/>
                <w:sz w:val="24"/>
                <w:szCs w:val="24"/>
              </w:rPr>
              <w:t>foreign</w:t>
            </w:r>
            <w:proofErr w:type="spellEnd"/>
            <w:r w:rsidRPr="00DE46B3">
              <w:rPr>
                <w:rFonts w:ascii="Times New Roman" w:hAnsi="Times New Roman"/>
                <w:b/>
                <w:bCs/>
                <w:i/>
                <w:iCs/>
                <w:sz w:val="24"/>
                <w:szCs w:val="24"/>
              </w:rPr>
              <w:t xml:space="preserve"> </w:t>
            </w:r>
            <w:proofErr w:type="spellStart"/>
            <w:r w:rsidRPr="00DE46B3">
              <w:rPr>
                <w:rFonts w:ascii="Times New Roman" w:hAnsi="Times New Roman"/>
                <w:b/>
                <w:bCs/>
                <w:i/>
                <w:iCs/>
                <w:sz w:val="24"/>
                <w:szCs w:val="24"/>
              </w:rPr>
              <w:t>personnel</w:t>
            </w:r>
            <w:proofErr w:type="spellEnd"/>
            <w:r w:rsidRPr="00DE46B3">
              <w:rPr>
                <w:rFonts w:ascii="Times New Roman" w:hAnsi="Times New Roman"/>
                <w:b/>
                <w:bCs/>
                <w:sz w:val="24"/>
                <w:szCs w:val="24"/>
              </w:rPr>
              <w:t>) schema leidžia reikalavimus atitinkantiems asmenims septynerius metus mokėti fiksuotą 25 % pajamų mokestį vietoj įprastų progresinių tarifų.</w:t>
            </w:r>
            <w:r w:rsidRPr="00DE46B3">
              <w:rPr>
                <w:rFonts w:ascii="Times New Roman" w:hAnsi="Times New Roman"/>
                <w:sz w:val="24"/>
                <w:szCs w:val="24"/>
              </w:rPr>
              <w:t xml:space="preserve"> Pareigūnai nurodo, kad pareiškėjai privalo uždirbti bent 5 800 eurų per mėnesį ir būti naujai atvykę arba planuojantys persikelti į Suomiją. Užsienyje gyvenantiems ir grįžtantiems Suomijos piliečiams taikomos griežtesnės taisyklės. Ši lengvata iš esmės aktuali asmenims, kurių pajamos viršija nustatytą ribą, o prašymai turi būti pateikti per 90 dienų nuo darbo pradžios. Ši priemonė yra Suomijos strategijos konkuruoti dėl kvalifikuotų darbuotojų, ypač technologijų sektoriuje, dalis. Darbdaviai ir ekspertai, pastebi, kad didelių mokesčių šalys privalo siūlyti paskatas, norėdamos išlikti patrauklios, ir lygina Suomijos sistemą su Švedijos modeliu. Nors schema skirta daugiausia užsieniečiams, pirmą kartą ja gali pasinaudoti ir grįžtantys suomiai. Pastaraisiais metais panašiomis priemonėmis pasinaudojo apie 600 užsienio darbuotojų, nors dėl socialinio draudimo įmokų faktinė mokesčių našta šiek tiek viršija 25 %.</w:t>
            </w:r>
          </w:p>
        </w:tc>
        <w:tc>
          <w:tcPr>
            <w:tcW w:w="2127" w:type="dxa"/>
            <w:tcMar>
              <w:top w:w="29" w:type="dxa"/>
              <w:left w:w="115" w:type="dxa"/>
              <w:bottom w:w="29" w:type="dxa"/>
              <w:right w:w="115" w:type="dxa"/>
            </w:tcMar>
          </w:tcPr>
          <w:p w14:paraId="15F9D6C6" w14:textId="09C66003" w:rsidR="00FE1F6A" w:rsidRPr="00DE46B3" w:rsidRDefault="00286A4C" w:rsidP="000C0908">
            <w:pPr>
              <w:spacing w:after="0" w:line="240" w:lineRule="auto"/>
              <w:jc w:val="both"/>
              <w:rPr>
                <w:rFonts w:ascii="Times New Roman" w:hAnsi="Times New Roman"/>
                <w:sz w:val="24"/>
                <w:szCs w:val="24"/>
              </w:rPr>
            </w:pPr>
            <w:hyperlink r:id="rId20" w:history="1">
              <w:r w:rsidRPr="00DE46B3">
                <w:rPr>
                  <w:rStyle w:val="Hyperlink"/>
                  <w:rFonts w:ascii="Times New Roman" w:hAnsi="Times New Roman"/>
                  <w:color w:val="auto"/>
                  <w:sz w:val="24"/>
                  <w:szCs w:val="24"/>
                </w:rPr>
                <w:t>https://yle.fi/a/74-20212268</w:t>
              </w:r>
            </w:hyperlink>
            <w:r w:rsidRPr="00DE46B3">
              <w:rPr>
                <w:rFonts w:ascii="Times New Roman" w:hAnsi="Times New Roman"/>
                <w:sz w:val="24"/>
                <w:szCs w:val="24"/>
              </w:rPr>
              <w:t xml:space="preserve"> </w:t>
            </w:r>
          </w:p>
        </w:tc>
      </w:tr>
      <w:tr w:rsidR="00DE46B3" w:rsidRPr="00DE46B3" w14:paraId="00BE1484" w14:textId="77777777" w:rsidTr="00334608">
        <w:trPr>
          <w:trHeight w:val="216"/>
        </w:trPr>
        <w:tc>
          <w:tcPr>
            <w:tcW w:w="1043" w:type="dxa"/>
            <w:tcMar>
              <w:top w:w="29" w:type="dxa"/>
              <w:left w:w="115" w:type="dxa"/>
              <w:bottom w:w="29" w:type="dxa"/>
              <w:right w:w="115" w:type="dxa"/>
            </w:tcMar>
          </w:tcPr>
          <w:p w14:paraId="2AA7B4C3" w14:textId="4253E699"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2026-02-04</w:t>
            </w:r>
          </w:p>
        </w:tc>
        <w:tc>
          <w:tcPr>
            <w:tcW w:w="5755" w:type="dxa"/>
            <w:tcMar>
              <w:top w:w="29" w:type="dxa"/>
              <w:left w:w="115" w:type="dxa"/>
              <w:bottom w:w="29" w:type="dxa"/>
              <w:right w:w="115" w:type="dxa"/>
            </w:tcMar>
          </w:tcPr>
          <w:p w14:paraId="7ECE6B10" w14:textId="03F513EB" w:rsidR="006435BA" w:rsidRPr="00DE46B3" w:rsidRDefault="006435BA" w:rsidP="000C0908">
            <w:pPr>
              <w:spacing w:after="0" w:line="240" w:lineRule="auto"/>
              <w:jc w:val="both"/>
              <w:rPr>
                <w:rFonts w:ascii="Times New Roman" w:hAnsi="Times New Roman"/>
                <w:b/>
                <w:bCs/>
                <w:sz w:val="24"/>
                <w:szCs w:val="24"/>
              </w:rPr>
            </w:pPr>
            <w:r w:rsidRPr="00DE46B3">
              <w:rPr>
                <w:rFonts w:ascii="Times New Roman" w:hAnsi="Times New Roman"/>
                <w:b/>
                <w:bCs/>
                <w:sz w:val="24"/>
                <w:szCs w:val="24"/>
              </w:rPr>
              <w:t>Inžinerijos bendrovė „</w:t>
            </w:r>
            <w:proofErr w:type="spellStart"/>
            <w:r w:rsidRPr="00DE46B3">
              <w:rPr>
                <w:rFonts w:ascii="Times New Roman" w:hAnsi="Times New Roman"/>
                <w:b/>
                <w:bCs/>
                <w:sz w:val="24"/>
                <w:szCs w:val="24"/>
              </w:rPr>
              <w:t>Wärtsilä</w:t>
            </w:r>
            <w:proofErr w:type="spellEnd"/>
            <w:r w:rsidRPr="00DE46B3">
              <w:rPr>
                <w:rFonts w:ascii="Times New Roman" w:hAnsi="Times New Roman"/>
                <w:b/>
                <w:bCs/>
                <w:sz w:val="24"/>
                <w:szCs w:val="24"/>
              </w:rPr>
              <w:t xml:space="preserve">“ investuoja 140 mln. eurų į tvarių technologijų centrą </w:t>
            </w:r>
            <w:proofErr w:type="spellStart"/>
            <w:r w:rsidRPr="00DE46B3">
              <w:rPr>
                <w:rFonts w:ascii="Times New Roman" w:hAnsi="Times New Roman"/>
                <w:b/>
                <w:bCs/>
                <w:sz w:val="24"/>
                <w:szCs w:val="24"/>
              </w:rPr>
              <w:t>Vasos</w:t>
            </w:r>
            <w:proofErr w:type="spellEnd"/>
            <w:r w:rsidRPr="00DE46B3">
              <w:rPr>
                <w:rFonts w:ascii="Times New Roman" w:hAnsi="Times New Roman"/>
                <w:b/>
                <w:bCs/>
                <w:sz w:val="24"/>
                <w:szCs w:val="24"/>
              </w:rPr>
              <w:t xml:space="preserve"> mieste Suomijoje, taip 35 % padidindama savo gamybos pajėgumus. </w:t>
            </w:r>
            <w:r w:rsidRPr="00DE46B3">
              <w:rPr>
                <w:rFonts w:ascii="Times New Roman" w:hAnsi="Times New Roman"/>
                <w:sz w:val="24"/>
                <w:szCs w:val="24"/>
              </w:rPr>
              <w:t xml:space="preserve">Šis žingsnis yra tiesioginis atsakas į augančią paklausą energetikos ir laivybos sektoriuose, kurią skatina pramonės elektrifikacija, duomenų centrų plėtra bei </w:t>
            </w:r>
            <w:r w:rsidRPr="00DE46B3">
              <w:rPr>
                <w:rFonts w:ascii="Times New Roman" w:hAnsi="Times New Roman"/>
                <w:sz w:val="24"/>
                <w:szCs w:val="24"/>
              </w:rPr>
              <w:lastRenderedPageBreak/>
              <w:t>būtinybė stabilizuoti elektros tinklus didėjant atsinaujinančios energijos kiekiui.</w:t>
            </w:r>
            <w:r w:rsidRPr="00DE46B3">
              <w:rPr>
                <w:rFonts w:ascii="Times New Roman" w:hAnsi="Times New Roman"/>
                <w:b/>
                <w:bCs/>
                <w:sz w:val="24"/>
                <w:szCs w:val="24"/>
              </w:rPr>
              <w:t xml:space="preserve"> </w:t>
            </w:r>
          </w:p>
        </w:tc>
        <w:tc>
          <w:tcPr>
            <w:tcW w:w="2127" w:type="dxa"/>
            <w:tcMar>
              <w:top w:w="29" w:type="dxa"/>
              <w:left w:w="115" w:type="dxa"/>
              <w:bottom w:w="29" w:type="dxa"/>
              <w:right w:w="115" w:type="dxa"/>
            </w:tcMar>
          </w:tcPr>
          <w:p w14:paraId="4FEE36ED" w14:textId="3B45B667" w:rsidR="006435BA" w:rsidRPr="00DE46B3" w:rsidRDefault="006435BA" w:rsidP="000C0908">
            <w:pPr>
              <w:spacing w:after="0" w:line="240" w:lineRule="auto"/>
              <w:jc w:val="both"/>
              <w:rPr>
                <w:rFonts w:ascii="Times New Roman" w:hAnsi="Times New Roman"/>
                <w:sz w:val="24"/>
                <w:szCs w:val="24"/>
              </w:rPr>
            </w:pPr>
            <w:hyperlink r:id="rId21" w:history="1">
              <w:r w:rsidRPr="00DE46B3">
                <w:rPr>
                  <w:rStyle w:val="Hyperlink"/>
                  <w:rFonts w:ascii="Times New Roman" w:hAnsi="Times New Roman"/>
                  <w:color w:val="auto"/>
                  <w:sz w:val="24"/>
                  <w:szCs w:val="24"/>
                </w:rPr>
                <w:t>https://yle.fi/a/74-20208210</w:t>
              </w:r>
            </w:hyperlink>
            <w:r w:rsidRPr="00DE46B3">
              <w:rPr>
                <w:rFonts w:ascii="Times New Roman" w:hAnsi="Times New Roman"/>
                <w:sz w:val="24"/>
                <w:szCs w:val="24"/>
              </w:rPr>
              <w:t xml:space="preserve"> </w:t>
            </w:r>
          </w:p>
        </w:tc>
      </w:tr>
      <w:tr w:rsidR="00DE46B3" w:rsidRPr="00DE46B3" w14:paraId="26797EEE" w14:textId="77777777" w:rsidTr="00334608">
        <w:trPr>
          <w:trHeight w:val="216"/>
        </w:trPr>
        <w:tc>
          <w:tcPr>
            <w:tcW w:w="1043" w:type="dxa"/>
            <w:tcMar>
              <w:top w:w="29" w:type="dxa"/>
              <w:left w:w="115" w:type="dxa"/>
              <w:bottom w:w="29" w:type="dxa"/>
              <w:right w:w="115" w:type="dxa"/>
            </w:tcMar>
          </w:tcPr>
          <w:p w14:paraId="1318D454" w14:textId="43DF1A95"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w:t>
            </w:r>
            <w:r w:rsidR="00D86B0F" w:rsidRPr="00DE46B3">
              <w:rPr>
                <w:rFonts w:ascii="Times New Roman" w:hAnsi="Times New Roman"/>
                <w:sz w:val="24"/>
                <w:szCs w:val="24"/>
              </w:rPr>
              <w:t>2</w:t>
            </w:r>
            <w:r w:rsidRPr="00DE46B3">
              <w:rPr>
                <w:rFonts w:ascii="Times New Roman" w:hAnsi="Times New Roman"/>
                <w:sz w:val="24"/>
                <w:szCs w:val="24"/>
              </w:rPr>
              <w:t>-1</w:t>
            </w:r>
            <w:r w:rsidR="00D86B0F" w:rsidRPr="00DE46B3">
              <w:rPr>
                <w:rFonts w:ascii="Times New Roman" w:hAnsi="Times New Roman"/>
                <w:sz w:val="24"/>
                <w:szCs w:val="24"/>
              </w:rPr>
              <w:t>1</w:t>
            </w:r>
          </w:p>
        </w:tc>
        <w:tc>
          <w:tcPr>
            <w:tcW w:w="5755" w:type="dxa"/>
            <w:tcMar>
              <w:top w:w="29" w:type="dxa"/>
              <w:left w:w="115" w:type="dxa"/>
              <w:bottom w:w="29" w:type="dxa"/>
              <w:right w:w="115" w:type="dxa"/>
            </w:tcMar>
          </w:tcPr>
          <w:p w14:paraId="3A96684B" w14:textId="57177FD8" w:rsidR="006435BA" w:rsidRPr="00DE46B3" w:rsidRDefault="00653C15" w:rsidP="000C0908">
            <w:pPr>
              <w:spacing w:after="0" w:line="240" w:lineRule="auto"/>
              <w:jc w:val="both"/>
              <w:rPr>
                <w:rFonts w:ascii="Times New Roman" w:hAnsi="Times New Roman"/>
                <w:b/>
                <w:bCs/>
                <w:sz w:val="24"/>
                <w:szCs w:val="24"/>
              </w:rPr>
            </w:pPr>
            <w:r w:rsidRPr="00DE46B3">
              <w:rPr>
                <w:rFonts w:ascii="Times New Roman" w:hAnsi="Times New Roman"/>
                <w:b/>
                <w:bCs/>
                <w:sz w:val="24"/>
                <w:szCs w:val="24"/>
              </w:rPr>
              <w:t>Helsinkio laivų statykla sukonstruos pirmuosius du iš penkių JAV pakrančių apsaugai skirtų „</w:t>
            </w:r>
            <w:proofErr w:type="spellStart"/>
            <w:r w:rsidRPr="00DE46B3">
              <w:rPr>
                <w:rFonts w:ascii="Times New Roman" w:hAnsi="Times New Roman"/>
                <w:b/>
                <w:bCs/>
                <w:sz w:val="24"/>
                <w:szCs w:val="24"/>
              </w:rPr>
              <w:t>Arctic</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t>Security</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t>Cutter</w:t>
            </w:r>
            <w:proofErr w:type="spellEnd"/>
            <w:r w:rsidRPr="00DE46B3">
              <w:rPr>
                <w:rFonts w:ascii="Times New Roman" w:hAnsi="Times New Roman"/>
                <w:b/>
                <w:bCs/>
                <w:sz w:val="24"/>
                <w:szCs w:val="24"/>
              </w:rPr>
              <w:t xml:space="preserve">“ klasės ledlaužių, o likę trys bus statomi Teksase. </w:t>
            </w:r>
            <w:r w:rsidRPr="00DE46B3">
              <w:rPr>
                <w:rFonts w:ascii="Times New Roman" w:hAnsi="Times New Roman"/>
                <w:sz w:val="24"/>
                <w:szCs w:val="24"/>
              </w:rPr>
              <w:t xml:space="preserve">Šis projektas, pagrįstas Suomijos lyderyste poliarinių technologijų srityje ir 2025 m. pasirašytu ICE pakto susitarimu tarp Suomijos, JAV bei Kanados, Helsinkyje sukurs apie 5 000 darbo vietų. Ekonomikos ministras </w:t>
            </w:r>
            <w:proofErr w:type="spellStart"/>
            <w:r w:rsidRPr="00DE46B3">
              <w:rPr>
                <w:rFonts w:ascii="Times New Roman" w:hAnsi="Times New Roman"/>
                <w:sz w:val="24"/>
                <w:szCs w:val="24"/>
              </w:rPr>
              <w:t>Sakari</w:t>
            </w:r>
            <w:proofErr w:type="spellEnd"/>
            <w:r w:rsidRPr="00DE46B3">
              <w:rPr>
                <w:rFonts w:ascii="Times New Roman" w:hAnsi="Times New Roman"/>
                <w:sz w:val="24"/>
                <w:szCs w:val="24"/>
              </w:rPr>
              <w:t xml:space="preserve"> </w:t>
            </w:r>
            <w:proofErr w:type="spellStart"/>
            <w:r w:rsidRPr="00DE46B3">
              <w:rPr>
                <w:rFonts w:ascii="Times New Roman" w:hAnsi="Times New Roman"/>
                <w:sz w:val="24"/>
                <w:szCs w:val="24"/>
              </w:rPr>
              <w:t>Puisto</w:t>
            </w:r>
            <w:proofErr w:type="spellEnd"/>
            <w:r w:rsidRPr="00DE46B3">
              <w:rPr>
                <w:rFonts w:ascii="Times New Roman" w:hAnsi="Times New Roman"/>
                <w:sz w:val="24"/>
                <w:szCs w:val="24"/>
              </w:rPr>
              <w:t xml:space="preserve"> pabrėžė, kad pirmasis laivas bus pristatytas 2028 m., o Suomijos inžinerinė patirtis taps pagrindu stiprinant sąjungininkų Arkties pajėgumus bei modernizuojant JAV laivyną.</w:t>
            </w:r>
          </w:p>
        </w:tc>
        <w:tc>
          <w:tcPr>
            <w:tcW w:w="2127" w:type="dxa"/>
            <w:tcMar>
              <w:top w:w="29" w:type="dxa"/>
              <w:left w:w="115" w:type="dxa"/>
              <w:bottom w:w="29" w:type="dxa"/>
              <w:right w:w="115" w:type="dxa"/>
            </w:tcMar>
          </w:tcPr>
          <w:p w14:paraId="372BCD8E" w14:textId="242686AE" w:rsidR="006435BA" w:rsidRPr="00DE46B3" w:rsidRDefault="00D86B0F" w:rsidP="000C0908">
            <w:pPr>
              <w:spacing w:after="0" w:line="240" w:lineRule="auto"/>
              <w:jc w:val="both"/>
              <w:rPr>
                <w:rFonts w:ascii="Times New Roman" w:hAnsi="Times New Roman"/>
                <w:sz w:val="24"/>
                <w:szCs w:val="24"/>
              </w:rPr>
            </w:pPr>
            <w:hyperlink r:id="rId22" w:history="1">
              <w:r w:rsidRPr="00DE46B3">
                <w:rPr>
                  <w:rStyle w:val="Hyperlink"/>
                  <w:rFonts w:ascii="Times New Roman" w:hAnsi="Times New Roman"/>
                  <w:color w:val="auto"/>
                  <w:sz w:val="24"/>
                  <w:szCs w:val="24"/>
                </w:rPr>
                <w:t>https://yle.fi/a/74-20209730</w:t>
              </w:r>
            </w:hyperlink>
            <w:r w:rsidRPr="00DE46B3">
              <w:rPr>
                <w:rFonts w:ascii="Times New Roman" w:hAnsi="Times New Roman"/>
                <w:sz w:val="24"/>
                <w:szCs w:val="24"/>
              </w:rPr>
              <w:t xml:space="preserve"> </w:t>
            </w:r>
          </w:p>
        </w:tc>
      </w:tr>
      <w:tr w:rsidR="00DE46B3" w:rsidRPr="00DE46B3" w14:paraId="7F5C1C15" w14:textId="77777777" w:rsidTr="00334608">
        <w:trPr>
          <w:trHeight w:val="216"/>
        </w:trPr>
        <w:tc>
          <w:tcPr>
            <w:tcW w:w="1043" w:type="dxa"/>
            <w:tcMar>
              <w:top w:w="29" w:type="dxa"/>
              <w:left w:w="115" w:type="dxa"/>
              <w:bottom w:w="29" w:type="dxa"/>
              <w:right w:w="115" w:type="dxa"/>
            </w:tcMar>
          </w:tcPr>
          <w:p w14:paraId="57C82F5C" w14:textId="5021252F" w:rsidR="006435BA" w:rsidRPr="00DE46B3" w:rsidRDefault="006435BA" w:rsidP="000C0908">
            <w:pPr>
              <w:spacing w:after="0" w:line="240" w:lineRule="auto"/>
              <w:jc w:val="both"/>
              <w:rPr>
                <w:rFonts w:ascii="Times New Roman" w:hAnsi="Times New Roman"/>
                <w:sz w:val="24"/>
                <w:szCs w:val="24"/>
                <w:lang w:val="en-US"/>
              </w:rPr>
            </w:pPr>
            <w:r w:rsidRPr="00DE46B3">
              <w:rPr>
                <w:rFonts w:ascii="Times New Roman" w:hAnsi="Times New Roman"/>
                <w:sz w:val="24"/>
                <w:szCs w:val="24"/>
              </w:rPr>
              <w:t>2026-0</w:t>
            </w:r>
            <w:r w:rsidR="008C20D9" w:rsidRPr="00DE46B3">
              <w:rPr>
                <w:rFonts w:ascii="Times New Roman" w:hAnsi="Times New Roman"/>
                <w:sz w:val="24"/>
                <w:szCs w:val="24"/>
              </w:rPr>
              <w:t>2</w:t>
            </w:r>
            <w:r w:rsidRPr="00DE46B3">
              <w:rPr>
                <w:rFonts w:ascii="Times New Roman" w:hAnsi="Times New Roman"/>
                <w:sz w:val="24"/>
                <w:szCs w:val="24"/>
              </w:rPr>
              <w:t>-1</w:t>
            </w:r>
            <w:r w:rsidR="008C20D9" w:rsidRPr="00DE46B3">
              <w:rPr>
                <w:rFonts w:ascii="Times New Roman" w:hAnsi="Times New Roman"/>
                <w:sz w:val="24"/>
                <w:szCs w:val="24"/>
              </w:rPr>
              <w:t>1</w:t>
            </w:r>
          </w:p>
        </w:tc>
        <w:tc>
          <w:tcPr>
            <w:tcW w:w="5755" w:type="dxa"/>
            <w:tcMar>
              <w:top w:w="29" w:type="dxa"/>
              <w:left w:w="115" w:type="dxa"/>
              <w:bottom w:w="29" w:type="dxa"/>
              <w:right w:w="115" w:type="dxa"/>
            </w:tcMar>
          </w:tcPr>
          <w:p w14:paraId="35CDCB18" w14:textId="68FB399D" w:rsidR="006435BA" w:rsidRPr="00DE46B3" w:rsidRDefault="003F5415" w:rsidP="000C0908">
            <w:pPr>
              <w:spacing w:after="0" w:line="240" w:lineRule="auto"/>
              <w:jc w:val="both"/>
              <w:rPr>
                <w:rFonts w:ascii="Times New Roman" w:hAnsi="Times New Roman"/>
                <w:b/>
                <w:bCs/>
                <w:sz w:val="24"/>
                <w:szCs w:val="24"/>
              </w:rPr>
            </w:pPr>
            <w:r w:rsidRPr="00DE46B3">
              <w:rPr>
                <w:rFonts w:ascii="Times New Roman" w:hAnsi="Times New Roman"/>
                <w:b/>
                <w:bCs/>
                <w:sz w:val="24"/>
                <w:szCs w:val="24"/>
              </w:rPr>
              <w:t xml:space="preserve">Suomijos ekonomikos ir užimtumo ministerijos ataskaita įspėja apie augantį kvalifikuotos darbo jėgos poreikį jūriniame sektoriuje, kurį skatina gausūs užsakymai Turku, </w:t>
            </w:r>
            <w:proofErr w:type="spellStart"/>
            <w:r w:rsidRPr="00DE46B3">
              <w:rPr>
                <w:rFonts w:ascii="Times New Roman" w:hAnsi="Times New Roman"/>
                <w:b/>
                <w:bCs/>
                <w:sz w:val="24"/>
                <w:szCs w:val="24"/>
              </w:rPr>
              <w:t>Raumos</w:t>
            </w:r>
            <w:proofErr w:type="spellEnd"/>
            <w:r w:rsidRPr="00DE46B3">
              <w:rPr>
                <w:rFonts w:ascii="Times New Roman" w:hAnsi="Times New Roman"/>
                <w:b/>
                <w:bCs/>
                <w:sz w:val="24"/>
                <w:szCs w:val="24"/>
              </w:rPr>
              <w:t xml:space="preserve"> ir Helsinkio laivų statyklose. </w:t>
            </w:r>
            <w:r w:rsidRPr="00DE46B3">
              <w:rPr>
                <w:rFonts w:ascii="Times New Roman" w:hAnsi="Times New Roman"/>
                <w:sz w:val="24"/>
                <w:szCs w:val="24"/>
              </w:rPr>
              <w:t xml:space="preserve">Užimtumo ministras </w:t>
            </w:r>
            <w:proofErr w:type="spellStart"/>
            <w:r w:rsidRPr="00DE46B3">
              <w:rPr>
                <w:rFonts w:ascii="Times New Roman" w:hAnsi="Times New Roman"/>
                <w:sz w:val="24"/>
                <w:szCs w:val="24"/>
              </w:rPr>
              <w:t>Matias</w:t>
            </w:r>
            <w:proofErr w:type="spellEnd"/>
            <w:r w:rsidRPr="00DE46B3">
              <w:rPr>
                <w:rFonts w:ascii="Times New Roman" w:hAnsi="Times New Roman"/>
                <w:sz w:val="24"/>
                <w:szCs w:val="24"/>
              </w:rPr>
              <w:t xml:space="preserve"> </w:t>
            </w:r>
            <w:proofErr w:type="spellStart"/>
            <w:r w:rsidRPr="00DE46B3">
              <w:rPr>
                <w:rFonts w:ascii="Times New Roman" w:hAnsi="Times New Roman"/>
                <w:sz w:val="24"/>
                <w:szCs w:val="24"/>
              </w:rPr>
              <w:t>Marttinenas</w:t>
            </w:r>
            <w:proofErr w:type="spellEnd"/>
            <w:r w:rsidRPr="00DE46B3">
              <w:rPr>
                <w:rFonts w:ascii="Times New Roman" w:hAnsi="Times New Roman"/>
                <w:sz w:val="24"/>
                <w:szCs w:val="24"/>
              </w:rPr>
              <w:t xml:space="preserve"> pabrėžia, kad tūkstančiams naujų darbo vietų užpildyti prireiks ne tik trumpalaikių mokymų, įdarbinimo subsidijų ar pameistrystės programų, bet ir strateginių investicijų į aukštos kvalifikacijos specialistų pritraukimą moksliniams tyrimams. Ataskaitoje pateikiamos devynios konkrečios priemonės, apimančios darbuotojų išlaikymą, persikvalifikavimo skatinimą bei etišką užsienio darbo jėgos pasitelkimą, siekiant suderinti darbo rinkos pasiūlą su ambicinga vyriausybės jūrų pramonės strategija.</w:t>
            </w:r>
          </w:p>
        </w:tc>
        <w:tc>
          <w:tcPr>
            <w:tcW w:w="2127" w:type="dxa"/>
            <w:tcMar>
              <w:top w:w="29" w:type="dxa"/>
              <w:left w:w="115" w:type="dxa"/>
              <w:bottom w:w="29" w:type="dxa"/>
              <w:right w:w="115" w:type="dxa"/>
            </w:tcMar>
          </w:tcPr>
          <w:p w14:paraId="32F5160F" w14:textId="5C2BF29A" w:rsidR="006435BA" w:rsidRPr="00DE46B3" w:rsidRDefault="008C20D9" w:rsidP="000C0908">
            <w:pPr>
              <w:spacing w:after="0" w:line="240" w:lineRule="auto"/>
              <w:jc w:val="both"/>
              <w:rPr>
                <w:rFonts w:ascii="Times New Roman" w:hAnsi="Times New Roman"/>
                <w:sz w:val="24"/>
                <w:szCs w:val="24"/>
              </w:rPr>
            </w:pPr>
            <w:hyperlink r:id="rId23" w:history="1">
              <w:r w:rsidRPr="00DE46B3">
                <w:rPr>
                  <w:rStyle w:val="Hyperlink"/>
                  <w:rFonts w:ascii="Times New Roman" w:hAnsi="Times New Roman"/>
                  <w:color w:val="auto"/>
                  <w:sz w:val="24"/>
                  <w:szCs w:val="24"/>
                </w:rPr>
                <w:t>https://valtioneuvosto.fi/-/1410877/ministeri-marttinen-meriteollisuuden-osaajatarve-kasvaa-mahdollisuuksiin-vastattava-koulutuksen-ja-tyovoimapalveluiden-keinoin?languageId=en_US</w:t>
              </w:r>
            </w:hyperlink>
            <w:r w:rsidRPr="00DE46B3">
              <w:rPr>
                <w:rFonts w:ascii="Times New Roman" w:hAnsi="Times New Roman"/>
                <w:sz w:val="24"/>
                <w:szCs w:val="24"/>
              </w:rPr>
              <w:t xml:space="preserve"> </w:t>
            </w:r>
          </w:p>
        </w:tc>
      </w:tr>
      <w:tr w:rsidR="00DE46B3" w:rsidRPr="00DE46B3" w14:paraId="5737D00C" w14:textId="77777777" w:rsidTr="00334608">
        <w:trPr>
          <w:trHeight w:val="216"/>
        </w:trPr>
        <w:tc>
          <w:tcPr>
            <w:tcW w:w="1043" w:type="dxa"/>
            <w:tcMar>
              <w:top w:w="29" w:type="dxa"/>
              <w:left w:w="115" w:type="dxa"/>
              <w:bottom w:w="29" w:type="dxa"/>
              <w:right w:w="115" w:type="dxa"/>
            </w:tcMar>
          </w:tcPr>
          <w:p w14:paraId="73440882" w14:textId="51CD8729"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w:t>
            </w:r>
            <w:r w:rsidR="000B68C6" w:rsidRPr="00DE46B3">
              <w:rPr>
                <w:rFonts w:ascii="Times New Roman" w:hAnsi="Times New Roman"/>
                <w:sz w:val="24"/>
                <w:szCs w:val="24"/>
              </w:rPr>
              <w:t>2</w:t>
            </w:r>
            <w:r w:rsidRPr="00DE46B3">
              <w:rPr>
                <w:rFonts w:ascii="Times New Roman" w:hAnsi="Times New Roman"/>
                <w:sz w:val="24"/>
                <w:szCs w:val="24"/>
              </w:rPr>
              <w:t>-1</w:t>
            </w:r>
            <w:r w:rsidR="000B68C6" w:rsidRPr="00DE46B3">
              <w:rPr>
                <w:rFonts w:ascii="Times New Roman" w:hAnsi="Times New Roman"/>
                <w:sz w:val="24"/>
                <w:szCs w:val="24"/>
              </w:rPr>
              <w:t>1</w:t>
            </w:r>
          </w:p>
        </w:tc>
        <w:tc>
          <w:tcPr>
            <w:tcW w:w="5755" w:type="dxa"/>
            <w:tcMar>
              <w:top w:w="29" w:type="dxa"/>
              <w:left w:w="115" w:type="dxa"/>
              <w:bottom w:w="29" w:type="dxa"/>
              <w:right w:w="115" w:type="dxa"/>
            </w:tcMar>
          </w:tcPr>
          <w:p w14:paraId="140760BC" w14:textId="768974C0" w:rsidR="006435BA" w:rsidRPr="00DE46B3" w:rsidRDefault="00424E16"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 xml:space="preserve">Vidurio Suomijoje </w:t>
            </w:r>
            <w:proofErr w:type="spellStart"/>
            <w:r w:rsidRPr="00DE46B3">
              <w:rPr>
                <w:rFonts w:ascii="Times New Roman" w:hAnsi="Times New Roman"/>
                <w:b/>
                <w:bCs/>
                <w:sz w:val="24"/>
                <w:szCs w:val="24"/>
              </w:rPr>
              <w:t>Syväjärvi</w:t>
            </w:r>
            <w:proofErr w:type="spellEnd"/>
            <w:r w:rsidRPr="00DE46B3">
              <w:rPr>
                <w:rFonts w:ascii="Times New Roman" w:hAnsi="Times New Roman"/>
                <w:b/>
                <w:bCs/>
                <w:sz w:val="24"/>
                <w:szCs w:val="24"/>
              </w:rPr>
              <w:t xml:space="preserve"> atvirajame karjere, bendrovė „</w:t>
            </w:r>
            <w:proofErr w:type="spellStart"/>
            <w:r w:rsidRPr="00DE46B3">
              <w:rPr>
                <w:rFonts w:ascii="Times New Roman" w:hAnsi="Times New Roman"/>
                <w:b/>
                <w:bCs/>
                <w:sz w:val="24"/>
                <w:szCs w:val="24"/>
              </w:rPr>
              <w:t>Keliber</w:t>
            </w:r>
            <w:proofErr w:type="spellEnd"/>
            <w:r w:rsidRPr="00DE46B3">
              <w:rPr>
                <w:rFonts w:ascii="Times New Roman" w:hAnsi="Times New Roman"/>
                <w:b/>
                <w:bCs/>
                <w:sz w:val="24"/>
                <w:szCs w:val="24"/>
              </w:rPr>
              <w:t xml:space="preserve">“ susprogdino pirmąją </w:t>
            </w:r>
            <w:proofErr w:type="spellStart"/>
            <w:r w:rsidRPr="00DE46B3">
              <w:rPr>
                <w:rFonts w:ascii="Times New Roman" w:hAnsi="Times New Roman"/>
                <w:b/>
                <w:bCs/>
                <w:sz w:val="24"/>
                <w:szCs w:val="24"/>
              </w:rPr>
              <w:t>spodumeno</w:t>
            </w:r>
            <w:proofErr w:type="spellEnd"/>
            <w:r w:rsidRPr="00DE46B3">
              <w:rPr>
                <w:rFonts w:ascii="Times New Roman" w:hAnsi="Times New Roman"/>
                <w:b/>
                <w:bCs/>
                <w:sz w:val="24"/>
                <w:szCs w:val="24"/>
              </w:rPr>
              <w:t xml:space="preserve"> rūdos uolieną – tai žymi proveržį siekiant Europoje gaminti baterijoms tinkamą ličio cheminę medžiagą.</w:t>
            </w:r>
            <w:r w:rsidRPr="00DE46B3">
              <w:rPr>
                <w:rFonts w:ascii="Times New Roman" w:hAnsi="Times New Roman"/>
                <w:sz w:val="24"/>
                <w:szCs w:val="24"/>
              </w:rPr>
              <w:t xml:space="preserve"> Šis 25 metus rengtas projektas, į kurį Pietų Afrikos</w:t>
            </w:r>
            <w:r w:rsidR="0017538D" w:rsidRPr="00DE46B3">
              <w:rPr>
                <w:rFonts w:ascii="Times New Roman" w:hAnsi="Times New Roman"/>
                <w:sz w:val="24"/>
                <w:szCs w:val="24"/>
              </w:rPr>
              <w:t xml:space="preserve"> Respublikos įmonė</w:t>
            </w:r>
            <w:r w:rsidRPr="00DE46B3">
              <w:rPr>
                <w:rFonts w:ascii="Times New Roman" w:hAnsi="Times New Roman"/>
                <w:sz w:val="24"/>
                <w:szCs w:val="24"/>
              </w:rPr>
              <w:t xml:space="preserve"> „</w:t>
            </w:r>
            <w:proofErr w:type="spellStart"/>
            <w:r w:rsidRPr="00DE46B3">
              <w:rPr>
                <w:rFonts w:ascii="Times New Roman" w:hAnsi="Times New Roman"/>
                <w:sz w:val="24"/>
                <w:szCs w:val="24"/>
              </w:rPr>
              <w:t>Sibanye-Stillwater</w:t>
            </w:r>
            <w:proofErr w:type="spellEnd"/>
            <w:r w:rsidRPr="00DE46B3">
              <w:rPr>
                <w:rFonts w:ascii="Times New Roman" w:hAnsi="Times New Roman"/>
                <w:sz w:val="24"/>
                <w:szCs w:val="24"/>
              </w:rPr>
              <w:t>“ investavo 800 mln. eurų, apima visą gavybos ir perdirbimo grandinę nuo kasyklos iki gamyklos. Nepaisant svyruojančių ličio kainų ir finansinių iššūkių, unikali integruota gamyba suteiks Suomijai strateginį logistinį pranašumą prieš importą iš Kinijos, o dabartinių išteklių gavybai planuojama užtekti bent 18 metų.</w:t>
            </w:r>
          </w:p>
        </w:tc>
        <w:tc>
          <w:tcPr>
            <w:tcW w:w="2127" w:type="dxa"/>
            <w:tcMar>
              <w:top w:w="29" w:type="dxa"/>
              <w:left w:w="115" w:type="dxa"/>
              <w:bottom w:w="29" w:type="dxa"/>
              <w:right w:w="115" w:type="dxa"/>
            </w:tcMar>
          </w:tcPr>
          <w:p w14:paraId="5BB87040" w14:textId="4B688774" w:rsidR="006435BA" w:rsidRPr="00DE46B3" w:rsidRDefault="000B68C6" w:rsidP="000C0908">
            <w:pPr>
              <w:spacing w:after="0" w:line="240" w:lineRule="auto"/>
              <w:jc w:val="both"/>
              <w:rPr>
                <w:rFonts w:ascii="Times New Roman" w:hAnsi="Times New Roman"/>
                <w:sz w:val="24"/>
                <w:szCs w:val="24"/>
                <w:lang w:val="en-US"/>
              </w:rPr>
            </w:pPr>
            <w:hyperlink r:id="rId24" w:history="1">
              <w:r w:rsidRPr="00DE46B3">
                <w:rPr>
                  <w:rStyle w:val="Hyperlink"/>
                  <w:rFonts w:ascii="Times New Roman" w:hAnsi="Times New Roman"/>
                  <w:color w:val="auto"/>
                  <w:sz w:val="24"/>
                  <w:szCs w:val="24"/>
                </w:rPr>
                <w:t>https://yle.fi/a/74-20209101</w:t>
              </w:r>
            </w:hyperlink>
            <w:r w:rsidRPr="00DE46B3">
              <w:rPr>
                <w:rFonts w:ascii="Times New Roman" w:hAnsi="Times New Roman"/>
                <w:sz w:val="24"/>
                <w:szCs w:val="24"/>
              </w:rPr>
              <w:t xml:space="preserve"> </w:t>
            </w:r>
          </w:p>
          <w:p w14:paraId="6CE0CC35" w14:textId="77777777" w:rsidR="006435BA" w:rsidRPr="00DE46B3" w:rsidRDefault="006435BA" w:rsidP="000C0908">
            <w:pPr>
              <w:spacing w:after="0" w:line="240" w:lineRule="auto"/>
              <w:jc w:val="both"/>
              <w:rPr>
                <w:rFonts w:ascii="Times New Roman" w:hAnsi="Times New Roman"/>
                <w:sz w:val="24"/>
                <w:szCs w:val="24"/>
              </w:rPr>
            </w:pPr>
          </w:p>
          <w:p w14:paraId="7A16C95C" w14:textId="024E8F33" w:rsidR="006435BA" w:rsidRPr="00DE46B3" w:rsidRDefault="006435BA" w:rsidP="000C0908">
            <w:pPr>
              <w:spacing w:after="0" w:line="240" w:lineRule="auto"/>
              <w:jc w:val="both"/>
              <w:rPr>
                <w:rFonts w:ascii="Times New Roman" w:hAnsi="Times New Roman"/>
                <w:sz w:val="24"/>
                <w:szCs w:val="24"/>
              </w:rPr>
            </w:pPr>
          </w:p>
        </w:tc>
      </w:tr>
      <w:tr w:rsidR="00DE46B3" w:rsidRPr="00DE46B3" w14:paraId="6BB64503" w14:textId="77777777" w:rsidTr="00334608">
        <w:trPr>
          <w:trHeight w:val="216"/>
        </w:trPr>
        <w:tc>
          <w:tcPr>
            <w:tcW w:w="1043" w:type="dxa"/>
            <w:tcMar>
              <w:top w:w="29" w:type="dxa"/>
              <w:left w:w="115" w:type="dxa"/>
              <w:bottom w:w="29" w:type="dxa"/>
              <w:right w:w="115" w:type="dxa"/>
            </w:tcMar>
          </w:tcPr>
          <w:p w14:paraId="699394BE" w14:textId="578F49C0"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w:t>
            </w:r>
            <w:r w:rsidR="00802AF7" w:rsidRPr="00DE46B3">
              <w:rPr>
                <w:rFonts w:ascii="Times New Roman" w:hAnsi="Times New Roman"/>
                <w:sz w:val="24"/>
                <w:szCs w:val="24"/>
              </w:rPr>
              <w:t>2</w:t>
            </w:r>
            <w:r w:rsidRPr="00DE46B3">
              <w:rPr>
                <w:rFonts w:ascii="Times New Roman" w:hAnsi="Times New Roman"/>
                <w:sz w:val="24"/>
                <w:szCs w:val="24"/>
              </w:rPr>
              <w:t>-</w:t>
            </w:r>
            <w:r w:rsidR="00802AF7" w:rsidRPr="00DE46B3">
              <w:rPr>
                <w:rFonts w:ascii="Times New Roman" w:hAnsi="Times New Roman"/>
                <w:sz w:val="24"/>
                <w:szCs w:val="24"/>
              </w:rPr>
              <w:t>16</w:t>
            </w:r>
          </w:p>
        </w:tc>
        <w:tc>
          <w:tcPr>
            <w:tcW w:w="5755" w:type="dxa"/>
            <w:tcMar>
              <w:top w:w="29" w:type="dxa"/>
              <w:left w:w="115" w:type="dxa"/>
              <w:bottom w:w="29" w:type="dxa"/>
              <w:right w:w="115" w:type="dxa"/>
            </w:tcMar>
          </w:tcPr>
          <w:p w14:paraId="65C4114D" w14:textId="0CA8BD7F" w:rsidR="006435BA" w:rsidRPr="00DE46B3" w:rsidRDefault="00892258" w:rsidP="000C0908">
            <w:pPr>
              <w:spacing w:after="0" w:line="240" w:lineRule="auto"/>
              <w:jc w:val="both"/>
              <w:rPr>
                <w:rFonts w:ascii="Times New Roman" w:hAnsi="Times New Roman"/>
                <w:sz w:val="24"/>
                <w:szCs w:val="24"/>
              </w:rPr>
            </w:pPr>
            <w:r w:rsidRPr="00DE46B3">
              <w:rPr>
                <w:rFonts w:ascii="Times New Roman" w:hAnsi="Times New Roman"/>
                <w:sz w:val="24"/>
                <w:szCs w:val="24"/>
              </w:rPr>
              <w:t>Švedija, bendradarbiaudama su „</w:t>
            </w:r>
            <w:proofErr w:type="spellStart"/>
            <w:r w:rsidRPr="00DE46B3">
              <w:rPr>
                <w:rFonts w:ascii="Times New Roman" w:hAnsi="Times New Roman"/>
                <w:sz w:val="24"/>
                <w:szCs w:val="24"/>
              </w:rPr>
              <w:t>GlobalConnect</w:t>
            </w:r>
            <w:proofErr w:type="spellEnd"/>
            <w:r w:rsidRPr="00DE46B3">
              <w:rPr>
                <w:rFonts w:ascii="Times New Roman" w:hAnsi="Times New Roman"/>
                <w:sz w:val="24"/>
                <w:szCs w:val="24"/>
              </w:rPr>
              <w:t>“ ir „</w:t>
            </w:r>
            <w:proofErr w:type="spellStart"/>
            <w:r w:rsidRPr="00DE46B3">
              <w:rPr>
                <w:rFonts w:ascii="Times New Roman" w:hAnsi="Times New Roman"/>
                <w:sz w:val="24"/>
                <w:szCs w:val="24"/>
              </w:rPr>
              <w:t>NORDUnet</w:t>
            </w:r>
            <w:proofErr w:type="spellEnd"/>
            <w:r w:rsidRPr="00DE46B3">
              <w:rPr>
                <w:rFonts w:ascii="Times New Roman" w:hAnsi="Times New Roman"/>
                <w:sz w:val="24"/>
                <w:szCs w:val="24"/>
              </w:rPr>
              <w:t>“, planuoja įgyvendinti ambicingą „</w:t>
            </w:r>
            <w:proofErr w:type="spellStart"/>
            <w:r w:rsidRPr="00DE46B3">
              <w:rPr>
                <w:rFonts w:ascii="Times New Roman" w:hAnsi="Times New Roman"/>
                <w:sz w:val="24"/>
                <w:szCs w:val="24"/>
              </w:rPr>
              <w:t>Polar</w:t>
            </w:r>
            <w:proofErr w:type="spellEnd"/>
            <w:r w:rsidRPr="00DE46B3">
              <w:rPr>
                <w:rFonts w:ascii="Times New Roman" w:hAnsi="Times New Roman"/>
                <w:sz w:val="24"/>
                <w:szCs w:val="24"/>
              </w:rPr>
              <w:t xml:space="preserve"> </w:t>
            </w:r>
            <w:proofErr w:type="spellStart"/>
            <w:r w:rsidRPr="00DE46B3">
              <w:rPr>
                <w:rFonts w:ascii="Times New Roman" w:hAnsi="Times New Roman"/>
                <w:sz w:val="24"/>
                <w:szCs w:val="24"/>
              </w:rPr>
              <w:t>Connect</w:t>
            </w:r>
            <w:proofErr w:type="spellEnd"/>
            <w:r w:rsidRPr="00DE46B3">
              <w:rPr>
                <w:rFonts w:ascii="Times New Roman" w:hAnsi="Times New Roman"/>
                <w:sz w:val="24"/>
                <w:szCs w:val="24"/>
              </w:rPr>
              <w:t xml:space="preserve">“ projektą – nutiesti šviesolaidinį kabelį po Arkties ledu. Ši jungtis, nusidriksianti nuo </w:t>
            </w:r>
            <w:proofErr w:type="spellStart"/>
            <w:r w:rsidRPr="00DE46B3">
              <w:rPr>
                <w:rFonts w:ascii="Times New Roman" w:hAnsi="Times New Roman"/>
                <w:sz w:val="24"/>
                <w:szCs w:val="24"/>
              </w:rPr>
              <w:t>Kirunos</w:t>
            </w:r>
            <w:proofErr w:type="spellEnd"/>
            <w:r w:rsidRPr="00DE46B3">
              <w:rPr>
                <w:rFonts w:ascii="Times New Roman" w:hAnsi="Times New Roman"/>
                <w:sz w:val="24"/>
                <w:szCs w:val="24"/>
              </w:rPr>
              <w:t xml:space="preserve"> per Šiaurės Norvegiją iki pat Šiaurės Amerikos ir Azijos, taptų trumpesne bei saugesne alternatyva dabartiniams maršrutams per Sueco kanalą. Europos Sąjunga projektą pripažino strategiškai svarbiu skaitmeniniam saugumui ir jo plėtrai skyrė 350 mln. eurų. </w:t>
            </w:r>
            <w:r w:rsidRPr="00DE46B3">
              <w:rPr>
                <w:rFonts w:ascii="Times New Roman" w:hAnsi="Times New Roman"/>
                <w:b/>
                <w:bCs/>
                <w:sz w:val="24"/>
                <w:szCs w:val="24"/>
              </w:rPr>
              <w:t>Tuo pat metu Suomijos valstybinė bendrovė „</w:t>
            </w:r>
            <w:proofErr w:type="spellStart"/>
            <w:r w:rsidRPr="00DE46B3">
              <w:rPr>
                <w:rFonts w:ascii="Times New Roman" w:hAnsi="Times New Roman"/>
                <w:b/>
                <w:bCs/>
                <w:sz w:val="24"/>
                <w:szCs w:val="24"/>
              </w:rPr>
              <w:t>Cinia</w:t>
            </w:r>
            <w:proofErr w:type="spellEnd"/>
            <w:r w:rsidRPr="00DE46B3">
              <w:rPr>
                <w:rFonts w:ascii="Times New Roman" w:hAnsi="Times New Roman"/>
                <w:b/>
                <w:bCs/>
                <w:sz w:val="24"/>
                <w:szCs w:val="24"/>
              </w:rPr>
              <w:t>“ vysto lygiagretų „</w:t>
            </w:r>
            <w:proofErr w:type="spellStart"/>
            <w:r w:rsidRPr="00DE46B3">
              <w:rPr>
                <w:rFonts w:ascii="Times New Roman" w:hAnsi="Times New Roman"/>
                <w:b/>
                <w:bCs/>
                <w:sz w:val="24"/>
                <w:szCs w:val="24"/>
              </w:rPr>
              <w:t>Far</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lastRenderedPageBreak/>
              <w:t>North</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t>Fiber</w:t>
            </w:r>
            <w:proofErr w:type="spellEnd"/>
            <w:r w:rsidRPr="00DE46B3">
              <w:rPr>
                <w:rFonts w:ascii="Times New Roman" w:hAnsi="Times New Roman"/>
                <w:b/>
                <w:bCs/>
                <w:sz w:val="24"/>
                <w:szCs w:val="24"/>
              </w:rPr>
              <w:t xml:space="preserve">“ projektą, kurį ekspertai laiko ne konkurenciniu, o papildančiu sprendimu. </w:t>
            </w:r>
            <w:r w:rsidRPr="00DE46B3">
              <w:rPr>
                <w:rFonts w:ascii="Times New Roman" w:hAnsi="Times New Roman"/>
                <w:sz w:val="24"/>
                <w:szCs w:val="24"/>
              </w:rPr>
              <w:t>Skaičiuojama, kad tokia Arkties kabelių infrastruktūra Šiaurės šalių regionui kasmet galėtų atnešti per milijardą eurų ekonominės naudos bei paskatinti naujų duomenų centrų kūrimąsi.</w:t>
            </w:r>
          </w:p>
        </w:tc>
        <w:tc>
          <w:tcPr>
            <w:tcW w:w="2127" w:type="dxa"/>
            <w:tcMar>
              <w:top w:w="29" w:type="dxa"/>
              <w:left w:w="115" w:type="dxa"/>
              <w:bottom w:w="29" w:type="dxa"/>
              <w:right w:w="115" w:type="dxa"/>
            </w:tcMar>
          </w:tcPr>
          <w:p w14:paraId="2DD8A81E" w14:textId="5EA19C1E" w:rsidR="006435BA" w:rsidRPr="00DE46B3" w:rsidRDefault="00802AF7" w:rsidP="000C0908">
            <w:pPr>
              <w:spacing w:after="0" w:line="240" w:lineRule="auto"/>
              <w:jc w:val="both"/>
              <w:rPr>
                <w:rFonts w:ascii="Times New Roman" w:hAnsi="Times New Roman"/>
                <w:sz w:val="24"/>
                <w:szCs w:val="24"/>
              </w:rPr>
            </w:pPr>
            <w:hyperlink r:id="rId25" w:history="1">
              <w:r w:rsidRPr="00DE46B3">
                <w:rPr>
                  <w:rStyle w:val="Hyperlink"/>
                  <w:rFonts w:ascii="Times New Roman" w:hAnsi="Times New Roman"/>
                  <w:color w:val="auto"/>
                  <w:sz w:val="24"/>
                  <w:szCs w:val="24"/>
                </w:rPr>
                <w:t>https://yle.fi/a/74-20210494</w:t>
              </w:r>
            </w:hyperlink>
            <w:r w:rsidRPr="00DE46B3">
              <w:rPr>
                <w:rFonts w:ascii="Times New Roman" w:hAnsi="Times New Roman"/>
                <w:sz w:val="24"/>
                <w:szCs w:val="24"/>
              </w:rPr>
              <w:t xml:space="preserve"> </w:t>
            </w:r>
          </w:p>
        </w:tc>
      </w:tr>
      <w:tr w:rsidR="00DE46B3" w:rsidRPr="00DE46B3" w14:paraId="7FEA29D3" w14:textId="77777777" w:rsidTr="00334608">
        <w:trPr>
          <w:trHeight w:val="216"/>
        </w:trPr>
        <w:tc>
          <w:tcPr>
            <w:tcW w:w="1043" w:type="dxa"/>
            <w:tcMar>
              <w:top w:w="29" w:type="dxa"/>
              <w:left w:w="115" w:type="dxa"/>
              <w:bottom w:w="29" w:type="dxa"/>
              <w:right w:w="115" w:type="dxa"/>
            </w:tcMar>
          </w:tcPr>
          <w:p w14:paraId="07DF0BF6" w14:textId="0AC00D74"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w:t>
            </w:r>
            <w:r w:rsidR="00B0707F" w:rsidRPr="00DE46B3">
              <w:rPr>
                <w:rFonts w:ascii="Times New Roman" w:hAnsi="Times New Roman"/>
                <w:sz w:val="24"/>
                <w:szCs w:val="24"/>
              </w:rPr>
              <w:t>2</w:t>
            </w:r>
            <w:r w:rsidRPr="00DE46B3">
              <w:rPr>
                <w:rFonts w:ascii="Times New Roman" w:hAnsi="Times New Roman"/>
                <w:sz w:val="24"/>
                <w:szCs w:val="24"/>
              </w:rPr>
              <w:t>-</w:t>
            </w:r>
            <w:r w:rsidR="00B0707F" w:rsidRPr="00DE46B3">
              <w:rPr>
                <w:rFonts w:ascii="Times New Roman" w:hAnsi="Times New Roman"/>
                <w:sz w:val="24"/>
                <w:szCs w:val="24"/>
              </w:rPr>
              <w:t>12</w:t>
            </w:r>
          </w:p>
        </w:tc>
        <w:tc>
          <w:tcPr>
            <w:tcW w:w="5755" w:type="dxa"/>
            <w:tcMar>
              <w:top w:w="29" w:type="dxa"/>
              <w:left w:w="115" w:type="dxa"/>
              <w:bottom w:w="29" w:type="dxa"/>
              <w:right w:w="115" w:type="dxa"/>
            </w:tcMar>
          </w:tcPr>
          <w:p w14:paraId="12DA90F8" w14:textId="3076A599" w:rsidR="006435BA" w:rsidRPr="00DE46B3" w:rsidRDefault="00556788"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Suomijos vyriausybė skyrė 65 mln. eurų valstybės valdomos bendrovės „</w:t>
            </w:r>
            <w:proofErr w:type="spellStart"/>
            <w:r w:rsidRPr="00DE46B3">
              <w:rPr>
                <w:rFonts w:ascii="Times New Roman" w:hAnsi="Times New Roman"/>
                <w:b/>
                <w:bCs/>
                <w:sz w:val="24"/>
                <w:szCs w:val="24"/>
              </w:rPr>
              <w:t>Finnish</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t>Mineral</w:t>
            </w:r>
            <w:proofErr w:type="spellEnd"/>
            <w:r w:rsidRPr="00DE46B3">
              <w:rPr>
                <w:rFonts w:ascii="Times New Roman" w:hAnsi="Times New Roman"/>
                <w:b/>
                <w:bCs/>
                <w:sz w:val="24"/>
                <w:szCs w:val="24"/>
              </w:rPr>
              <w:t xml:space="preserve"> Group“ plėtojamam kasybos projektui </w:t>
            </w:r>
            <w:proofErr w:type="spellStart"/>
            <w:r w:rsidRPr="00DE46B3">
              <w:rPr>
                <w:rFonts w:ascii="Times New Roman" w:hAnsi="Times New Roman"/>
                <w:b/>
                <w:bCs/>
                <w:sz w:val="24"/>
                <w:szCs w:val="24"/>
              </w:rPr>
              <w:t>Savukoskyje</w:t>
            </w:r>
            <w:proofErr w:type="spellEnd"/>
            <w:r w:rsidRPr="00DE46B3">
              <w:rPr>
                <w:rFonts w:ascii="Times New Roman" w:hAnsi="Times New Roman"/>
                <w:b/>
                <w:bCs/>
                <w:sz w:val="24"/>
                <w:szCs w:val="24"/>
              </w:rPr>
              <w:t xml:space="preserve">. Šios lėšos bus skirtos 2026–2028 m. numatytiems bandomiesiems darbams, kurių metu planuojama išgauti ir perdirbti fosfatų bei geležies koncentratus. </w:t>
            </w:r>
            <w:r w:rsidRPr="00DE46B3">
              <w:rPr>
                <w:rFonts w:ascii="Times New Roman" w:hAnsi="Times New Roman"/>
                <w:sz w:val="24"/>
                <w:szCs w:val="24"/>
              </w:rPr>
              <w:t>Be to, mokslininkai tirs galimybes šiame telkinyje išgauti retuosius žemės metalus, kurie yra kritiškai svarbūs modernioms technologijoms.</w:t>
            </w:r>
            <w:r w:rsidR="00A05C29" w:rsidRPr="00DE46B3">
              <w:rPr>
                <w:rFonts w:ascii="Times New Roman" w:hAnsi="Times New Roman"/>
                <w:sz w:val="24"/>
                <w:szCs w:val="24"/>
              </w:rPr>
              <w:t xml:space="preserve"> </w:t>
            </w:r>
            <w:r w:rsidRPr="00DE46B3">
              <w:rPr>
                <w:rFonts w:ascii="Times New Roman" w:hAnsi="Times New Roman"/>
                <w:sz w:val="24"/>
                <w:szCs w:val="24"/>
              </w:rPr>
              <w:t xml:space="preserve">Vyriausybės atstovai pabrėžia, kad šis projektas turi strateginę reikšmę visos </w:t>
            </w:r>
            <w:r w:rsidR="00A05C29" w:rsidRPr="00DE46B3">
              <w:rPr>
                <w:rFonts w:ascii="Times New Roman" w:hAnsi="Times New Roman"/>
                <w:sz w:val="24"/>
                <w:szCs w:val="24"/>
              </w:rPr>
              <w:t>ES</w:t>
            </w:r>
            <w:r w:rsidRPr="00DE46B3">
              <w:rPr>
                <w:rFonts w:ascii="Times New Roman" w:hAnsi="Times New Roman"/>
                <w:sz w:val="24"/>
                <w:szCs w:val="24"/>
              </w:rPr>
              <w:t xml:space="preserve"> mineralinių žaliavų nepriklausomybei. Tikimasi, kad kasykla ne tik paskatins vietos ekonomikos augimą ir infrastruktūros plėtrą Laplandijos regione, bet ir prisidės prie elektros bei kelių tinklų gerinimo, kuriais galės naudotis ir kiti pramonės sektoriai.</w:t>
            </w:r>
          </w:p>
        </w:tc>
        <w:tc>
          <w:tcPr>
            <w:tcW w:w="2127" w:type="dxa"/>
            <w:tcMar>
              <w:top w:w="29" w:type="dxa"/>
              <w:left w:w="115" w:type="dxa"/>
              <w:bottom w:w="29" w:type="dxa"/>
              <w:right w:w="115" w:type="dxa"/>
            </w:tcMar>
          </w:tcPr>
          <w:p w14:paraId="65F84133" w14:textId="1D3B46D6" w:rsidR="006435BA" w:rsidRPr="00DE46B3" w:rsidRDefault="00B0707F" w:rsidP="000C0908">
            <w:pPr>
              <w:spacing w:after="0" w:line="240" w:lineRule="auto"/>
              <w:jc w:val="both"/>
              <w:rPr>
                <w:rFonts w:ascii="Times New Roman" w:hAnsi="Times New Roman"/>
                <w:sz w:val="24"/>
                <w:szCs w:val="24"/>
              </w:rPr>
            </w:pPr>
            <w:hyperlink r:id="rId26" w:history="1">
              <w:r w:rsidRPr="00DE46B3">
                <w:rPr>
                  <w:rStyle w:val="Hyperlink"/>
                  <w:rFonts w:ascii="Times New Roman" w:hAnsi="Times New Roman"/>
                  <w:color w:val="auto"/>
                  <w:sz w:val="24"/>
                  <w:szCs w:val="24"/>
                </w:rPr>
                <w:t>https://yle.fi/a/74-20209922</w:t>
              </w:r>
            </w:hyperlink>
            <w:r w:rsidRPr="00DE46B3">
              <w:rPr>
                <w:rFonts w:ascii="Times New Roman" w:hAnsi="Times New Roman"/>
                <w:sz w:val="24"/>
                <w:szCs w:val="24"/>
              </w:rPr>
              <w:t xml:space="preserve"> </w:t>
            </w:r>
          </w:p>
        </w:tc>
      </w:tr>
      <w:tr w:rsidR="00DE46B3" w:rsidRPr="00DE46B3" w14:paraId="5BCDF217" w14:textId="77777777" w:rsidTr="00334608">
        <w:trPr>
          <w:trHeight w:val="216"/>
        </w:trPr>
        <w:tc>
          <w:tcPr>
            <w:tcW w:w="1043" w:type="dxa"/>
            <w:tcMar>
              <w:top w:w="29" w:type="dxa"/>
              <w:left w:w="115" w:type="dxa"/>
              <w:bottom w:w="29" w:type="dxa"/>
              <w:right w:w="115" w:type="dxa"/>
            </w:tcMar>
          </w:tcPr>
          <w:p w14:paraId="1DE79C99" w14:textId="0F23426D"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w:t>
            </w:r>
            <w:r w:rsidR="00C26455" w:rsidRPr="00DE46B3">
              <w:rPr>
                <w:rFonts w:ascii="Times New Roman" w:hAnsi="Times New Roman"/>
                <w:sz w:val="24"/>
                <w:szCs w:val="24"/>
              </w:rPr>
              <w:t>2</w:t>
            </w:r>
            <w:r w:rsidRPr="00DE46B3">
              <w:rPr>
                <w:rFonts w:ascii="Times New Roman" w:hAnsi="Times New Roman"/>
                <w:sz w:val="24"/>
                <w:szCs w:val="24"/>
              </w:rPr>
              <w:t>-</w:t>
            </w:r>
            <w:r w:rsidR="00C26455" w:rsidRPr="00DE46B3">
              <w:rPr>
                <w:rFonts w:ascii="Times New Roman" w:hAnsi="Times New Roman"/>
                <w:sz w:val="24"/>
                <w:szCs w:val="24"/>
              </w:rPr>
              <w:t>15</w:t>
            </w:r>
          </w:p>
        </w:tc>
        <w:tc>
          <w:tcPr>
            <w:tcW w:w="5755" w:type="dxa"/>
            <w:tcMar>
              <w:top w:w="29" w:type="dxa"/>
              <w:left w:w="115" w:type="dxa"/>
              <w:bottom w:w="29" w:type="dxa"/>
              <w:right w:w="115" w:type="dxa"/>
            </w:tcMar>
          </w:tcPr>
          <w:p w14:paraId="015D424A" w14:textId="1B8530C6" w:rsidR="0040502E" w:rsidRPr="00DE46B3" w:rsidRDefault="0040502E"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 xml:space="preserve">„Uber </w:t>
            </w:r>
            <w:proofErr w:type="spellStart"/>
            <w:r w:rsidRPr="00DE46B3">
              <w:rPr>
                <w:rFonts w:ascii="Times New Roman" w:hAnsi="Times New Roman"/>
                <w:b/>
                <w:bCs/>
                <w:sz w:val="24"/>
                <w:szCs w:val="24"/>
              </w:rPr>
              <w:t>Eats</w:t>
            </w:r>
            <w:proofErr w:type="spellEnd"/>
            <w:r w:rsidRPr="00DE46B3">
              <w:rPr>
                <w:rFonts w:ascii="Times New Roman" w:hAnsi="Times New Roman"/>
                <w:b/>
                <w:bCs/>
                <w:sz w:val="24"/>
                <w:szCs w:val="24"/>
              </w:rPr>
              <w:t>“ 2026 m. pradeda veiklą Suomijoje, užpildydama nišą, atsiradusią pasitraukus konkurentui „</w:t>
            </w:r>
            <w:proofErr w:type="spellStart"/>
            <w:r w:rsidRPr="00DE46B3">
              <w:rPr>
                <w:rFonts w:ascii="Times New Roman" w:hAnsi="Times New Roman"/>
                <w:b/>
                <w:bCs/>
                <w:sz w:val="24"/>
                <w:szCs w:val="24"/>
              </w:rPr>
              <w:t>Foodora</w:t>
            </w:r>
            <w:proofErr w:type="spellEnd"/>
            <w:r w:rsidRPr="00DE46B3">
              <w:rPr>
                <w:rFonts w:ascii="Times New Roman" w:hAnsi="Times New Roman"/>
                <w:b/>
                <w:bCs/>
                <w:sz w:val="24"/>
                <w:szCs w:val="24"/>
              </w:rPr>
              <w:t>“.</w:t>
            </w:r>
            <w:r w:rsidRPr="00DE46B3">
              <w:rPr>
                <w:rFonts w:ascii="Times New Roman" w:hAnsi="Times New Roman"/>
                <w:sz w:val="24"/>
                <w:szCs w:val="24"/>
              </w:rPr>
              <w:t xml:space="preserve"> Pastaroji bendrovė veiklą šalyje nutraukė 2026 m. vasario 27 d., kaip pagrindinę priežastį nurodydama dominuojančią „</w:t>
            </w:r>
            <w:proofErr w:type="spellStart"/>
            <w:r w:rsidRPr="00DE46B3">
              <w:rPr>
                <w:rFonts w:ascii="Times New Roman" w:hAnsi="Times New Roman"/>
                <w:sz w:val="24"/>
                <w:szCs w:val="24"/>
              </w:rPr>
              <w:t>Wolt</w:t>
            </w:r>
            <w:proofErr w:type="spellEnd"/>
            <w:r w:rsidRPr="00DE46B3">
              <w:rPr>
                <w:rFonts w:ascii="Times New Roman" w:hAnsi="Times New Roman"/>
                <w:sz w:val="24"/>
                <w:szCs w:val="24"/>
              </w:rPr>
              <w:t>“ padėtį – Suomijos konkurencijos ir vartotojų teisių tarnybos duomenimis, ši bendrovė valdo apie 70–80 % rinkos.</w:t>
            </w:r>
          </w:p>
          <w:p w14:paraId="596F518D" w14:textId="31570D71" w:rsidR="006435BA" w:rsidRPr="00DE46B3" w:rsidRDefault="0040502E" w:rsidP="000C0908">
            <w:pPr>
              <w:spacing w:after="0" w:line="240" w:lineRule="auto"/>
              <w:jc w:val="both"/>
              <w:rPr>
                <w:rFonts w:ascii="Times New Roman" w:hAnsi="Times New Roman"/>
                <w:sz w:val="24"/>
                <w:szCs w:val="24"/>
              </w:rPr>
            </w:pPr>
            <w:r w:rsidRPr="00DE46B3">
              <w:rPr>
                <w:rFonts w:ascii="Times New Roman" w:hAnsi="Times New Roman"/>
                <w:sz w:val="24"/>
                <w:szCs w:val="24"/>
              </w:rPr>
              <w:t xml:space="preserve">„Uber“ pabrėžia, kad bendrovė entuziastingai vertina galimybę įsitvirtinti jau susiformavusiose rinkose ir planuoja efektyvinti pristatymo operacijas integruodama dronų bei </w:t>
            </w:r>
            <w:proofErr w:type="spellStart"/>
            <w:r w:rsidRPr="00DE46B3">
              <w:rPr>
                <w:rFonts w:ascii="Times New Roman" w:hAnsi="Times New Roman"/>
                <w:sz w:val="24"/>
                <w:szCs w:val="24"/>
              </w:rPr>
              <w:t>robotizuotas</w:t>
            </w:r>
            <w:proofErr w:type="spellEnd"/>
            <w:r w:rsidRPr="00DE46B3">
              <w:rPr>
                <w:rFonts w:ascii="Times New Roman" w:hAnsi="Times New Roman"/>
                <w:sz w:val="24"/>
                <w:szCs w:val="24"/>
              </w:rPr>
              <w:t xml:space="preserve"> technologijas. Šis žingsnis yra dalis platesnės „Uber </w:t>
            </w:r>
            <w:proofErr w:type="spellStart"/>
            <w:r w:rsidRPr="00DE46B3">
              <w:rPr>
                <w:rFonts w:ascii="Times New Roman" w:hAnsi="Times New Roman"/>
                <w:sz w:val="24"/>
                <w:szCs w:val="24"/>
              </w:rPr>
              <w:t>Eats</w:t>
            </w:r>
            <w:proofErr w:type="spellEnd"/>
            <w:r w:rsidRPr="00DE46B3">
              <w:rPr>
                <w:rFonts w:ascii="Times New Roman" w:hAnsi="Times New Roman"/>
                <w:sz w:val="24"/>
                <w:szCs w:val="24"/>
              </w:rPr>
              <w:t>“ plėtros strategijos Europoje: be Suomijos, paslauga pradedama teikti Norvegijoje, Danijoje, Austrijoje, Čekijoje, Graikijoje ir Rumunijoje. Tokią ambicingą plėtrą paskatino pastaruoju metu sėkmingai sustiprintos pozicijos didžiosiose rinkose, įskaitant Vokietiją, Prancūziją ir Jungtinę Karalystę.</w:t>
            </w:r>
          </w:p>
        </w:tc>
        <w:tc>
          <w:tcPr>
            <w:tcW w:w="2127" w:type="dxa"/>
            <w:tcMar>
              <w:top w:w="29" w:type="dxa"/>
              <w:left w:w="115" w:type="dxa"/>
              <w:bottom w:w="29" w:type="dxa"/>
              <w:right w:w="115" w:type="dxa"/>
            </w:tcMar>
          </w:tcPr>
          <w:p w14:paraId="1E98825D" w14:textId="1C1F18D9" w:rsidR="006435BA" w:rsidRPr="00DE46B3" w:rsidRDefault="00C26455" w:rsidP="000C0908">
            <w:pPr>
              <w:spacing w:after="0" w:line="240" w:lineRule="auto"/>
              <w:jc w:val="both"/>
              <w:rPr>
                <w:rFonts w:ascii="Times New Roman" w:hAnsi="Times New Roman"/>
                <w:sz w:val="24"/>
                <w:szCs w:val="24"/>
              </w:rPr>
            </w:pPr>
            <w:hyperlink r:id="rId27" w:history="1">
              <w:r w:rsidRPr="00DE46B3">
                <w:rPr>
                  <w:rStyle w:val="Hyperlink"/>
                  <w:rFonts w:ascii="Times New Roman" w:hAnsi="Times New Roman"/>
                  <w:color w:val="auto"/>
                  <w:sz w:val="24"/>
                  <w:szCs w:val="24"/>
                </w:rPr>
                <w:t>https://www.iltalehti.fi/talous/a/882fa9d4-f3a1-4f4c-b938-cf541518129a</w:t>
              </w:r>
            </w:hyperlink>
            <w:r w:rsidRPr="00DE46B3">
              <w:rPr>
                <w:rFonts w:ascii="Times New Roman" w:hAnsi="Times New Roman"/>
                <w:sz w:val="24"/>
                <w:szCs w:val="24"/>
              </w:rPr>
              <w:t xml:space="preserve"> </w:t>
            </w:r>
          </w:p>
        </w:tc>
      </w:tr>
      <w:tr w:rsidR="00DE46B3" w:rsidRPr="00DE46B3" w14:paraId="6BB080D5" w14:textId="77777777" w:rsidTr="00334608">
        <w:trPr>
          <w:trHeight w:val="216"/>
        </w:trPr>
        <w:tc>
          <w:tcPr>
            <w:tcW w:w="1043" w:type="dxa"/>
            <w:tcMar>
              <w:top w:w="29" w:type="dxa"/>
              <w:left w:w="115" w:type="dxa"/>
              <w:bottom w:w="29" w:type="dxa"/>
              <w:right w:w="115" w:type="dxa"/>
            </w:tcMar>
          </w:tcPr>
          <w:p w14:paraId="34FAD73B" w14:textId="2ABBED87"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rPr>
              <w:t>2026-0</w:t>
            </w:r>
            <w:r w:rsidR="00363ADC" w:rsidRPr="00DE46B3">
              <w:rPr>
                <w:rFonts w:ascii="Times New Roman" w:hAnsi="Times New Roman"/>
                <w:sz w:val="24"/>
                <w:szCs w:val="24"/>
              </w:rPr>
              <w:t>2</w:t>
            </w:r>
            <w:r w:rsidRPr="00DE46B3">
              <w:rPr>
                <w:rFonts w:ascii="Times New Roman" w:hAnsi="Times New Roman"/>
                <w:sz w:val="24"/>
                <w:szCs w:val="24"/>
              </w:rPr>
              <w:t>-1</w:t>
            </w:r>
            <w:r w:rsidR="00363ADC" w:rsidRPr="00DE46B3">
              <w:rPr>
                <w:rFonts w:ascii="Times New Roman" w:hAnsi="Times New Roman"/>
                <w:sz w:val="24"/>
                <w:szCs w:val="24"/>
              </w:rPr>
              <w:t>7</w:t>
            </w:r>
          </w:p>
        </w:tc>
        <w:tc>
          <w:tcPr>
            <w:tcW w:w="5755" w:type="dxa"/>
            <w:tcMar>
              <w:top w:w="29" w:type="dxa"/>
              <w:left w:w="115" w:type="dxa"/>
              <w:bottom w:w="29" w:type="dxa"/>
              <w:right w:w="115" w:type="dxa"/>
            </w:tcMar>
          </w:tcPr>
          <w:p w14:paraId="161FB02D" w14:textId="694C8E8B" w:rsidR="006435BA" w:rsidRPr="00DE46B3" w:rsidRDefault="00BF0320"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 xml:space="preserve">Nors Suomijos eksportas į Kiniją iki šiol atsiliko nuo kitų Šiaurės šalių, kintanti globali prekybos dinamika atveria naujų galimybių. </w:t>
            </w:r>
            <w:r w:rsidRPr="00DE46B3">
              <w:rPr>
                <w:rFonts w:ascii="Times New Roman" w:hAnsi="Times New Roman"/>
                <w:sz w:val="24"/>
                <w:szCs w:val="24"/>
              </w:rPr>
              <w:t xml:space="preserve">Skirtingai nei Švedija ar Danija, kurios sėkmingai įtvirtino baldų bei gurmaniškų produktų prekių ženklus, Suomijos eksportas vis dar pernelyg sutelktas į žaliavas ir pramonines </w:t>
            </w:r>
            <w:r w:rsidR="001A2A1E" w:rsidRPr="00DE46B3">
              <w:rPr>
                <w:rFonts w:ascii="Times New Roman" w:hAnsi="Times New Roman"/>
                <w:sz w:val="24"/>
                <w:szCs w:val="24"/>
              </w:rPr>
              <w:t>prekes</w:t>
            </w:r>
            <w:r w:rsidRPr="00DE46B3">
              <w:rPr>
                <w:rFonts w:ascii="Times New Roman" w:hAnsi="Times New Roman"/>
                <w:sz w:val="24"/>
                <w:szCs w:val="24"/>
              </w:rPr>
              <w:t xml:space="preserve">. Ekspertai įspėja: jei Suomijos įmonės neinvestuos į pažangią rinkodarą ir </w:t>
            </w:r>
            <w:r w:rsidR="001A2A1E" w:rsidRPr="00DE46B3">
              <w:rPr>
                <w:rFonts w:ascii="Times New Roman" w:hAnsi="Times New Roman"/>
                <w:sz w:val="24"/>
                <w:szCs w:val="24"/>
              </w:rPr>
              <w:t xml:space="preserve">aiškaus </w:t>
            </w:r>
            <w:r w:rsidRPr="00DE46B3">
              <w:rPr>
                <w:rFonts w:ascii="Times New Roman" w:hAnsi="Times New Roman"/>
                <w:sz w:val="24"/>
                <w:szCs w:val="24"/>
              </w:rPr>
              <w:t>prekės ženklo kūrimą, šalis rizikuoja likti tik technologiškai pažengusios Kinijos žaliavų tiekėja.</w:t>
            </w:r>
            <w:r w:rsidR="00363ADC" w:rsidRPr="00DE46B3">
              <w:rPr>
                <w:rFonts w:ascii="Times New Roman" w:hAnsi="Times New Roman"/>
                <w:sz w:val="24"/>
                <w:szCs w:val="24"/>
              </w:rPr>
              <w:t xml:space="preserve"> </w:t>
            </w:r>
            <w:r w:rsidR="001A2A1E" w:rsidRPr="00DE46B3">
              <w:rPr>
                <w:rFonts w:ascii="Times New Roman" w:hAnsi="Times New Roman"/>
                <w:sz w:val="24"/>
                <w:szCs w:val="24"/>
              </w:rPr>
              <w:t xml:space="preserve">Verslo plėtros įstaiga </w:t>
            </w:r>
            <w:r w:rsidRPr="00DE46B3">
              <w:rPr>
                <w:rFonts w:ascii="Times New Roman" w:hAnsi="Times New Roman"/>
                <w:sz w:val="24"/>
                <w:szCs w:val="24"/>
              </w:rPr>
              <w:t>„</w:t>
            </w:r>
            <w:proofErr w:type="spellStart"/>
            <w:r w:rsidRPr="00DE46B3">
              <w:rPr>
                <w:rFonts w:ascii="Times New Roman" w:hAnsi="Times New Roman"/>
                <w:sz w:val="24"/>
                <w:szCs w:val="24"/>
              </w:rPr>
              <w:t>Business</w:t>
            </w:r>
            <w:proofErr w:type="spellEnd"/>
            <w:r w:rsidRPr="00DE46B3">
              <w:rPr>
                <w:rFonts w:ascii="Times New Roman" w:hAnsi="Times New Roman"/>
                <w:sz w:val="24"/>
                <w:szCs w:val="24"/>
              </w:rPr>
              <w:t xml:space="preserve"> </w:t>
            </w:r>
            <w:proofErr w:type="spellStart"/>
            <w:r w:rsidRPr="00DE46B3">
              <w:rPr>
                <w:rFonts w:ascii="Times New Roman" w:hAnsi="Times New Roman"/>
                <w:sz w:val="24"/>
                <w:szCs w:val="24"/>
              </w:rPr>
              <w:t>Tampere</w:t>
            </w:r>
            <w:proofErr w:type="spellEnd"/>
            <w:r w:rsidRPr="00DE46B3">
              <w:rPr>
                <w:rFonts w:ascii="Times New Roman" w:hAnsi="Times New Roman"/>
                <w:sz w:val="24"/>
                <w:szCs w:val="24"/>
              </w:rPr>
              <w:t xml:space="preserve">“ išskiria tris pagrindines sritis, kuriose Suomija gali </w:t>
            </w:r>
            <w:r w:rsidRPr="00DE46B3">
              <w:rPr>
                <w:rFonts w:ascii="Times New Roman" w:hAnsi="Times New Roman"/>
                <w:sz w:val="24"/>
                <w:szCs w:val="24"/>
              </w:rPr>
              <w:lastRenderedPageBreak/>
              <w:t xml:space="preserve">konkuruoti efektyviausiai: sveikatos priežiūros sprendimai senstančiai Azijos visuomenei, žaliosios technologijos bei tvarumo inovacijos ir unikalioji Arkties patirtis (angl. </w:t>
            </w:r>
            <w:proofErr w:type="spellStart"/>
            <w:r w:rsidRPr="00DE46B3">
              <w:rPr>
                <w:rFonts w:ascii="Times New Roman" w:hAnsi="Times New Roman"/>
                <w:i/>
                <w:iCs/>
                <w:sz w:val="24"/>
                <w:szCs w:val="24"/>
              </w:rPr>
              <w:t>snowhow</w:t>
            </w:r>
            <w:proofErr w:type="spellEnd"/>
            <w:r w:rsidRPr="00DE46B3">
              <w:rPr>
                <w:rFonts w:ascii="Times New Roman" w:hAnsi="Times New Roman"/>
                <w:sz w:val="24"/>
                <w:szCs w:val="24"/>
              </w:rPr>
              <w:t>). Pastaroji apima viską – nuo žiemos infrastruktūros ir sporto objektų iki specializuotų sprendimų atšiauriam klimatui. Šis posūkis link vartotojams skirtų ir aukštųjų technologijų produktų yra laikomas esminiu žingsniu siekiant stiprinti Suomijos ekonominę poziciją Kinijos rinkoje.</w:t>
            </w:r>
          </w:p>
        </w:tc>
        <w:tc>
          <w:tcPr>
            <w:tcW w:w="2127" w:type="dxa"/>
            <w:tcMar>
              <w:top w:w="29" w:type="dxa"/>
              <w:left w:w="115" w:type="dxa"/>
              <w:bottom w:w="29" w:type="dxa"/>
              <w:right w:w="115" w:type="dxa"/>
            </w:tcMar>
          </w:tcPr>
          <w:p w14:paraId="58B67B99" w14:textId="03F987DA" w:rsidR="006435BA" w:rsidRPr="00DE46B3" w:rsidRDefault="00363ADC" w:rsidP="000C0908">
            <w:pPr>
              <w:spacing w:after="0" w:line="240" w:lineRule="auto"/>
              <w:jc w:val="both"/>
              <w:rPr>
                <w:rFonts w:ascii="Times New Roman" w:hAnsi="Times New Roman"/>
                <w:sz w:val="24"/>
                <w:szCs w:val="24"/>
              </w:rPr>
            </w:pPr>
            <w:hyperlink r:id="rId28" w:history="1">
              <w:r w:rsidRPr="00DE46B3">
                <w:rPr>
                  <w:rStyle w:val="Hyperlink"/>
                  <w:rFonts w:ascii="Times New Roman" w:hAnsi="Times New Roman"/>
                  <w:color w:val="auto"/>
                  <w:sz w:val="24"/>
                  <w:szCs w:val="24"/>
                </w:rPr>
                <w:t>https://yle.fi/a/74-20210113</w:t>
              </w:r>
            </w:hyperlink>
            <w:r w:rsidRPr="00DE46B3">
              <w:rPr>
                <w:rFonts w:ascii="Times New Roman" w:hAnsi="Times New Roman"/>
                <w:sz w:val="24"/>
                <w:szCs w:val="24"/>
              </w:rPr>
              <w:t xml:space="preserve"> </w:t>
            </w:r>
          </w:p>
        </w:tc>
      </w:tr>
      <w:tr w:rsidR="00DE46B3" w:rsidRPr="00DE46B3" w14:paraId="59442694" w14:textId="77777777" w:rsidTr="00334608">
        <w:trPr>
          <w:trHeight w:val="216"/>
        </w:trPr>
        <w:tc>
          <w:tcPr>
            <w:tcW w:w="1043" w:type="dxa"/>
            <w:tcMar>
              <w:top w:w="29" w:type="dxa"/>
              <w:left w:w="115" w:type="dxa"/>
              <w:bottom w:w="29" w:type="dxa"/>
              <w:right w:w="115" w:type="dxa"/>
            </w:tcMar>
          </w:tcPr>
          <w:p w14:paraId="549F1BF1" w14:textId="6D023474" w:rsidR="006435BA" w:rsidRPr="00DE46B3" w:rsidRDefault="006435BA" w:rsidP="000C0908">
            <w:pPr>
              <w:spacing w:after="0" w:line="240" w:lineRule="auto"/>
              <w:jc w:val="both"/>
              <w:rPr>
                <w:rFonts w:ascii="Times New Roman" w:hAnsi="Times New Roman"/>
                <w:sz w:val="24"/>
                <w:szCs w:val="24"/>
              </w:rPr>
            </w:pPr>
            <w:r w:rsidRPr="00DE46B3">
              <w:rPr>
                <w:rFonts w:ascii="Times New Roman" w:hAnsi="Times New Roman"/>
                <w:sz w:val="24"/>
                <w:szCs w:val="24"/>
                <w:lang w:val="en-US"/>
              </w:rPr>
              <w:t>2026-0</w:t>
            </w:r>
            <w:r w:rsidR="00C13441" w:rsidRPr="00DE46B3">
              <w:rPr>
                <w:rFonts w:ascii="Times New Roman" w:hAnsi="Times New Roman"/>
                <w:sz w:val="24"/>
                <w:szCs w:val="24"/>
                <w:lang w:val="en-US"/>
              </w:rPr>
              <w:t>2</w:t>
            </w:r>
            <w:r w:rsidRPr="00DE46B3">
              <w:rPr>
                <w:rFonts w:ascii="Times New Roman" w:hAnsi="Times New Roman"/>
                <w:sz w:val="24"/>
                <w:szCs w:val="24"/>
                <w:lang w:val="en-US"/>
              </w:rPr>
              <w:t>-</w:t>
            </w:r>
            <w:r w:rsidR="00C13441" w:rsidRPr="00DE46B3">
              <w:rPr>
                <w:rFonts w:ascii="Times New Roman" w:hAnsi="Times New Roman"/>
                <w:sz w:val="24"/>
                <w:szCs w:val="24"/>
                <w:lang w:val="en-US"/>
              </w:rPr>
              <w:t>17</w:t>
            </w:r>
          </w:p>
        </w:tc>
        <w:tc>
          <w:tcPr>
            <w:tcW w:w="5755" w:type="dxa"/>
            <w:tcMar>
              <w:top w:w="29" w:type="dxa"/>
              <w:left w:w="115" w:type="dxa"/>
              <w:bottom w:w="29" w:type="dxa"/>
              <w:right w:w="115" w:type="dxa"/>
            </w:tcMar>
          </w:tcPr>
          <w:p w14:paraId="50B5BA02" w14:textId="2CF82FF1" w:rsidR="00D20072" w:rsidRPr="00DE46B3" w:rsidRDefault="00D20072"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Suomijos išmaniųjų žiedų gamintoja „</w:t>
            </w:r>
            <w:proofErr w:type="spellStart"/>
            <w:r w:rsidRPr="00DE46B3">
              <w:rPr>
                <w:rFonts w:ascii="Times New Roman" w:hAnsi="Times New Roman"/>
                <w:b/>
                <w:bCs/>
                <w:sz w:val="24"/>
                <w:szCs w:val="24"/>
              </w:rPr>
              <w:t>Oura</w:t>
            </w:r>
            <w:proofErr w:type="spellEnd"/>
            <w:r w:rsidRPr="00DE46B3">
              <w:rPr>
                <w:rFonts w:ascii="Times New Roman" w:hAnsi="Times New Roman"/>
                <w:b/>
                <w:bCs/>
                <w:sz w:val="24"/>
                <w:szCs w:val="24"/>
              </w:rPr>
              <w:t>“ per pastaruosius metus pasiekė istorinį lūžį: 2025-aisiais bendrovės pajamos viršijo vieną milijardą eurų, o po spalį įvykusio 900 mln. JAV dolerių investavimo etapo įmonės</w:t>
            </w:r>
            <w:r w:rsidRPr="00DE46B3">
              <w:rPr>
                <w:rFonts w:ascii="Times New Roman" w:hAnsi="Times New Roman"/>
                <w:sz w:val="24"/>
                <w:szCs w:val="24"/>
              </w:rPr>
              <w:t xml:space="preserve"> </w:t>
            </w:r>
            <w:r w:rsidRPr="00DE46B3">
              <w:rPr>
                <w:rFonts w:ascii="Times New Roman" w:hAnsi="Times New Roman"/>
                <w:b/>
                <w:bCs/>
                <w:sz w:val="24"/>
                <w:szCs w:val="24"/>
              </w:rPr>
              <w:t>vertė šoktelėjo iki 11 mlrd. dolerių.</w:t>
            </w:r>
            <w:r w:rsidRPr="00DE46B3">
              <w:rPr>
                <w:rFonts w:ascii="Times New Roman" w:hAnsi="Times New Roman"/>
                <w:sz w:val="24"/>
                <w:szCs w:val="24"/>
              </w:rPr>
              <w:t xml:space="preserve"> </w:t>
            </w:r>
            <w:r w:rsidR="006A5EAB" w:rsidRPr="00DE46B3">
              <w:rPr>
                <w:rFonts w:ascii="Times New Roman" w:hAnsi="Times New Roman"/>
                <w:sz w:val="24"/>
                <w:szCs w:val="24"/>
              </w:rPr>
              <w:t>B</w:t>
            </w:r>
            <w:r w:rsidRPr="00DE46B3">
              <w:rPr>
                <w:rFonts w:ascii="Times New Roman" w:hAnsi="Times New Roman"/>
                <w:sz w:val="24"/>
                <w:szCs w:val="24"/>
              </w:rPr>
              <w:t>endrovė, kurioje šiuo metu dirba daugiau nei tūkstantis darbuotojų visame pasaulyje, sėkmingai transformavosi iš vartotojams skirto sveikatingumo įrenginio gamintojos į visapusišką sveikatos technologijų ir dirbtinio intelekto įmonę. Per finansinius metus, pasibaigusius 2025 m. rugsėjį, „</w:t>
            </w:r>
            <w:proofErr w:type="spellStart"/>
            <w:r w:rsidRPr="00DE46B3">
              <w:rPr>
                <w:rFonts w:ascii="Times New Roman" w:hAnsi="Times New Roman"/>
                <w:sz w:val="24"/>
                <w:szCs w:val="24"/>
              </w:rPr>
              <w:t>Oura</w:t>
            </w:r>
            <w:proofErr w:type="spellEnd"/>
            <w:r w:rsidRPr="00DE46B3">
              <w:rPr>
                <w:rFonts w:ascii="Times New Roman" w:hAnsi="Times New Roman"/>
                <w:sz w:val="24"/>
                <w:szCs w:val="24"/>
              </w:rPr>
              <w:t>“ veiklos pelnas pasiekė įspūdingus 113,5 mln. eurų.</w:t>
            </w:r>
          </w:p>
          <w:p w14:paraId="49857E9C" w14:textId="77777777" w:rsidR="006435BA" w:rsidRPr="00DE46B3" w:rsidRDefault="00D20072" w:rsidP="000C0908">
            <w:pPr>
              <w:spacing w:after="0" w:line="240" w:lineRule="auto"/>
              <w:jc w:val="both"/>
              <w:rPr>
                <w:rFonts w:ascii="Times New Roman" w:hAnsi="Times New Roman"/>
                <w:sz w:val="24"/>
                <w:szCs w:val="24"/>
              </w:rPr>
            </w:pPr>
            <w:r w:rsidRPr="00DE46B3">
              <w:rPr>
                <w:rFonts w:ascii="Times New Roman" w:hAnsi="Times New Roman"/>
                <w:sz w:val="24"/>
                <w:szCs w:val="24"/>
              </w:rPr>
              <w:t>Šiuo metu pagrindinis įmonės strateginis dėmesys sutelktas į JAV rinką, kur „</w:t>
            </w:r>
            <w:proofErr w:type="spellStart"/>
            <w:r w:rsidRPr="00DE46B3">
              <w:rPr>
                <w:rFonts w:ascii="Times New Roman" w:hAnsi="Times New Roman"/>
                <w:sz w:val="24"/>
                <w:szCs w:val="24"/>
              </w:rPr>
              <w:t>Oura</w:t>
            </w:r>
            <w:proofErr w:type="spellEnd"/>
            <w:r w:rsidRPr="00DE46B3">
              <w:rPr>
                <w:rFonts w:ascii="Times New Roman" w:hAnsi="Times New Roman"/>
                <w:sz w:val="24"/>
                <w:szCs w:val="24"/>
              </w:rPr>
              <w:t>“ vykdo aktyvią lobistinę veiklą. Bendrovė siekia, kad būtų sukurta nauja reguliavimo kategorija skaitmeninės sveikatos patikros prietaisams, atskiriant juos nuo tradicinės medicinos įrangos.</w:t>
            </w:r>
          </w:p>
          <w:p w14:paraId="0F45745E" w14:textId="7E82891C" w:rsidR="008E429B" w:rsidRPr="00DE46B3" w:rsidRDefault="00BE5A5F" w:rsidP="000C0908">
            <w:pPr>
              <w:spacing w:after="0" w:line="240" w:lineRule="auto"/>
              <w:jc w:val="both"/>
              <w:rPr>
                <w:rFonts w:ascii="Times New Roman" w:hAnsi="Times New Roman"/>
                <w:sz w:val="24"/>
                <w:szCs w:val="24"/>
              </w:rPr>
            </w:pPr>
            <w:r w:rsidRPr="00DE46B3">
              <w:rPr>
                <w:rFonts w:ascii="Times New Roman" w:hAnsi="Times New Roman"/>
                <w:sz w:val="24"/>
                <w:szCs w:val="24"/>
              </w:rPr>
              <w:t xml:space="preserve">Taip pat paskelbta, kad </w:t>
            </w:r>
            <w:r w:rsidR="008E429B" w:rsidRPr="00DE46B3">
              <w:rPr>
                <w:rFonts w:ascii="Times New Roman" w:hAnsi="Times New Roman"/>
                <w:sz w:val="24"/>
                <w:szCs w:val="24"/>
              </w:rPr>
              <w:t>„</w:t>
            </w:r>
            <w:proofErr w:type="spellStart"/>
            <w:r w:rsidR="008E429B" w:rsidRPr="00DE46B3">
              <w:rPr>
                <w:rFonts w:ascii="Times New Roman" w:hAnsi="Times New Roman"/>
                <w:sz w:val="24"/>
                <w:szCs w:val="24"/>
              </w:rPr>
              <w:t>Oura</w:t>
            </w:r>
            <w:proofErr w:type="spellEnd"/>
            <w:r w:rsidR="008E429B" w:rsidRPr="00DE46B3">
              <w:rPr>
                <w:rFonts w:ascii="Times New Roman" w:hAnsi="Times New Roman"/>
                <w:sz w:val="24"/>
                <w:szCs w:val="24"/>
              </w:rPr>
              <w:t xml:space="preserve">“ oficialiai perkėlė savo motininę bendrovę į </w:t>
            </w:r>
            <w:proofErr w:type="spellStart"/>
            <w:r w:rsidR="008E429B" w:rsidRPr="00DE46B3">
              <w:rPr>
                <w:rFonts w:ascii="Times New Roman" w:hAnsi="Times New Roman"/>
                <w:sz w:val="24"/>
                <w:szCs w:val="24"/>
              </w:rPr>
              <w:t>Delavero</w:t>
            </w:r>
            <w:proofErr w:type="spellEnd"/>
            <w:r w:rsidR="008E429B" w:rsidRPr="00DE46B3">
              <w:rPr>
                <w:rFonts w:ascii="Times New Roman" w:hAnsi="Times New Roman"/>
                <w:sz w:val="24"/>
                <w:szCs w:val="24"/>
              </w:rPr>
              <w:t xml:space="preserve"> valstiją JAV, taip vėl įžiebdama diskusijas apie Suomijos gebėjimą išlaikyti sparčiai augančias technologijų įmones. Nors toks sprendimas kai kuriems stebėtojams buvo netikėtas, ekspertai pabrėžia, kad įmonės vadovybė ir pagrindiniai investuotojai jau seniai įsitvirtinę JAV. Šis žingsnis palengvina priėjimą prie kapitalo rinkų bei teisinės aplinkos, kuri yra palankesnė tolesnei plėtrai. Be to, analitikai pastebi, kad potencialus „</w:t>
            </w:r>
            <w:proofErr w:type="spellStart"/>
            <w:r w:rsidR="008E429B" w:rsidRPr="00DE46B3">
              <w:rPr>
                <w:rFonts w:ascii="Times New Roman" w:hAnsi="Times New Roman"/>
                <w:sz w:val="24"/>
                <w:szCs w:val="24"/>
              </w:rPr>
              <w:t>Oura</w:t>
            </w:r>
            <w:proofErr w:type="spellEnd"/>
            <w:r w:rsidR="008E429B" w:rsidRPr="00DE46B3">
              <w:rPr>
                <w:rFonts w:ascii="Times New Roman" w:hAnsi="Times New Roman"/>
                <w:sz w:val="24"/>
                <w:szCs w:val="24"/>
              </w:rPr>
              <w:t xml:space="preserve">“ akcijų </w:t>
            </w:r>
            <w:proofErr w:type="spellStart"/>
            <w:r w:rsidR="008E429B" w:rsidRPr="00DE46B3">
              <w:rPr>
                <w:rFonts w:ascii="Times New Roman" w:hAnsi="Times New Roman"/>
                <w:sz w:val="24"/>
                <w:szCs w:val="24"/>
              </w:rPr>
              <w:t>listingavimas</w:t>
            </w:r>
            <w:proofErr w:type="spellEnd"/>
            <w:r w:rsidR="008E429B" w:rsidRPr="00DE46B3">
              <w:rPr>
                <w:rFonts w:ascii="Times New Roman" w:hAnsi="Times New Roman"/>
                <w:sz w:val="24"/>
                <w:szCs w:val="24"/>
              </w:rPr>
              <w:t xml:space="preserve"> „</w:t>
            </w:r>
            <w:proofErr w:type="spellStart"/>
            <w:r w:rsidR="008E429B" w:rsidRPr="00DE46B3">
              <w:rPr>
                <w:rFonts w:ascii="Times New Roman" w:hAnsi="Times New Roman"/>
                <w:sz w:val="24"/>
                <w:szCs w:val="24"/>
              </w:rPr>
              <w:t>Nasdaq</w:t>
            </w:r>
            <w:proofErr w:type="spellEnd"/>
            <w:r w:rsidR="008E429B" w:rsidRPr="00DE46B3">
              <w:rPr>
                <w:rFonts w:ascii="Times New Roman" w:hAnsi="Times New Roman"/>
                <w:sz w:val="24"/>
                <w:szCs w:val="24"/>
              </w:rPr>
              <w:t>“ biržoje galėtų netgi sustiprinti tarptautinę Suomijos, kaip sėkmingų inovacijų šaltinio, reputaciją.</w:t>
            </w:r>
          </w:p>
          <w:p w14:paraId="76FFD4B3" w14:textId="6601C8E6" w:rsidR="008E429B" w:rsidRPr="00DE46B3" w:rsidRDefault="008E429B" w:rsidP="000C0908">
            <w:pPr>
              <w:spacing w:after="0" w:line="240" w:lineRule="auto"/>
              <w:jc w:val="both"/>
              <w:rPr>
                <w:rFonts w:ascii="Times New Roman" w:hAnsi="Times New Roman"/>
                <w:sz w:val="24"/>
                <w:szCs w:val="24"/>
              </w:rPr>
            </w:pPr>
            <w:r w:rsidRPr="00DE46B3">
              <w:rPr>
                <w:rFonts w:ascii="Times New Roman" w:hAnsi="Times New Roman"/>
                <w:sz w:val="24"/>
                <w:szCs w:val="24"/>
              </w:rPr>
              <w:t>Ekonomikos ir technologijų specialistai ragina šio persikėlimo nelaikyti vien tik praradimu. „</w:t>
            </w:r>
            <w:proofErr w:type="spellStart"/>
            <w:r w:rsidRPr="00DE46B3">
              <w:rPr>
                <w:rFonts w:ascii="Times New Roman" w:hAnsi="Times New Roman"/>
                <w:sz w:val="24"/>
                <w:szCs w:val="24"/>
              </w:rPr>
              <w:t>Oura</w:t>
            </w:r>
            <w:proofErr w:type="spellEnd"/>
            <w:r w:rsidRPr="00DE46B3">
              <w:rPr>
                <w:rFonts w:ascii="Times New Roman" w:hAnsi="Times New Roman"/>
                <w:sz w:val="24"/>
                <w:szCs w:val="24"/>
              </w:rPr>
              <w:t xml:space="preserve">“ Suomijoje išlaikys apie 500 darbuotojų, taip išsaugodama darbo vietas ir kuriamą vertę šalies viduje. Nors su kapitalu susijusios mokestinės pajamos gali nutekėti į užsienį, Suomijoje lieka atlyginimai, sukauptos žinios ir inovacijų potencialas. Tikimasi, kad įmonės sėkmė JAV rinkoje ne tik sustiprins suomių kompetenciją, bet ir paskatins naujų </w:t>
            </w:r>
            <w:proofErr w:type="spellStart"/>
            <w:r w:rsidRPr="00DE46B3">
              <w:rPr>
                <w:rFonts w:ascii="Times New Roman" w:hAnsi="Times New Roman"/>
                <w:sz w:val="24"/>
                <w:szCs w:val="24"/>
              </w:rPr>
              <w:t>startuolių</w:t>
            </w:r>
            <w:proofErr w:type="spellEnd"/>
            <w:r w:rsidRPr="00DE46B3">
              <w:rPr>
                <w:rFonts w:ascii="Times New Roman" w:hAnsi="Times New Roman"/>
                <w:sz w:val="24"/>
                <w:szCs w:val="24"/>
              </w:rPr>
              <w:t xml:space="preserve"> kūrimąsi, taip ilgalaikėje </w:t>
            </w:r>
            <w:r w:rsidRPr="00DE46B3">
              <w:rPr>
                <w:rFonts w:ascii="Times New Roman" w:hAnsi="Times New Roman"/>
                <w:sz w:val="24"/>
                <w:szCs w:val="24"/>
              </w:rPr>
              <w:lastRenderedPageBreak/>
              <w:t>perspektyvoje sustiprinant visą šalies technologijų sektorių.</w:t>
            </w:r>
          </w:p>
        </w:tc>
        <w:tc>
          <w:tcPr>
            <w:tcW w:w="2127" w:type="dxa"/>
            <w:tcMar>
              <w:top w:w="29" w:type="dxa"/>
              <w:left w:w="115" w:type="dxa"/>
              <w:bottom w:w="29" w:type="dxa"/>
              <w:right w:w="115" w:type="dxa"/>
            </w:tcMar>
          </w:tcPr>
          <w:p w14:paraId="6D8850C6" w14:textId="77777777" w:rsidR="006435BA" w:rsidRPr="00DE46B3" w:rsidRDefault="00C13441" w:rsidP="000C0908">
            <w:pPr>
              <w:spacing w:after="0" w:line="240" w:lineRule="auto"/>
              <w:jc w:val="both"/>
              <w:rPr>
                <w:rFonts w:ascii="Times New Roman" w:hAnsi="Times New Roman"/>
                <w:sz w:val="24"/>
                <w:szCs w:val="24"/>
              </w:rPr>
            </w:pPr>
            <w:hyperlink r:id="rId29" w:history="1">
              <w:r w:rsidRPr="00DE46B3">
                <w:rPr>
                  <w:rStyle w:val="Hyperlink"/>
                  <w:rFonts w:ascii="Times New Roman" w:hAnsi="Times New Roman"/>
                  <w:color w:val="auto"/>
                  <w:sz w:val="24"/>
                  <w:szCs w:val="24"/>
                </w:rPr>
                <w:t>https://www.hs.fi/visio/art-2000011794351.html</w:t>
              </w:r>
            </w:hyperlink>
            <w:r w:rsidRPr="00DE46B3">
              <w:rPr>
                <w:rFonts w:ascii="Times New Roman" w:hAnsi="Times New Roman"/>
                <w:sz w:val="24"/>
                <w:szCs w:val="24"/>
              </w:rPr>
              <w:t xml:space="preserve"> </w:t>
            </w:r>
          </w:p>
          <w:p w14:paraId="1FC45209" w14:textId="77777777" w:rsidR="0087134D" w:rsidRPr="00DE46B3" w:rsidRDefault="0087134D" w:rsidP="000C0908">
            <w:pPr>
              <w:spacing w:after="0" w:line="240" w:lineRule="auto"/>
              <w:jc w:val="both"/>
              <w:rPr>
                <w:rFonts w:ascii="Times New Roman" w:hAnsi="Times New Roman"/>
                <w:sz w:val="24"/>
                <w:szCs w:val="24"/>
              </w:rPr>
            </w:pPr>
          </w:p>
          <w:p w14:paraId="4F8FC34C" w14:textId="2B3DE1A7" w:rsidR="0087134D" w:rsidRPr="00DE46B3" w:rsidRDefault="0087134D" w:rsidP="000C0908">
            <w:pPr>
              <w:spacing w:after="0" w:line="240" w:lineRule="auto"/>
              <w:jc w:val="both"/>
              <w:rPr>
                <w:rFonts w:ascii="Times New Roman" w:hAnsi="Times New Roman"/>
                <w:sz w:val="24"/>
                <w:szCs w:val="24"/>
              </w:rPr>
            </w:pPr>
            <w:hyperlink r:id="rId30" w:history="1">
              <w:r w:rsidRPr="00DE46B3">
                <w:rPr>
                  <w:rStyle w:val="Hyperlink"/>
                  <w:rFonts w:ascii="Times New Roman" w:hAnsi="Times New Roman"/>
                  <w:color w:val="auto"/>
                  <w:sz w:val="24"/>
                  <w:szCs w:val="24"/>
                </w:rPr>
                <w:t>https://yle.fi/a/74-20211011</w:t>
              </w:r>
            </w:hyperlink>
            <w:r w:rsidRPr="00DE46B3">
              <w:rPr>
                <w:rFonts w:ascii="Times New Roman" w:hAnsi="Times New Roman"/>
                <w:sz w:val="24"/>
                <w:szCs w:val="24"/>
              </w:rPr>
              <w:t xml:space="preserve"> </w:t>
            </w:r>
          </w:p>
        </w:tc>
      </w:tr>
      <w:tr w:rsidR="00DE46B3" w:rsidRPr="00DE46B3" w14:paraId="4ECA5D91" w14:textId="77777777" w:rsidTr="00334608">
        <w:trPr>
          <w:trHeight w:val="216"/>
        </w:trPr>
        <w:tc>
          <w:tcPr>
            <w:tcW w:w="1043" w:type="dxa"/>
            <w:tcMar>
              <w:top w:w="29" w:type="dxa"/>
              <w:left w:w="115" w:type="dxa"/>
              <w:bottom w:w="29" w:type="dxa"/>
              <w:right w:w="115" w:type="dxa"/>
            </w:tcMar>
          </w:tcPr>
          <w:p w14:paraId="3CFDC8CE" w14:textId="52BFBE24" w:rsidR="006435BA" w:rsidRPr="00DE46B3" w:rsidRDefault="006435BA" w:rsidP="000C0908">
            <w:pPr>
              <w:spacing w:after="0" w:line="240" w:lineRule="auto"/>
              <w:jc w:val="both"/>
              <w:rPr>
                <w:rFonts w:ascii="Times New Roman" w:hAnsi="Times New Roman"/>
                <w:sz w:val="24"/>
                <w:szCs w:val="24"/>
                <w:lang w:val="en-US"/>
              </w:rPr>
            </w:pPr>
            <w:r w:rsidRPr="00DE46B3">
              <w:rPr>
                <w:rFonts w:ascii="Times New Roman" w:hAnsi="Times New Roman"/>
                <w:sz w:val="24"/>
                <w:szCs w:val="24"/>
              </w:rPr>
              <w:t>2026-0</w:t>
            </w:r>
            <w:r w:rsidR="001F7AB4" w:rsidRPr="00DE46B3">
              <w:rPr>
                <w:rFonts w:ascii="Times New Roman" w:hAnsi="Times New Roman"/>
                <w:sz w:val="24"/>
                <w:szCs w:val="24"/>
              </w:rPr>
              <w:t>2</w:t>
            </w:r>
            <w:r w:rsidRPr="00DE46B3">
              <w:rPr>
                <w:rFonts w:ascii="Times New Roman" w:hAnsi="Times New Roman"/>
                <w:sz w:val="24"/>
                <w:szCs w:val="24"/>
              </w:rPr>
              <w:t>-</w:t>
            </w:r>
            <w:r w:rsidR="001F7AB4" w:rsidRPr="00DE46B3">
              <w:rPr>
                <w:rFonts w:ascii="Times New Roman" w:hAnsi="Times New Roman"/>
                <w:sz w:val="24"/>
                <w:szCs w:val="24"/>
              </w:rPr>
              <w:t>17</w:t>
            </w:r>
          </w:p>
        </w:tc>
        <w:tc>
          <w:tcPr>
            <w:tcW w:w="5755" w:type="dxa"/>
            <w:tcMar>
              <w:top w:w="29" w:type="dxa"/>
              <w:left w:w="115" w:type="dxa"/>
              <w:bottom w:w="29" w:type="dxa"/>
              <w:right w:w="115" w:type="dxa"/>
            </w:tcMar>
          </w:tcPr>
          <w:p w14:paraId="6F0D4985" w14:textId="328ACB8D" w:rsidR="006435BA" w:rsidRPr="00DE46B3" w:rsidRDefault="007F4D8A"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2025 metais Suomijos tarptautinis turizmas pasižymėjo itin sparčiu augimu, gerokai lenkiančiu Europos vidurkį.</w:t>
            </w:r>
            <w:r w:rsidRPr="00DE46B3">
              <w:rPr>
                <w:rFonts w:ascii="Times New Roman" w:hAnsi="Times New Roman"/>
                <w:sz w:val="24"/>
                <w:szCs w:val="24"/>
              </w:rPr>
              <w:t xml:space="preserve"> Užsienio turistų nakvynių skaičius apgyvendinimo įstaigose pasiekė visų laikų rekordą – 7,2 milijono. Toks rezultatas reiškia, kad užsienio lankytojų nakvynių skaičius Suomijoje išaugo 12 %. Palyginimui, bendras Šiaurės šalių regiono augimas siekė 11 %, o visos Europos mastu šis rodiklis tebuvo 3 %. Šie duomenys patvirtina, kad Suomija tampa vis patrauklesne kryptimi tarptautinėje turizmo rinkoje, sėkmingai konkuruojančia su kaimyninėmis šalimis ir rodančia stiprų atsigavimo bei plėtros potencialą.</w:t>
            </w:r>
          </w:p>
        </w:tc>
        <w:tc>
          <w:tcPr>
            <w:tcW w:w="2127" w:type="dxa"/>
            <w:tcMar>
              <w:top w:w="29" w:type="dxa"/>
              <w:left w:w="115" w:type="dxa"/>
              <w:bottom w:w="29" w:type="dxa"/>
              <w:right w:w="115" w:type="dxa"/>
            </w:tcMar>
          </w:tcPr>
          <w:p w14:paraId="6BCA667B" w14:textId="64A3DB36" w:rsidR="006435BA" w:rsidRPr="00DE46B3" w:rsidRDefault="001F7AB4" w:rsidP="000C0908">
            <w:pPr>
              <w:spacing w:after="0" w:line="240" w:lineRule="auto"/>
              <w:jc w:val="both"/>
              <w:rPr>
                <w:rFonts w:ascii="Times New Roman" w:hAnsi="Times New Roman"/>
                <w:sz w:val="24"/>
                <w:szCs w:val="24"/>
              </w:rPr>
            </w:pPr>
            <w:hyperlink r:id="rId31" w:history="1">
              <w:r w:rsidRPr="00DE46B3">
                <w:rPr>
                  <w:rStyle w:val="Hyperlink"/>
                  <w:rFonts w:ascii="Times New Roman" w:hAnsi="Times New Roman"/>
                  <w:color w:val="auto"/>
                  <w:sz w:val="24"/>
                  <w:szCs w:val="24"/>
                </w:rPr>
                <w:t>https://yle.fi/a/74-20210700</w:t>
              </w:r>
            </w:hyperlink>
            <w:r w:rsidRPr="00DE46B3">
              <w:rPr>
                <w:rFonts w:ascii="Times New Roman" w:hAnsi="Times New Roman"/>
                <w:sz w:val="24"/>
                <w:szCs w:val="24"/>
              </w:rPr>
              <w:t xml:space="preserve"> </w:t>
            </w:r>
          </w:p>
        </w:tc>
      </w:tr>
      <w:tr w:rsidR="00DE46B3" w:rsidRPr="00DE46B3" w14:paraId="6BF1ED47" w14:textId="77777777" w:rsidTr="00334608">
        <w:trPr>
          <w:trHeight w:val="216"/>
        </w:trPr>
        <w:tc>
          <w:tcPr>
            <w:tcW w:w="1043" w:type="dxa"/>
            <w:tcMar>
              <w:top w:w="29" w:type="dxa"/>
              <w:left w:w="115" w:type="dxa"/>
              <w:bottom w:w="29" w:type="dxa"/>
              <w:right w:w="115" w:type="dxa"/>
            </w:tcMar>
          </w:tcPr>
          <w:p w14:paraId="3F026AB7" w14:textId="1769F7A7" w:rsidR="002557A1" w:rsidRPr="00DE46B3" w:rsidRDefault="0056776E" w:rsidP="000C0908">
            <w:pPr>
              <w:spacing w:after="0" w:line="240" w:lineRule="auto"/>
              <w:jc w:val="both"/>
              <w:rPr>
                <w:rFonts w:ascii="Times New Roman" w:hAnsi="Times New Roman"/>
                <w:sz w:val="24"/>
                <w:szCs w:val="24"/>
              </w:rPr>
            </w:pPr>
            <w:r w:rsidRPr="00DE46B3">
              <w:rPr>
                <w:rFonts w:ascii="Times New Roman" w:hAnsi="Times New Roman"/>
                <w:sz w:val="24"/>
                <w:szCs w:val="24"/>
              </w:rPr>
              <w:t>2026-02-20</w:t>
            </w:r>
          </w:p>
        </w:tc>
        <w:tc>
          <w:tcPr>
            <w:tcW w:w="5755" w:type="dxa"/>
            <w:tcMar>
              <w:top w:w="29" w:type="dxa"/>
              <w:left w:w="115" w:type="dxa"/>
              <w:bottom w:w="29" w:type="dxa"/>
              <w:right w:w="115" w:type="dxa"/>
            </w:tcMar>
          </w:tcPr>
          <w:p w14:paraId="2E2E3020" w14:textId="77777777" w:rsidR="002557A1" w:rsidRPr="00DE46B3" w:rsidRDefault="00F3084D"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w:t>
            </w:r>
            <w:proofErr w:type="spellStart"/>
            <w:r w:rsidRPr="00DE46B3">
              <w:rPr>
                <w:rFonts w:ascii="Times New Roman" w:hAnsi="Times New Roman"/>
                <w:b/>
                <w:bCs/>
                <w:sz w:val="24"/>
                <w:szCs w:val="24"/>
              </w:rPr>
              <w:t>Statistics</w:t>
            </w:r>
            <w:proofErr w:type="spellEnd"/>
            <w:r w:rsidRPr="00DE46B3">
              <w:rPr>
                <w:rFonts w:ascii="Times New Roman" w:hAnsi="Times New Roman"/>
                <w:b/>
                <w:bCs/>
                <w:sz w:val="24"/>
                <w:szCs w:val="24"/>
              </w:rPr>
              <w:t xml:space="preserve"> </w:t>
            </w:r>
            <w:proofErr w:type="spellStart"/>
            <w:r w:rsidRPr="00DE46B3">
              <w:rPr>
                <w:rFonts w:ascii="Times New Roman" w:hAnsi="Times New Roman"/>
                <w:b/>
                <w:bCs/>
                <w:sz w:val="24"/>
                <w:szCs w:val="24"/>
              </w:rPr>
              <w:t>Finland</w:t>
            </w:r>
            <w:proofErr w:type="spellEnd"/>
            <w:r w:rsidRPr="00DE46B3">
              <w:rPr>
                <w:rFonts w:ascii="Times New Roman" w:hAnsi="Times New Roman"/>
                <w:b/>
                <w:bCs/>
                <w:sz w:val="24"/>
                <w:szCs w:val="24"/>
              </w:rPr>
              <w:t xml:space="preserve">“ duomenimis, </w:t>
            </w:r>
            <w:r w:rsidR="00BF21D6" w:rsidRPr="00DE46B3">
              <w:rPr>
                <w:rFonts w:ascii="Times New Roman" w:hAnsi="Times New Roman"/>
                <w:b/>
                <w:bCs/>
                <w:sz w:val="24"/>
                <w:szCs w:val="24"/>
              </w:rPr>
              <w:t>2025</w:t>
            </w:r>
            <w:r w:rsidRPr="00DE46B3">
              <w:rPr>
                <w:rFonts w:ascii="Times New Roman" w:hAnsi="Times New Roman"/>
                <w:b/>
                <w:bCs/>
                <w:sz w:val="24"/>
                <w:szCs w:val="24"/>
              </w:rPr>
              <w:t xml:space="preserve"> metais laisvų darbo vietų skaičius sparčiai mažėjo. </w:t>
            </w:r>
            <w:r w:rsidRPr="00DE46B3">
              <w:rPr>
                <w:rFonts w:ascii="Times New Roman" w:hAnsi="Times New Roman"/>
                <w:sz w:val="24"/>
                <w:szCs w:val="24"/>
              </w:rPr>
              <w:t xml:space="preserve">2025 m. vidutiniškai buvo 34 100 laisvų darbo vietų – tai 22 % mažiau nei 2024-aisiais. Paskutinį metų ketvirtį jų skaičius nukrito iki maždaug 22 700, o tai yra 31 % mažiau nei tuo pačiu laikotarpiu prieš metus ir žemiausias lygis nuo 2016 metų. </w:t>
            </w:r>
            <w:r w:rsidR="00BF21D6" w:rsidRPr="00DE46B3">
              <w:rPr>
                <w:rFonts w:ascii="Times New Roman" w:hAnsi="Times New Roman"/>
                <w:sz w:val="24"/>
                <w:szCs w:val="24"/>
              </w:rPr>
              <w:t>Pažymima</w:t>
            </w:r>
            <w:r w:rsidRPr="00DE46B3">
              <w:rPr>
                <w:rFonts w:ascii="Times New Roman" w:hAnsi="Times New Roman"/>
                <w:sz w:val="24"/>
                <w:szCs w:val="24"/>
              </w:rPr>
              <w:t xml:space="preserve">, kad, lyginant su 2022 m., laisvų darbo vietų skaičius sumažėjo perpus. Labiausiai </w:t>
            </w:r>
            <w:r w:rsidR="00BF21D6" w:rsidRPr="00DE46B3">
              <w:rPr>
                <w:rFonts w:ascii="Times New Roman" w:hAnsi="Times New Roman"/>
                <w:sz w:val="24"/>
                <w:szCs w:val="24"/>
              </w:rPr>
              <w:t>mažėjo</w:t>
            </w:r>
            <w:r w:rsidRPr="00DE46B3">
              <w:rPr>
                <w:rFonts w:ascii="Times New Roman" w:hAnsi="Times New Roman"/>
                <w:sz w:val="24"/>
                <w:szCs w:val="24"/>
              </w:rPr>
              <w:t xml:space="preserve"> pasiūlymų dirbti ne visą darbo dieną – jų skaičius sumenko perpus, tuo tarpu laikinų darbo pozicijų dalis išaugo ir sudarė 43 % visų skelbimų. Regioniniu mastu didžiausias nuosmukis užfiksuotas Vakarų Suomijoje (34 %), o Helsinkio </w:t>
            </w:r>
            <w:r w:rsidR="00CE2661" w:rsidRPr="00DE46B3">
              <w:rPr>
                <w:rFonts w:ascii="Times New Roman" w:hAnsi="Times New Roman"/>
                <w:sz w:val="24"/>
                <w:szCs w:val="24"/>
              </w:rPr>
              <w:t>zonoje</w:t>
            </w:r>
            <w:r w:rsidRPr="00DE46B3">
              <w:rPr>
                <w:rFonts w:ascii="Times New Roman" w:hAnsi="Times New Roman"/>
                <w:sz w:val="24"/>
                <w:szCs w:val="24"/>
              </w:rPr>
              <w:t xml:space="preserve"> sumažėjimas buvo nuosaikesnis ir siekė 17 %. Vertinant pagal sektorius, labiausiai nukentėjo statybų pramonė, kur laisvų darbo vietų per metus sumažėjo 47 %, o lyginant su 2022 m. lygiu – liko mažiau nei trečdalis. 2026 m. sausio mėnesio „</w:t>
            </w:r>
            <w:proofErr w:type="spellStart"/>
            <w:r w:rsidRPr="00DE46B3">
              <w:rPr>
                <w:rFonts w:ascii="Times New Roman" w:hAnsi="Times New Roman"/>
                <w:sz w:val="24"/>
                <w:szCs w:val="24"/>
              </w:rPr>
              <w:t>Eurostat</w:t>
            </w:r>
            <w:proofErr w:type="spellEnd"/>
            <w:r w:rsidRPr="00DE46B3">
              <w:rPr>
                <w:rFonts w:ascii="Times New Roman" w:hAnsi="Times New Roman"/>
                <w:sz w:val="24"/>
                <w:szCs w:val="24"/>
              </w:rPr>
              <w:t xml:space="preserve">“ duomenys rodo, kad 2025 m. lapkritį Suomijoje buvo fiksuotas prasčiausias nedarbo lygis visoje </w:t>
            </w:r>
            <w:r w:rsidR="00CE2661" w:rsidRPr="00DE46B3">
              <w:rPr>
                <w:rFonts w:ascii="Times New Roman" w:hAnsi="Times New Roman"/>
                <w:sz w:val="24"/>
                <w:szCs w:val="24"/>
              </w:rPr>
              <w:t>ES</w:t>
            </w:r>
            <w:r w:rsidRPr="00DE46B3">
              <w:rPr>
                <w:rFonts w:ascii="Times New Roman" w:hAnsi="Times New Roman"/>
                <w:sz w:val="24"/>
                <w:szCs w:val="24"/>
              </w:rPr>
              <w:t>.</w:t>
            </w:r>
          </w:p>
          <w:p w14:paraId="3846A419" w14:textId="77777777" w:rsidR="00FB0B1B" w:rsidRPr="00DE46B3" w:rsidRDefault="00FB0B1B" w:rsidP="000C0908">
            <w:pPr>
              <w:spacing w:after="0" w:line="240" w:lineRule="auto"/>
              <w:jc w:val="both"/>
              <w:rPr>
                <w:rFonts w:ascii="Times New Roman" w:hAnsi="Times New Roman"/>
                <w:sz w:val="24"/>
                <w:szCs w:val="24"/>
              </w:rPr>
            </w:pPr>
          </w:p>
          <w:p w14:paraId="5AC4B67C" w14:textId="31FE38CE" w:rsidR="00FB0B1B" w:rsidRPr="00DE46B3" w:rsidRDefault="00FB0B1B"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 xml:space="preserve">Pastaraisiais metais </w:t>
            </w:r>
            <w:r w:rsidR="00BE46C6" w:rsidRPr="00DE46B3">
              <w:rPr>
                <w:rFonts w:ascii="Times New Roman" w:hAnsi="Times New Roman"/>
                <w:b/>
                <w:bCs/>
                <w:sz w:val="24"/>
                <w:szCs w:val="24"/>
              </w:rPr>
              <w:t>užsieniečių Suomijoje</w:t>
            </w:r>
            <w:r w:rsidRPr="00DE46B3">
              <w:rPr>
                <w:rFonts w:ascii="Times New Roman" w:hAnsi="Times New Roman"/>
                <w:b/>
                <w:bCs/>
                <w:sz w:val="24"/>
                <w:szCs w:val="24"/>
              </w:rPr>
              <w:t xml:space="preserve"> nedarb</w:t>
            </w:r>
            <w:r w:rsidR="00BE46C6" w:rsidRPr="00DE46B3">
              <w:rPr>
                <w:rFonts w:ascii="Times New Roman" w:hAnsi="Times New Roman"/>
                <w:b/>
                <w:bCs/>
                <w:sz w:val="24"/>
                <w:szCs w:val="24"/>
              </w:rPr>
              <w:t>o rodiklis</w:t>
            </w:r>
            <w:r w:rsidRPr="00DE46B3">
              <w:rPr>
                <w:rFonts w:ascii="Times New Roman" w:hAnsi="Times New Roman"/>
                <w:b/>
                <w:bCs/>
                <w:sz w:val="24"/>
                <w:szCs w:val="24"/>
              </w:rPr>
              <w:t xml:space="preserve"> sparčiai augo: 2025 m. pabaigoje jis pasiekė 20 %, kai 2020 m. pradžioje sudarė apie 10 %.</w:t>
            </w:r>
            <w:r w:rsidRPr="00DE46B3">
              <w:rPr>
                <w:rFonts w:ascii="Times New Roman" w:hAnsi="Times New Roman"/>
                <w:sz w:val="24"/>
                <w:szCs w:val="24"/>
              </w:rPr>
              <w:t xml:space="preserve"> Nuosmukis statybų ir kituose cikliniuose sektoriuose ypač skaudžiai palietė imigrantus, o laikinąją apsaugą turinčių asmenų, ypač ukrainiečių, užimtumo lygis išlieka itin žemas ir siekia apie 30 %. Nepaisant to, užsienio darbuotojai buvo pagrindinis užimtumo augimo variklis Suomijoje. Ekonomikos ir užimtumo ministerija pabrėžia, kad užsieniečių nedarbo didėjimas yra susijęs su silpnomis ekonominėmis sąlygomis ir išsiplėtusiu darbo jėgos aktyvumu, įskaitant vyresnio amžiaus suomius. Politiniai pokyčiai, tokie kaip griežtesni darbo paieškos įsipareigojimai ir sumažintos pašalpos, taip pat paskatino daugiau žmonių registruotis bedarbiais, o tai padidino </w:t>
            </w:r>
            <w:r w:rsidRPr="00DE46B3">
              <w:rPr>
                <w:rFonts w:ascii="Times New Roman" w:hAnsi="Times New Roman"/>
                <w:sz w:val="24"/>
                <w:szCs w:val="24"/>
              </w:rPr>
              <w:lastRenderedPageBreak/>
              <w:t>oficialius rodiklius. Analitikai pabrėžia, kad nors užsieniečių nedarbo situacija pablogėjo, bendras Suomijos užimtumo lygis išlieka aukštesnis nei prieš pandemiją, todėl padėtis vertinama kaip rimta, bet ne katastrofiška.</w:t>
            </w:r>
          </w:p>
        </w:tc>
        <w:tc>
          <w:tcPr>
            <w:tcW w:w="2127" w:type="dxa"/>
            <w:tcMar>
              <w:top w:w="29" w:type="dxa"/>
              <w:left w:w="115" w:type="dxa"/>
              <w:bottom w:w="29" w:type="dxa"/>
              <w:right w:w="115" w:type="dxa"/>
            </w:tcMar>
          </w:tcPr>
          <w:p w14:paraId="7542DE4A" w14:textId="77777777" w:rsidR="002557A1" w:rsidRPr="00DE46B3" w:rsidRDefault="0056776E" w:rsidP="000C0908">
            <w:pPr>
              <w:spacing w:after="0" w:line="240" w:lineRule="auto"/>
              <w:jc w:val="both"/>
              <w:rPr>
                <w:rFonts w:ascii="Times New Roman" w:hAnsi="Times New Roman"/>
                <w:sz w:val="24"/>
                <w:szCs w:val="24"/>
              </w:rPr>
            </w:pPr>
            <w:hyperlink r:id="rId32" w:history="1">
              <w:r w:rsidRPr="00DE46B3">
                <w:rPr>
                  <w:rStyle w:val="Hyperlink"/>
                  <w:rFonts w:ascii="Times New Roman" w:hAnsi="Times New Roman"/>
                  <w:color w:val="auto"/>
                  <w:sz w:val="24"/>
                  <w:szCs w:val="24"/>
                </w:rPr>
                <w:t>https://stat.fi/en/publication/cmfxzdjlzg81107w3lfffd0o5</w:t>
              </w:r>
            </w:hyperlink>
            <w:r w:rsidRPr="00DE46B3">
              <w:rPr>
                <w:rFonts w:ascii="Times New Roman" w:hAnsi="Times New Roman"/>
                <w:sz w:val="24"/>
                <w:szCs w:val="24"/>
              </w:rPr>
              <w:t xml:space="preserve"> </w:t>
            </w:r>
          </w:p>
          <w:p w14:paraId="1747AAAD" w14:textId="77777777" w:rsidR="00DD5049" w:rsidRPr="00DE46B3" w:rsidRDefault="00DD5049" w:rsidP="000C0908">
            <w:pPr>
              <w:spacing w:after="0" w:line="240" w:lineRule="auto"/>
              <w:jc w:val="both"/>
              <w:rPr>
                <w:rFonts w:ascii="Times New Roman" w:hAnsi="Times New Roman"/>
                <w:sz w:val="24"/>
                <w:szCs w:val="24"/>
              </w:rPr>
            </w:pPr>
          </w:p>
          <w:p w14:paraId="4799A23E" w14:textId="74064C7A" w:rsidR="00DD5049" w:rsidRPr="00DE46B3" w:rsidRDefault="00DD5049" w:rsidP="000C0908">
            <w:pPr>
              <w:spacing w:after="0" w:line="240" w:lineRule="auto"/>
              <w:jc w:val="both"/>
              <w:rPr>
                <w:rFonts w:ascii="Times New Roman" w:hAnsi="Times New Roman"/>
                <w:sz w:val="24"/>
                <w:szCs w:val="24"/>
              </w:rPr>
            </w:pPr>
            <w:hyperlink r:id="rId33" w:history="1">
              <w:r w:rsidRPr="00DE46B3">
                <w:rPr>
                  <w:rStyle w:val="Hyperlink"/>
                  <w:rFonts w:ascii="Times New Roman" w:hAnsi="Times New Roman"/>
                  <w:color w:val="auto"/>
                  <w:sz w:val="24"/>
                  <w:szCs w:val="24"/>
                </w:rPr>
                <w:t>https://www.hs.fi/politiikka/art-2000011829376.html</w:t>
              </w:r>
            </w:hyperlink>
            <w:r w:rsidRPr="00DE46B3">
              <w:rPr>
                <w:rFonts w:ascii="Times New Roman" w:hAnsi="Times New Roman"/>
                <w:sz w:val="24"/>
                <w:szCs w:val="24"/>
              </w:rPr>
              <w:t xml:space="preserve"> </w:t>
            </w:r>
          </w:p>
        </w:tc>
      </w:tr>
      <w:tr w:rsidR="00DE46B3" w:rsidRPr="00DE46B3" w14:paraId="22867180" w14:textId="77777777" w:rsidTr="00334608">
        <w:trPr>
          <w:trHeight w:val="216"/>
        </w:trPr>
        <w:tc>
          <w:tcPr>
            <w:tcW w:w="1043" w:type="dxa"/>
            <w:tcMar>
              <w:top w:w="29" w:type="dxa"/>
              <w:left w:w="115" w:type="dxa"/>
              <w:bottom w:w="29" w:type="dxa"/>
              <w:right w:w="115" w:type="dxa"/>
            </w:tcMar>
          </w:tcPr>
          <w:p w14:paraId="13EDC605" w14:textId="3F48C4B3" w:rsidR="00BF5684" w:rsidRPr="00DE46B3" w:rsidRDefault="00D05826" w:rsidP="000C0908">
            <w:pPr>
              <w:spacing w:after="0" w:line="240" w:lineRule="auto"/>
              <w:jc w:val="both"/>
              <w:rPr>
                <w:rFonts w:ascii="Times New Roman" w:hAnsi="Times New Roman"/>
                <w:sz w:val="24"/>
                <w:szCs w:val="24"/>
              </w:rPr>
            </w:pPr>
            <w:r w:rsidRPr="00DE46B3">
              <w:rPr>
                <w:rFonts w:ascii="Times New Roman" w:hAnsi="Times New Roman"/>
                <w:sz w:val="24"/>
                <w:szCs w:val="24"/>
              </w:rPr>
              <w:t>2026-02-24</w:t>
            </w:r>
          </w:p>
        </w:tc>
        <w:tc>
          <w:tcPr>
            <w:tcW w:w="5755" w:type="dxa"/>
            <w:tcMar>
              <w:top w:w="29" w:type="dxa"/>
              <w:left w:w="115" w:type="dxa"/>
              <w:bottom w:w="29" w:type="dxa"/>
              <w:right w:w="115" w:type="dxa"/>
            </w:tcMar>
          </w:tcPr>
          <w:p w14:paraId="23D26437" w14:textId="3B2AA37E" w:rsidR="00BF5684" w:rsidRPr="00DE46B3" w:rsidRDefault="00BF5684" w:rsidP="000C0908">
            <w:pPr>
              <w:spacing w:after="0" w:line="240" w:lineRule="auto"/>
              <w:jc w:val="both"/>
              <w:rPr>
                <w:rFonts w:ascii="Times New Roman" w:hAnsi="Times New Roman"/>
                <w:sz w:val="24"/>
                <w:szCs w:val="24"/>
              </w:rPr>
            </w:pPr>
            <w:r w:rsidRPr="00DE46B3">
              <w:rPr>
                <w:rFonts w:ascii="Times New Roman" w:hAnsi="Times New Roman"/>
                <w:b/>
                <w:bCs/>
                <w:sz w:val="24"/>
                <w:szCs w:val="24"/>
              </w:rPr>
              <w:t>Helsinkio-Vantos oro uostas septintą kartą buvo išrinktas geriausiu Europos oro uostu savo kategorijoje pagal klientų patirtį.</w:t>
            </w:r>
            <w:r w:rsidRPr="00DE46B3">
              <w:rPr>
                <w:rFonts w:ascii="Times New Roman" w:hAnsi="Times New Roman"/>
                <w:sz w:val="24"/>
                <w:szCs w:val="24"/>
              </w:rPr>
              <w:t xml:space="preserve"> Šis Tarptautinės oro uostų tarybos (ACI) suteiktas apdovanojimas, pagrįstas „</w:t>
            </w:r>
            <w:proofErr w:type="spellStart"/>
            <w:r w:rsidRPr="00DE46B3">
              <w:rPr>
                <w:rFonts w:ascii="Times New Roman" w:hAnsi="Times New Roman"/>
                <w:sz w:val="24"/>
                <w:szCs w:val="24"/>
              </w:rPr>
              <w:t>Airport</w:t>
            </w:r>
            <w:proofErr w:type="spellEnd"/>
            <w:r w:rsidRPr="00DE46B3">
              <w:rPr>
                <w:rFonts w:ascii="Times New Roman" w:hAnsi="Times New Roman"/>
                <w:sz w:val="24"/>
                <w:szCs w:val="24"/>
              </w:rPr>
              <w:t xml:space="preserve"> Service </w:t>
            </w:r>
            <w:proofErr w:type="spellStart"/>
            <w:r w:rsidRPr="00DE46B3">
              <w:rPr>
                <w:rFonts w:ascii="Times New Roman" w:hAnsi="Times New Roman"/>
                <w:sz w:val="24"/>
                <w:szCs w:val="24"/>
              </w:rPr>
              <w:t>Quality</w:t>
            </w:r>
            <w:proofErr w:type="spellEnd"/>
            <w:r w:rsidRPr="00DE46B3">
              <w:rPr>
                <w:rFonts w:ascii="Times New Roman" w:hAnsi="Times New Roman"/>
                <w:sz w:val="24"/>
                <w:szCs w:val="24"/>
              </w:rPr>
              <w:t xml:space="preserve">“ (ASQ) programa, remiasi keleivių vertinimais iš maždaug 400 oro uostų 95 šalyse. Helsinkio oro uostas konkuruoja 15–25 milijonų keleivių kategorijoje, o kasmetinėje apklausoje savo nuomonę pateikia apie 4 000 keleivių. Vasario pradžioje oro uosto direktorės pareigas pradėjusi eiti Laura </w:t>
            </w:r>
            <w:proofErr w:type="spellStart"/>
            <w:r w:rsidRPr="00DE46B3">
              <w:rPr>
                <w:rFonts w:ascii="Times New Roman" w:hAnsi="Times New Roman"/>
                <w:sz w:val="24"/>
                <w:szCs w:val="24"/>
              </w:rPr>
              <w:t>Inttilä</w:t>
            </w:r>
            <w:proofErr w:type="spellEnd"/>
            <w:r w:rsidRPr="00DE46B3">
              <w:rPr>
                <w:rFonts w:ascii="Times New Roman" w:hAnsi="Times New Roman"/>
                <w:sz w:val="24"/>
                <w:szCs w:val="24"/>
              </w:rPr>
              <w:t xml:space="preserve"> teigė, kad šis įvertinimas įrodo, jog tarptautiniame kontekste keleiviai oro uostą mato kaip efektyvų, malonų ir atitinkantį aukščiausius standartus.</w:t>
            </w:r>
          </w:p>
        </w:tc>
        <w:tc>
          <w:tcPr>
            <w:tcW w:w="2127" w:type="dxa"/>
            <w:tcMar>
              <w:top w:w="29" w:type="dxa"/>
              <w:left w:w="115" w:type="dxa"/>
              <w:bottom w:w="29" w:type="dxa"/>
              <w:right w:w="115" w:type="dxa"/>
            </w:tcMar>
          </w:tcPr>
          <w:p w14:paraId="595B66DF" w14:textId="0877D275" w:rsidR="00BF5684" w:rsidRPr="00DE46B3" w:rsidRDefault="00D05826" w:rsidP="000C0908">
            <w:pPr>
              <w:spacing w:after="0" w:line="240" w:lineRule="auto"/>
              <w:jc w:val="both"/>
              <w:rPr>
                <w:rFonts w:ascii="Times New Roman" w:hAnsi="Times New Roman"/>
                <w:sz w:val="24"/>
                <w:szCs w:val="24"/>
              </w:rPr>
            </w:pPr>
            <w:hyperlink r:id="rId34" w:history="1">
              <w:r w:rsidRPr="00DE46B3">
                <w:rPr>
                  <w:rStyle w:val="Hyperlink"/>
                  <w:rFonts w:ascii="Times New Roman" w:hAnsi="Times New Roman"/>
                  <w:color w:val="auto"/>
                  <w:sz w:val="24"/>
                  <w:szCs w:val="24"/>
                </w:rPr>
                <w:t>https://www.is.fi/taloussanomat/art-2000011840098.html</w:t>
              </w:r>
            </w:hyperlink>
            <w:r w:rsidRPr="00DE46B3">
              <w:rPr>
                <w:rFonts w:ascii="Times New Roman" w:hAnsi="Times New Roman"/>
                <w:sz w:val="24"/>
                <w:szCs w:val="24"/>
              </w:rPr>
              <w:t xml:space="preserve"> </w:t>
            </w:r>
          </w:p>
        </w:tc>
      </w:tr>
    </w:tbl>
    <w:p w14:paraId="6F8266A1" w14:textId="77777777" w:rsidR="004466AC" w:rsidRPr="00DE46B3" w:rsidRDefault="004466AC" w:rsidP="000C0908">
      <w:pPr>
        <w:spacing w:after="0" w:line="240" w:lineRule="auto"/>
        <w:jc w:val="both"/>
        <w:rPr>
          <w:rFonts w:ascii="Times New Roman" w:hAnsi="Times New Roman"/>
          <w:sz w:val="24"/>
          <w:szCs w:val="24"/>
        </w:rPr>
      </w:pPr>
    </w:p>
    <w:p w14:paraId="78A8343C" w14:textId="5E0DD06D" w:rsidR="004466AC" w:rsidRPr="00DE46B3" w:rsidRDefault="004466AC" w:rsidP="000C0908">
      <w:pPr>
        <w:spacing w:after="0" w:line="240" w:lineRule="auto"/>
        <w:jc w:val="both"/>
        <w:rPr>
          <w:rFonts w:ascii="Times New Roman" w:hAnsi="Times New Roman"/>
          <w:sz w:val="24"/>
          <w:szCs w:val="24"/>
        </w:rPr>
      </w:pPr>
      <w:r w:rsidRPr="00DE46B3">
        <w:rPr>
          <w:rFonts w:ascii="Times New Roman" w:hAnsi="Times New Roman"/>
          <w:sz w:val="24"/>
          <w:szCs w:val="24"/>
        </w:rPr>
        <w:t>Rengėjas:</w:t>
      </w:r>
    </w:p>
    <w:p w14:paraId="2C41EA51" w14:textId="77777777" w:rsidR="00BF5B96" w:rsidRPr="00DE46B3" w:rsidRDefault="005901D8" w:rsidP="000C0908">
      <w:pPr>
        <w:spacing w:after="0" w:line="240" w:lineRule="auto"/>
        <w:jc w:val="both"/>
        <w:rPr>
          <w:rFonts w:ascii="Times New Roman" w:hAnsi="Times New Roman"/>
          <w:sz w:val="24"/>
          <w:szCs w:val="24"/>
          <w:lang w:val="de-DE"/>
        </w:rPr>
      </w:pPr>
      <w:r w:rsidRPr="00DE46B3">
        <w:rPr>
          <w:rFonts w:ascii="Times New Roman" w:hAnsi="Times New Roman"/>
          <w:sz w:val="24"/>
          <w:szCs w:val="24"/>
        </w:rPr>
        <w:t xml:space="preserve">LR ambasados Suomijoje trečiasis sekretorius Žymantas Mozūraitis, </w:t>
      </w:r>
      <w:r w:rsidR="00BF5B96" w:rsidRPr="00DE46B3">
        <w:rPr>
          <w:rFonts w:ascii="Times New Roman" w:hAnsi="Times New Roman"/>
          <w:sz w:val="24"/>
          <w:szCs w:val="24"/>
          <w:lang w:val="de-DE"/>
        </w:rPr>
        <w:t>+358 408010195</w:t>
      </w:r>
    </w:p>
    <w:p w14:paraId="292F8DEC" w14:textId="4F8935B1" w:rsidR="00B2549A" w:rsidRPr="00DE46B3" w:rsidRDefault="005901D8" w:rsidP="000C0908">
      <w:pPr>
        <w:spacing w:after="0" w:line="240" w:lineRule="auto"/>
        <w:jc w:val="both"/>
        <w:rPr>
          <w:rFonts w:ascii="Times New Roman" w:hAnsi="Times New Roman"/>
          <w:sz w:val="24"/>
          <w:szCs w:val="24"/>
        </w:rPr>
      </w:pPr>
      <w:hyperlink r:id="rId35" w:history="1">
        <w:r w:rsidRPr="00DE46B3">
          <w:rPr>
            <w:rStyle w:val="Hyperlink"/>
            <w:rFonts w:ascii="Times New Roman" w:hAnsi="Times New Roman"/>
            <w:color w:val="auto"/>
            <w:sz w:val="24"/>
            <w:szCs w:val="24"/>
          </w:rPr>
          <w:t>zymantas.mozuraitis@urm.lt</w:t>
        </w:r>
      </w:hyperlink>
      <w:r w:rsidRPr="00DE46B3">
        <w:rPr>
          <w:rFonts w:ascii="Times New Roman" w:hAnsi="Times New Roman"/>
          <w:sz w:val="24"/>
          <w:szCs w:val="24"/>
        </w:rPr>
        <w:t>        </w:t>
      </w:r>
    </w:p>
    <w:sectPr w:rsidR="00B2549A" w:rsidRPr="00DE46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5815"/>
    <w:rsid w:val="000061CD"/>
    <w:rsid w:val="00007966"/>
    <w:rsid w:val="000124A4"/>
    <w:rsid w:val="00012547"/>
    <w:rsid w:val="000131B6"/>
    <w:rsid w:val="00023AB7"/>
    <w:rsid w:val="0002546A"/>
    <w:rsid w:val="000303C5"/>
    <w:rsid w:val="000304EC"/>
    <w:rsid w:val="00031188"/>
    <w:rsid w:val="00032D4D"/>
    <w:rsid w:val="00033D0D"/>
    <w:rsid w:val="00034EAE"/>
    <w:rsid w:val="000352EB"/>
    <w:rsid w:val="00035DA2"/>
    <w:rsid w:val="00036350"/>
    <w:rsid w:val="00040729"/>
    <w:rsid w:val="00040A92"/>
    <w:rsid w:val="00041870"/>
    <w:rsid w:val="00044912"/>
    <w:rsid w:val="00044C24"/>
    <w:rsid w:val="00046914"/>
    <w:rsid w:val="0004797D"/>
    <w:rsid w:val="00047FDF"/>
    <w:rsid w:val="000508CB"/>
    <w:rsid w:val="00051675"/>
    <w:rsid w:val="000534EC"/>
    <w:rsid w:val="00056534"/>
    <w:rsid w:val="00056A37"/>
    <w:rsid w:val="00056F92"/>
    <w:rsid w:val="000618BD"/>
    <w:rsid w:val="00073497"/>
    <w:rsid w:val="000747CD"/>
    <w:rsid w:val="00086D29"/>
    <w:rsid w:val="00092013"/>
    <w:rsid w:val="0009214C"/>
    <w:rsid w:val="00092B7E"/>
    <w:rsid w:val="00093E8B"/>
    <w:rsid w:val="000A3BE4"/>
    <w:rsid w:val="000A44F4"/>
    <w:rsid w:val="000A4C49"/>
    <w:rsid w:val="000A5503"/>
    <w:rsid w:val="000A5664"/>
    <w:rsid w:val="000A653C"/>
    <w:rsid w:val="000B1B94"/>
    <w:rsid w:val="000B4F13"/>
    <w:rsid w:val="000B57CE"/>
    <w:rsid w:val="000B68C6"/>
    <w:rsid w:val="000C0908"/>
    <w:rsid w:val="000C54B9"/>
    <w:rsid w:val="000C665E"/>
    <w:rsid w:val="000D299E"/>
    <w:rsid w:val="000D2FB4"/>
    <w:rsid w:val="000D336C"/>
    <w:rsid w:val="000E1B67"/>
    <w:rsid w:val="000E271C"/>
    <w:rsid w:val="000E5CA6"/>
    <w:rsid w:val="000F310F"/>
    <w:rsid w:val="000F48DA"/>
    <w:rsid w:val="000F5ED0"/>
    <w:rsid w:val="00105105"/>
    <w:rsid w:val="00105247"/>
    <w:rsid w:val="0010770B"/>
    <w:rsid w:val="001225B0"/>
    <w:rsid w:val="0012333B"/>
    <w:rsid w:val="00126B9C"/>
    <w:rsid w:val="001301A2"/>
    <w:rsid w:val="00130B52"/>
    <w:rsid w:val="001315C9"/>
    <w:rsid w:val="00133C94"/>
    <w:rsid w:val="00141979"/>
    <w:rsid w:val="00143BE5"/>
    <w:rsid w:val="00144EF8"/>
    <w:rsid w:val="00144F0D"/>
    <w:rsid w:val="0014505C"/>
    <w:rsid w:val="00145C20"/>
    <w:rsid w:val="001509CB"/>
    <w:rsid w:val="001522CB"/>
    <w:rsid w:val="00155254"/>
    <w:rsid w:val="0015619E"/>
    <w:rsid w:val="00163105"/>
    <w:rsid w:val="00166854"/>
    <w:rsid w:val="00167298"/>
    <w:rsid w:val="001700A7"/>
    <w:rsid w:val="00171993"/>
    <w:rsid w:val="00171F42"/>
    <w:rsid w:val="001745EB"/>
    <w:rsid w:val="0017538D"/>
    <w:rsid w:val="00182F55"/>
    <w:rsid w:val="00183D7B"/>
    <w:rsid w:val="00184D4E"/>
    <w:rsid w:val="00186824"/>
    <w:rsid w:val="00186DBD"/>
    <w:rsid w:val="001926D5"/>
    <w:rsid w:val="00193EBC"/>
    <w:rsid w:val="001956E5"/>
    <w:rsid w:val="001962DE"/>
    <w:rsid w:val="0019705D"/>
    <w:rsid w:val="001972A1"/>
    <w:rsid w:val="001972BC"/>
    <w:rsid w:val="001977DC"/>
    <w:rsid w:val="001A2A1E"/>
    <w:rsid w:val="001A2E9F"/>
    <w:rsid w:val="001A41E2"/>
    <w:rsid w:val="001A5FD3"/>
    <w:rsid w:val="001B1A8A"/>
    <w:rsid w:val="001B246D"/>
    <w:rsid w:val="001B4083"/>
    <w:rsid w:val="001C1080"/>
    <w:rsid w:val="001C16D6"/>
    <w:rsid w:val="001D287D"/>
    <w:rsid w:val="001D2FEE"/>
    <w:rsid w:val="001D3EA7"/>
    <w:rsid w:val="001D52A5"/>
    <w:rsid w:val="001D61A4"/>
    <w:rsid w:val="001E10F9"/>
    <w:rsid w:val="001E1534"/>
    <w:rsid w:val="001E227F"/>
    <w:rsid w:val="001E500D"/>
    <w:rsid w:val="001F74C6"/>
    <w:rsid w:val="001F7AB4"/>
    <w:rsid w:val="002054C2"/>
    <w:rsid w:val="00206FFE"/>
    <w:rsid w:val="0020716E"/>
    <w:rsid w:val="00212130"/>
    <w:rsid w:val="00213307"/>
    <w:rsid w:val="00214664"/>
    <w:rsid w:val="002151B6"/>
    <w:rsid w:val="00215548"/>
    <w:rsid w:val="002179D5"/>
    <w:rsid w:val="00222FE3"/>
    <w:rsid w:val="00226E49"/>
    <w:rsid w:val="00232510"/>
    <w:rsid w:val="00233A22"/>
    <w:rsid w:val="00235D65"/>
    <w:rsid w:val="002412F4"/>
    <w:rsid w:val="002413AC"/>
    <w:rsid w:val="00242C85"/>
    <w:rsid w:val="00245F6D"/>
    <w:rsid w:val="0025115D"/>
    <w:rsid w:val="00251187"/>
    <w:rsid w:val="002538CD"/>
    <w:rsid w:val="002557A1"/>
    <w:rsid w:val="002562F3"/>
    <w:rsid w:val="00257899"/>
    <w:rsid w:val="00265AA0"/>
    <w:rsid w:val="00266585"/>
    <w:rsid w:val="0027288E"/>
    <w:rsid w:val="002729CC"/>
    <w:rsid w:val="00274CDD"/>
    <w:rsid w:val="00276F47"/>
    <w:rsid w:val="00280BBC"/>
    <w:rsid w:val="00281ED8"/>
    <w:rsid w:val="002829E9"/>
    <w:rsid w:val="0028307D"/>
    <w:rsid w:val="00283D53"/>
    <w:rsid w:val="00283ED6"/>
    <w:rsid w:val="0028473E"/>
    <w:rsid w:val="00286A4C"/>
    <w:rsid w:val="002879DF"/>
    <w:rsid w:val="0029451A"/>
    <w:rsid w:val="002A7D4D"/>
    <w:rsid w:val="002B3980"/>
    <w:rsid w:val="002B3E64"/>
    <w:rsid w:val="002B7CC2"/>
    <w:rsid w:val="002C13E8"/>
    <w:rsid w:val="002C4D04"/>
    <w:rsid w:val="002C6DD4"/>
    <w:rsid w:val="002C7174"/>
    <w:rsid w:val="002C7381"/>
    <w:rsid w:val="002D1645"/>
    <w:rsid w:val="002D3C70"/>
    <w:rsid w:val="002D5B6F"/>
    <w:rsid w:val="002E1A06"/>
    <w:rsid w:val="002E396A"/>
    <w:rsid w:val="002E57A2"/>
    <w:rsid w:val="002E7285"/>
    <w:rsid w:val="002E7CD3"/>
    <w:rsid w:val="002F331E"/>
    <w:rsid w:val="002F6382"/>
    <w:rsid w:val="002F6748"/>
    <w:rsid w:val="002F69EC"/>
    <w:rsid w:val="002F748A"/>
    <w:rsid w:val="003002BF"/>
    <w:rsid w:val="00302194"/>
    <w:rsid w:val="0032225E"/>
    <w:rsid w:val="00324B71"/>
    <w:rsid w:val="00326BE5"/>
    <w:rsid w:val="00331445"/>
    <w:rsid w:val="00334608"/>
    <w:rsid w:val="00336C70"/>
    <w:rsid w:val="00337682"/>
    <w:rsid w:val="00343CD6"/>
    <w:rsid w:val="00344E82"/>
    <w:rsid w:val="00344F5E"/>
    <w:rsid w:val="00345A11"/>
    <w:rsid w:val="00347A48"/>
    <w:rsid w:val="00350B2E"/>
    <w:rsid w:val="003535A6"/>
    <w:rsid w:val="0035381F"/>
    <w:rsid w:val="003538AF"/>
    <w:rsid w:val="0035698C"/>
    <w:rsid w:val="00361F08"/>
    <w:rsid w:val="00362A15"/>
    <w:rsid w:val="00363641"/>
    <w:rsid w:val="00363ADC"/>
    <w:rsid w:val="00364222"/>
    <w:rsid w:val="0036449B"/>
    <w:rsid w:val="00364995"/>
    <w:rsid w:val="003707E2"/>
    <w:rsid w:val="00372C79"/>
    <w:rsid w:val="003753F3"/>
    <w:rsid w:val="003779C3"/>
    <w:rsid w:val="003848B9"/>
    <w:rsid w:val="00394006"/>
    <w:rsid w:val="0039436A"/>
    <w:rsid w:val="00396FAF"/>
    <w:rsid w:val="00397FDB"/>
    <w:rsid w:val="003A12F7"/>
    <w:rsid w:val="003A2204"/>
    <w:rsid w:val="003A3707"/>
    <w:rsid w:val="003B138A"/>
    <w:rsid w:val="003B22B1"/>
    <w:rsid w:val="003B27CB"/>
    <w:rsid w:val="003B299C"/>
    <w:rsid w:val="003B38CE"/>
    <w:rsid w:val="003B55D0"/>
    <w:rsid w:val="003B5C64"/>
    <w:rsid w:val="003B6F52"/>
    <w:rsid w:val="003C2781"/>
    <w:rsid w:val="003C31DD"/>
    <w:rsid w:val="003C31EF"/>
    <w:rsid w:val="003C60D7"/>
    <w:rsid w:val="003C7392"/>
    <w:rsid w:val="003D0CFE"/>
    <w:rsid w:val="003D104C"/>
    <w:rsid w:val="003D513B"/>
    <w:rsid w:val="003E2C9A"/>
    <w:rsid w:val="003E3122"/>
    <w:rsid w:val="003E346C"/>
    <w:rsid w:val="003E43BD"/>
    <w:rsid w:val="003E7EEB"/>
    <w:rsid w:val="003F024B"/>
    <w:rsid w:val="003F5415"/>
    <w:rsid w:val="003F5B80"/>
    <w:rsid w:val="00402BF5"/>
    <w:rsid w:val="0040464F"/>
    <w:rsid w:val="0040502E"/>
    <w:rsid w:val="00406748"/>
    <w:rsid w:val="00406FEE"/>
    <w:rsid w:val="0040702E"/>
    <w:rsid w:val="004070D8"/>
    <w:rsid w:val="0041021F"/>
    <w:rsid w:val="00412A07"/>
    <w:rsid w:val="00421114"/>
    <w:rsid w:val="00422768"/>
    <w:rsid w:val="00423D1D"/>
    <w:rsid w:val="00424E16"/>
    <w:rsid w:val="00427A5A"/>
    <w:rsid w:val="00430BB5"/>
    <w:rsid w:val="00431FAF"/>
    <w:rsid w:val="00432610"/>
    <w:rsid w:val="00437B76"/>
    <w:rsid w:val="00440293"/>
    <w:rsid w:val="00440BD2"/>
    <w:rsid w:val="00444C77"/>
    <w:rsid w:val="004461EE"/>
    <w:rsid w:val="004466AC"/>
    <w:rsid w:val="004467F1"/>
    <w:rsid w:val="004476F3"/>
    <w:rsid w:val="00455B86"/>
    <w:rsid w:val="00456D70"/>
    <w:rsid w:val="0046061F"/>
    <w:rsid w:val="00463FE7"/>
    <w:rsid w:val="00465291"/>
    <w:rsid w:val="00465840"/>
    <w:rsid w:val="00466378"/>
    <w:rsid w:val="00470C16"/>
    <w:rsid w:val="004739B3"/>
    <w:rsid w:val="004739DF"/>
    <w:rsid w:val="00476420"/>
    <w:rsid w:val="00481A8C"/>
    <w:rsid w:val="004941E6"/>
    <w:rsid w:val="004A297E"/>
    <w:rsid w:val="004A3B85"/>
    <w:rsid w:val="004A50A6"/>
    <w:rsid w:val="004A652C"/>
    <w:rsid w:val="004A7E12"/>
    <w:rsid w:val="004B6338"/>
    <w:rsid w:val="004C3477"/>
    <w:rsid w:val="004C7A4D"/>
    <w:rsid w:val="004D151C"/>
    <w:rsid w:val="004D3968"/>
    <w:rsid w:val="004D63A0"/>
    <w:rsid w:val="004D69E9"/>
    <w:rsid w:val="004D6EAA"/>
    <w:rsid w:val="004E15D7"/>
    <w:rsid w:val="004E2CB3"/>
    <w:rsid w:val="004E39B2"/>
    <w:rsid w:val="004E7708"/>
    <w:rsid w:val="004F16EF"/>
    <w:rsid w:val="004F56F3"/>
    <w:rsid w:val="004F6922"/>
    <w:rsid w:val="004F6B16"/>
    <w:rsid w:val="00501997"/>
    <w:rsid w:val="00501E56"/>
    <w:rsid w:val="00513B20"/>
    <w:rsid w:val="0051459C"/>
    <w:rsid w:val="00525D47"/>
    <w:rsid w:val="005272E6"/>
    <w:rsid w:val="0052791F"/>
    <w:rsid w:val="005309BA"/>
    <w:rsid w:val="00532587"/>
    <w:rsid w:val="0053274A"/>
    <w:rsid w:val="00533C3E"/>
    <w:rsid w:val="00536102"/>
    <w:rsid w:val="00536245"/>
    <w:rsid w:val="005410D0"/>
    <w:rsid w:val="00543113"/>
    <w:rsid w:val="00543115"/>
    <w:rsid w:val="00544406"/>
    <w:rsid w:val="00544DF9"/>
    <w:rsid w:val="00556788"/>
    <w:rsid w:val="005609B6"/>
    <w:rsid w:val="00565815"/>
    <w:rsid w:val="0056776E"/>
    <w:rsid w:val="00573C80"/>
    <w:rsid w:val="00574307"/>
    <w:rsid w:val="00574B66"/>
    <w:rsid w:val="00575564"/>
    <w:rsid w:val="00575BAD"/>
    <w:rsid w:val="0058055E"/>
    <w:rsid w:val="005824DD"/>
    <w:rsid w:val="005901D8"/>
    <w:rsid w:val="00591439"/>
    <w:rsid w:val="00595D1C"/>
    <w:rsid w:val="00597E0A"/>
    <w:rsid w:val="005A49E8"/>
    <w:rsid w:val="005B60FC"/>
    <w:rsid w:val="005B6B38"/>
    <w:rsid w:val="005C1458"/>
    <w:rsid w:val="005C1B12"/>
    <w:rsid w:val="005C2679"/>
    <w:rsid w:val="005C3441"/>
    <w:rsid w:val="005C436F"/>
    <w:rsid w:val="005C73CD"/>
    <w:rsid w:val="005D0534"/>
    <w:rsid w:val="005D3B1A"/>
    <w:rsid w:val="005D4E94"/>
    <w:rsid w:val="005D6273"/>
    <w:rsid w:val="005D7239"/>
    <w:rsid w:val="005E16BC"/>
    <w:rsid w:val="005E3153"/>
    <w:rsid w:val="005F0C9D"/>
    <w:rsid w:val="005F0D31"/>
    <w:rsid w:val="005F5D12"/>
    <w:rsid w:val="006019A7"/>
    <w:rsid w:val="006044EB"/>
    <w:rsid w:val="00606F1E"/>
    <w:rsid w:val="0060744E"/>
    <w:rsid w:val="00607C4B"/>
    <w:rsid w:val="0061113A"/>
    <w:rsid w:val="0061119D"/>
    <w:rsid w:val="00613208"/>
    <w:rsid w:val="00615192"/>
    <w:rsid w:val="006158C7"/>
    <w:rsid w:val="00615F28"/>
    <w:rsid w:val="0061651C"/>
    <w:rsid w:val="0062286C"/>
    <w:rsid w:val="00623311"/>
    <w:rsid w:val="006314E6"/>
    <w:rsid w:val="006355A4"/>
    <w:rsid w:val="00637D74"/>
    <w:rsid w:val="00640164"/>
    <w:rsid w:val="006420A6"/>
    <w:rsid w:val="006435BA"/>
    <w:rsid w:val="00646075"/>
    <w:rsid w:val="00653C15"/>
    <w:rsid w:val="006542C4"/>
    <w:rsid w:val="00654B34"/>
    <w:rsid w:val="0065544D"/>
    <w:rsid w:val="006561AF"/>
    <w:rsid w:val="00671FBC"/>
    <w:rsid w:val="0067213C"/>
    <w:rsid w:val="0067511A"/>
    <w:rsid w:val="00675F51"/>
    <w:rsid w:val="00680F2A"/>
    <w:rsid w:val="006851E5"/>
    <w:rsid w:val="006854B4"/>
    <w:rsid w:val="00687623"/>
    <w:rsid w:val="00691C26"/>
    <w:rsid w:val="00693BB1"/>
    <w:rsid w:val="00694247"/>
    <w:rsid w:val="006963E3"/>
    <w:rsid w:val="00696D45"/>
    <w:rsid w:val="00697C63"/>
    <w:rsid w:val="006A208D"/>
    <w:rsid w:val="006A2304"/>
    <w:rsid w:val="006A2605"/>
    <w:rsid w:val="006A3689"/>
    <w:rsid w:val="006A41E4"/>
    <w:rsid w:val="006A5EAB"/>
    <w:rsid w:val="006A6351"/>
    <w:rsid w:val="006A64C6"/>
    <w:rsid w:val="006A7BC6"/>
    <w:rsid w:val="006B0659"/>
    <w:rsid w:val="006B18B9"/>
    <w:rsid w:val="006B3497"/>
    <w:rsid w:val="006B372D"/>
    <w:rsid w:val="006B5CA2"/>
    <w:rsid w:val="006C031E"/>
    <w:rsid w:val="006C4847"/>
    <w:rsid w:val="006C7128"/>
    <w:rsid w:val="006D175A"/>
    <w:rsid w:val="006E47E5"/>
    <w:rsid w:val="006F3933"/>
    <w:rsid w:val="006F5975"/>
    <w:rsid w:val="006F6625"/>
    <w:rsid w:val="00704294"/>
    <w:rsid w:val="007072D9"/>
    <w:rsid w:val="0071311E"/>
    <w:rsid w:val="00714F4F"/>
    <w:rsid w:val="007154F7"/>
    <w:rsid w:val="00716DE5"/>
    <w:rsid w:val="0071796B"/>
    <w:rsid w:val="00720C0C"/>
    <w:rsid w:val="0072199A"/>
    <w:rsid w:val="00721C04"/>
    <w:rsid w:val="00723C58"/>
    <w:rsid w:val="0072490C"/>
    <w:rsid w:val="00730723"/>
    <w:rsid w:val="00742885"/>
    <w:rsid w:val="007440BF"/>
    <w:rsid w:val="007551F6"/>
    <w:rsid w:val="00755FED"/>
    <w:rsid w:val="00756B0B"/>
    <w:rsid w:val="00760920"/>
    <w:rsid w:val="0076721F"/>
    <w:rsid w:val="00772BFD"/>
    <w:rsid w:val="007767F2"/>
    <w:rsid w:val="00777658"/>
    <w:rsid w:val="00781705"/>
    <w:rsid w:val="00783A26"/>
    <w:rsid w:val="00786528"/>
    <w:rsid w:val="00791DE1"/>
    <w:rsid w:val="00792D77"/>
    <w:rsid w:val="00795C44"/>
    <w:rsid w:val="00797CB4"/>
    <w:rsid w:val="007A00E5"/>
    <w:rsid w:val="007A0CEA"/>
    <w:rsid w:val="007A3A57"/>
    <w:rsid w:val="007A736B"/>
    <w:rsid w:val="007B0783"/>
    <w:rsid w:val="007B2EE2"/>
    <w:rsid w:val="007B3D65"/>
    <w:rsid w:val="007B4B9B"/>
    <w:rsid w:val="007B5519"/>
    <w:rsid w:val="007B68B4"/>
    <w:rsid w:val="007C01A0"/>
    <w:rsid w:val="007C0900"/>
    <w:rsid w:val="007C7BA7"/>
    <w:rsid w:val="007E1501"/>
    <w:rsid w:val="007E2D7E"/>
    <w:rsid w:val="007E63DC"/>
    <w:rsid w:val="007E7F47"/>
    <w:rsid w:val="007F1E15"/>
    <w:rsid w:val="007F29FE"/>
    <w:rsid w:val="007F33A3"/>
    <w:rsid w:val="007F4D8A"/>
    <w:rsid w:val="007F5943"/>
    <w:rsid w:val="007F7AEA"/>
    <w:rsid w:val="008019F7"/>
    <w:rsid w:val="008022FC"/>
    <w:rsid w:val="00802AF7"/>
    <w:rsid w:val="00802B8E"/>
    <w:rsid w:val="0080555E"/>
    <w:rsid w:val="00805B0B"/>
    <w:rsid w:val="008069BC"/>
    <w:rsid w:val="00812BCE"/>
    <w:rsid w:val="00816192"/>
    <w:rsid w:val="00816AAF"/>
    <w:rsid w:val="00816CB6"/>
    <w:rsid w:val="008170FF"/>
    <w:rsid w:val="00820F91"/>
    <w:rsid w:val="00822329"/>
    <w:rsid w:val="008227CB"/>
    <w:rsid w:val="00822F66"/>
    <w:rsid w:val="00826A8B"/>
    <w:rsid w:val="0083106D"/>
    <w:rsid w:val="00832814"/>
    <w:rsid w:val="0084076A"/>
    <w:rsid w:val="00850129"/>
    <w:rsid w:val="008544FC"/>
    <w:rsid w:val="00854C98"/>
    <w:rsid w:val="008634F6"/>
    <w:rsid w:val="00865B32"/>
    <w:rsid w:val="0087134D"/>
    <w:rsid w:val="00871E34"/>
    <w:rsid w:val="0088329E"/>
    <w:rsid w:val="00886980"/>
    <w:rsid w:val="008904E9"/>
    <w:rsid w:val="00890765"/>
    <w:rsid w:val="00892258"/>
    <w:rsid w:val="008A4B21"/>
    <w:rsid w:val="008A5EF1"/>
    <w:rsid w:val="008B2655"/>
    <w:rsid w:val="008B5621"/>
    <w:rsid w:val="008B6152"/>
    <w:rsid w:val="008C20D9"/>
    <w:rsid w:val="008C41B3"/>
    <w:rsid w:val="008C4318"/>
    <w:rsid w:val="008D22CB"/>
    <w:rsid w:val="008D426A"/>
    <w:rsid w:val="008D4665"/>
    <w:rsid w:val="008D4883"/>
    <w:rsid w:val="008D6482"/>
    <w:rsid w:val="008D6880"/>
    <w:rsid w:val="008D6926"/>
    <w:rsid w:val="008E22F0"/>
    <w:rsid w:val="008E429B"/>
    <w:rsid w:val="008F2AF7"/>
    <w:rsid w:val="008F610B"/>
    <w:rsid w:val="008F6515"/>
    <w:rsid w:val="008F669E"/>
    <w:rsid w:val="008F7FAB"/>
    <w:rsid w:val="009036C0"/>
    <w:rsid w:val="009045E8"/>
    <w:rsid w:val="009050B9"/>
    <w:rsid w:val="0090538D"/>
    <w:rsid w:val="00906DD4"/>
    <w:rsid w:val="0090799D"/>
    <w:rsid w:val="009079F2"/>
    <w:rsid w:val="00910153"/>
    <w:rsid w:val="009142D1"/>
    <w:rsid w:val="00915EBE"/>
    <w:rsid w:val="00916DF4"/>
    <w:rsid w:val="00917C0E"/>
    <w:rsid w:val="0092166F"/>
    <w:rsid w:val="009231D2"/>
    <w:rsid w:val="009305A7"/>
    <w:rsid w:val="00931EF5"/>
    <w:rsid w:val="009334CA"/>
    <w:rsid w:val="009352BB"/>
    <w:rsid w:val="0093603D"/>
    <w:rsid w:val="009366E4"/>
    <w:rsid w:val="00937E0B"/>
    <w:rsid w:val="009415C2"/>
    <w:rsid w:val="00942877"/>
    <w:rsid w:val="00944180"/>
    <w:rsid w:val="009443DA"/>
    <w:rsid w:val="0094558B"/>
    <w:rsid w:val="00950F69"/>
    <w:rsid w:val="00955C89"/>
    <w:rsid w:val="00957381"/>
    <w:rsid w:val="009602ED"/>
    <w:rsid w:val="009603D1"/>
    <w:rsid w:val="009700C1"/>
    <w:rsid w:val="009725A9"/>
    <w:rsid w:val="0097389F"/>
    <w:rsid w:val="00973F84"/>
    <w:rsid w:val="009744B3"/>
    <w:rsid w:val="00980D0F"/>
    <w:rsid w:val="00981038"/>
    <w:rsid w:val="00987FC2"/>
    <w:rsid w:val="00990BA4"/>
    <w:rsid w:val="009928D0"/>
    <w:rsid w:val="009931C7"/>
    <w:rsid w:val="009939C4"/>
    <w:rsid w:val="009A00A8"/>
    <w:rsid w:val="009A0309"/>
    <w:rsid w:val="009A0A15"/>
    <w:rsid w:val="009A1013"/>
    <w:rsid w:val="009A66B5"/>
    <w:rsid w:val="009A7FEF"/>
    <w:rsid w:val="009B1BBB"/>
    <w:rsid w:val="009B1C0E"/>
    <w:rsid w:val="009B2415"/>
    <w:rsid w:val="009C069A"/>
    <w:rsid w:val="009C1C4B"/>
    <w:rsid w:val="009C70B8"/>
    <w:rsid w:val="009C71DA"/>
    <w:rsid w:val="009D2513"/>
    <w:rsid w:val="009D5C14"/>
    <w:rsid w:val="009D6B76"/>
    <w:rsid w:val="009D702D"/>
    <w:rsid w:val="009E3219"/>
    <w:rsid w:val="009E4EF4"/>
    <w:rsid w:val="009E52EF"/>
    <w:rsid w:val="009F4DDE"/>
    <w:rsid w:val="009F573A"/>
    <w:rsid w:val="009F5C6F"/>
    <w:rsid w:val="009F67B2"/>
    <w:rsid w:val="009F7FA8"/>
    <w:rsid w:val="00A05C29"/>
    <w:rsid w:val="00A11D73"/>
    <w:rsid w:val="00A11F91"/>
    <w:rsid w:val="00A139ED"/>
    <w:rsid w:val="00A13E5E"/>
    <w:rsid w:val="00A15CA7"/>
    <w:rsid w:val="00A15DF4"/>
    <w:rsid w:val="00A162FE"/>
    <w:rsid w:val="00A2760F"/>
    <w:rsid w:val="00A31FA6"/>
    <w:rsid w:val="00A32498"/>
    <w:rsid w:val="00A34630"/>
    <w:rsid w:val="00A40171"/>
    <w:rsid w:val="00A4102A"/>
    <w:rsid w:val="00A427A3"/>
    <w:rsid w:val="00A459AE"/>
    <w:rsid w:val="00A50EB3"/>
    <w:rsid w:val="00A52037"/>
    <w:rsid w:val="00A60E51"/>
    <w:rsid w:val="00A61283"/>
    <w:rsid w:val="00A623E6"/>
    <w:rsid w:val="00A63247"/>
    <w:rsid w:val="00A6523A"/>
    <w:rsid w:val="00A67822"/>
    <w:rsid w:val="00A70BDA"/>
    <w:rsid w:val="00A7163D"/>
    <w:rsid w:val="00A75F95"/>
    <w:rsid w:val="00A77DF0"/>
    <w:rsid w:val="00A86547"/>
    <w:rsid w:val="00A90AB5"/>
    <w:rsid w:val="00A92B82"/>
    <w:rsid w:val="00A948FD"/>
    <w:rsid w:val="00AA12A1"/>
    <w:rsid w:val="00AA16D5"/>
    <w:rsid w:val="00AA1E08"/>
    <w:rsid w:val="00AB00A1"/>
    <w:rsid w:val="00AB1E09"/>
    <w:rsid w:val="00AB3B3D"/>
    <w:rsid w:val="00AC0497"/>
    <w:rsid w:val="00AC0773"/>
    <w:rsid w:val="00AC0A0E"/>
    <w:rsid w:val="00AC2795"/>
    <w:rsid w:val="00AC4C18"/>
    <w:rsid w:val="00AC66C3"/>
    <w:rsid w:val="00AC7F63"/>
    <w:rsid w:val="00AD1CFC"/>
    <w:rsid w:val="00AD2DF2"/>
    <w:rsid w:val="00AD3A65"/>
    <w:rsid w:val="00AD443F"/>
    <w:rsid w:val="00AD5DC4"/>
    <w:rsid w:val="00AD68BC"/>
    <w:rsid w:val="00AE3A2D"/>
    <w:rsid w:val="00AE7333"/>
    <w:rsid w:val="00AF383C"/>
    <w:rsid w:val="00AF3DE0"/>
    <w:rsid w:val="00AF3E14"/>
    <w:rsid w:val="00AF58EC"/>
    <w:rsid w:val="00AF6FF7"/>
    <w:rsid w:val="00B005A6"/>
    <w:rsid w:val="00B00E68"/>
    <w:rsid w:val="00B01301"/>
    <w:rsid w:val="00B013A1"/>
    <w:rsid w:val="00B0707F"/>
    <w:rsid w:val="00B071F2"/>
    <w:rsid w:val="00B126B5"/>
    <w:rsid w:val="00B16784"/>
    <w:rsid w:val="00B23103"/>
    <w:rsid w:val="00B2549A"/>
    <w:rsid w:val="00B26CFD"/>
    <w:rsid w:val="00B27715"/>
    <w:rsid w:val="00B3272E"/>
    <w:rsid w:val="00B360A0"/>
    <w:rsid w:val="00B41D40"/>
    <w:rsid w:val="00B42CE4"/>
    <w:rsid w:val="00B472DA"/>
    <w:rsid w:val="00B479A1"/>
    <w:rsid w:val="00B5197B"/>
    <w:rsid w:val="00B5683A"/>
    <w:rsid w:val="00B634F2"/>
    <w:rsid w:val="00B638C4"/>
    <w:rsid w:val="00B66B99"/>
    <w:rsid w:val="00B70CA2"/>
    <w:rsid w:val="00B77453"/>
    <w:rsid w:val="00B81849"/>
    <w:rsid w:val="00B82932"/>
    <w:rsid w:val="00B85392"/>
    <w:rsid w:val="00B917D9"/>
    <w:rsid w:val="00B92B6C"/>
    <w:rsid w:val="00B93168"/>
    <w:rsid w:val="00B93B8F"/>
    <w:rsid w:val="00B97F73"/>
    <w:rsid w:val="00BA3BAA"/>
    <w:rsid w:val="00BA491E"/>
    <w:rsid w:val="00BA4C8D"/>
    <w:rsid w:val="00BB0376"/>
    <w:rsid w:val="00BB52B0"/>
    <w:rsid w:val="00BB6E4C"/>
    <w:rsid w:val="00BB77C5"/>
    <w:rsid w:val="00BB7C1B"/>
    <w:rsid w:val="00BC3591"/>
    <w:rsid w:val="00BD0FDD"/>
    <w:rsid w:val="00BD23EF"/>
    <w:rsid w:val="00BD7F14"/>
    <w:rsid w:val="00BE46C6"/>
    <w:rsid w:val="00BE56D3"/>
    <w:rsid w:val="00BE5A5F"/>
    <w:rsid w:val="00BF0320"/>
    <w:rsid w:val="00BF127C"/>
    <w:rsid w:val="00BF21D6"/>
    <w:rsid w:val="00BF5684"/>
    <w:rsid w:val="00BF5B96"/>
    <w:rsid w:val="00C01B1B"/>
    <w:rsid w:val="00C02C2C"/>
    <w:rsid w:val="00C03238"/>
    <w:rsid w:val="00C05713"/>
    <w:rsid w:val="00C110A9"/>
    <w:rsid w:val="00C122EF"/>
    <w:rsid w:val="00C13441"/>
    <w:rsid w:val="00C14731"/>
    <w:rsid w:val="00C15415"/>
    <w:rsid w:val="00C237D6"/>
    <w:rsid w:val="00C26455"/>
    <w:rsid w:val="00C27187"/>
    <w:rsid w:val="00C3104D"/>
    <w:rsid w:val="00C3445D"/>
    <w:rsid w:val="00C34A78"/>
    <w:rsid w:val="00C3593A"/>
    <w:rsid w:val="00C377A5"/>
    <w:rsid w:val="00C40FCB"/>
    <w:rsid w:val="00C439E4"/>
    <w:rsid w:val="00C441A8"/>
    <w:rsid w:val="00C461FB"/>
    <w:rsid w:val="00C47056"/>
    <w:rsid w:val="00C52F66"/>
    <w:rsid w:val="00C557BD"/>
    <w:rsid w:val="00C57F75"/>
    <w:rsid w:val="00C61219"/>
    <w:rsid w:val="00C65219"/>
    <w:rsid w:val="00C70229"/>
    <w:rsid w:val="00C72852"/>
    <w:rsid w:val="00C73D61"/>
    <w:rsid w:val="00C76B65"/>
    <w:rsid w:val="00C77DF5"/>
    <w:rsid w:val="00C810BF"/>
    <w:rsid w:val="00C85585"/>
    <w:rsid w:val="00C85680"/>
    <w:rsid w:val="00C91ECD"/>
    <w:rsid w:val="00C9343D"/>
    <w:rsid w:val="00CA196D"/>
    <w:rsid w:val="00CA31B8"/>
    <w:rsid w:val="00CA4396"/>
    <w:rsid w:val="00CA468C"/>
    <w:rsid w:val="00CA6BB2"/>
    <w:rsid w:val="00CA6EB7"/>
    <w:rsid w:val="00CA7096"/>
    <w:rsid w:val="00CB0B55"/>
    <w:rsid w:val="00CB1F2E"/>
    <w:rsid w:val="00CB2F2E"/>
    <w:rsid w:val="00CB39F9"/>
    <w:rsid w:val="00CB3A66"/>
    <w:rsid w:val="00CB3DEF"/>
    <w:rsid w:val="00CB467A"/>
    <w:rsid w:val="00CB7D2A"/>
    <w:rsid w:val="00CC194E"/>
    <w:rsid w:val="00CC6831"/>
    <w:rsid w:val="00CD4CC9"/>
    <w:rsid w:val="00CD6A2A"/>
    <w:rsid w:val="00CD7A1E"/>
    <w:rsid w:val="00CE2661"/>
    <w:rsid w:val="00CE5768"/>
    <w:rsid w:val="00CF29FB"/>
    <w:rsid w:val="00CF5683"/>
    <w:rsid w:val="00D00390"/>
    <w:rsid w:val="00D01445"/>
    <w:rsid w:val="00D02191"/>
    <w:rsid w:val="00D05826"/>
    <w:rsid w:val="00D105CD"/>
    <w:rsid w:val="00D10916"/>
    <w:rsid w:val="00D1166C"/>
    <w:rsid w:val="00D12778"/>
    <w:rsid w:val="00D127BD"/>
    <w:rsid w:val="00D12CFD"/>
    <w:rsid w:val="00D12E98"/>
    <w:rsid w:val="00D20072"/>
    <w:rsid w:val="00D213EE"/>
    <w:rsid w:val="00D244A6"/>
    <w:rsid w:val="00D25147"/>
    <w:rsid w:val="00D27E3C"/>
    <w:rsid w:val="00D32DD2"/>
    <w:rsid w:val="00D34C7E"/>
    <w:rsid w:val="00D372B1"/>
    <w:rsid w:val="00D43115"/>
    <w:rsid w:val="00D45DA0"/>
    <w:rsid w:val="00D472D4"/>
    <w:rsid w:val="00D53663"/>
    <w:rsid w:val="00D5427E"/>
    <w:rsid w:val="00D563E5"/>
    <w:rsid w:val="00D56A30"/>
    <w:rsid w:val="00D60F31"/>
    <w:rsid w:val="00D62A56"/>
    <w:rsid w:val="00D64A13"/>
    <w:rsid w:val="00D65292"/>
    <w:rsid w:val="00D66773"/>
    <w:rsid w:val="00D66A9A"/>
    <w:rsid w:val="00D672B8"/>
    <w:rsid w:val="00D702D9"/>
    <w:rsid w:val="00D739BB"/>
    <w:rsid w:val="00D74294"/>
    <w:rsid w:val="00D74A7C"/>
    <w:rsid w:val="00D774E9"/>
    <w:rsid w:val="00D81BA2"/>
    <w:rsid w:val="00D82A68"/>
    <w:rsid w:val="00D83808"/>
    <w:rsid w:val="00D84925"/>
    <w:rsid w:val="00D84B4A"/>
    <w:rsid w:val="00D84F6F"/>
    <w:rsid w:val="00D85385"/>
    <w:rsid w:val="00D86B0F"/>
    <w:rsid w:val="00D901A4"/>
    <w:rsid w:val="00D9713E"/>
    <w:rsid w:val="00D9716E"/>
    <w:rsid w:val="00DA01B4"/>
    <w:rsid w:val="00DA0443"/>
    <w:rsid w:val="00DA1FB3"/>
    <w:rsid w:val="00DA3E4E"/>
    <w:rsid w:val="00DA405C"/>
    <w:rsid w:val="00DA7469"/>
    <w:rsid w:val="00DB011B"/>
    <w:rsid w:val="00DC1A61"/>
    <w:rsid w:val="00DC28A3"/>
    <w:rsid w:val="00DC523E"/>
    <w:rsid w:val="00DD1637"/>
    <w:rsid w:val="00DD2F61"/>
    <w:rsid w:val="00DD5049"/>
    <w:rsid w:val="00DD5934"/>
    <w:rsid w:val="00DE0FBE"/>
    <w:rsid w:val="00DE46B3"/>
    <w:rsid w:val="00DE5FDD"/>
    <w:rsid w:val="00DE7E29"/>
    <w:rsid w:val="00DF0AD6"/>
    <w:rsid w:val="00DF12DE"/>
    <w:rsid w:val="00E019E8"/>
    <w:rsid w:val="00E01C76"/>
    <w:rsid w:val="00E01FA0"/>
    <w:rsid w:val="00E035FE"/>
    <w:rsid w:val="00E03FF2"/>
    <w:rsid w:val="00E0538B"/>
    <w:rsid w:val="00E05FBD"/>
    <w:rsid w:val="00E138DC"/>
    <w:rsid w:val="00E14F7E"/>
    <w:rsid w:val="00E2189B"/>
    <w:rsid w:val="00E23C42"/>
    <w:rsid w:val="00E32465"/>
    <w:rsid w:val="00E341BB"/>
    <w:rsid w:val="00E34853"/>
    <w:rsid w:val="00E35F93"/>
    <w:rsid w:val="00E37C5D"/>
    <w:rsid w:val="00E40788"/>
    <w:rsid w:val="00E4625C"/>
    <w:rsid w:val="00E54FCC"/>
    <w:rsid w:val="00E55C7E"/>
    <w:rsid w:val="00E56C0E"/>
    <w:rsid w:val="00E56C45"/>
    <w:rsid w:val="00E619E2"/>
    <w:rsid w:val="00E63F9E"/>
    <w:rsid w:val="00E65E9D"/>
    <w:rsid w:val="00E70606"/>
    <w:rsid w:val="00E71BC9"/>
    <w:rsid w:val="00E71D72"/>
    <w:rsid w:val="00E73FDD"/>
    <w:rsid w:val="00E740F4"/>
    <w:rsid w:val="00E81710"/>
    <w:rsid w:val="00E82634"/>
    <w:rsid w:val="00E82FAE"/>
    <w:rsid w:val="00E86553"/>
    <w:rsid w:val="00E90925"/>
    <w:rsid w:val="00E9134F"/>
    <w:rsid w:val="00EA1FDA"/>
    <w:rsid w:val="00EA5DB9"/>
    <w:rsid w:val="00EA6C8D"/>
    <w:rsid w:val="00EB2932"/>
    <w:rsid w:val="00EC036F"/>
    <w:rsid w:val="00EC15A2"/>
    <w:rsid w:val="00EC179E"/>
    <w:rsid w:val="00EC383F"/>
    <w:rsid w:val="00ED266F"/>
    <w:rsid w:val="00EE1645"/>
    <w:rsid w:val="00EE19B6"/>
    <w:rsid w:val="00EE2C4B"/>
    <w:rsid w:val="00EE5693"/>
    <w:rsid w:val="00EE7589"/>
    <w:rsid w:val="00EF1377"/>
    <w:rsid w:val="00EF407E"/>
    <w:rsid w:val="00EF602C"/>
    <w:rsid w:val="00EF7A86"/>
    <w:rsid w:val="00F04217"/>
    <w:rsid w:val="00F045FA"/>
    <w:rsid w:val="00F051CC"/>
    <w:rsid w:val="00F10861"/>
    <w:rsid w:val="00F12414"/>
    <w:rsid w:val="00F13CEE"/>
    <w:rsid w:val="00F157DA"/>
    <w:rsid w:val="00F235E4"/>
    <w:rsid w:val="00F250A1"/>
    <w:rsid w:val="00F260F6"/>
    <w:rsid w:val="00F26579"/>
    <w:rsid w:val="00F3084D"/>
    <w:rsid w:val="00F328CB"/>
    <w:rsid w:val="00F340E6"/>
    <w:rsid w:val="00F34C54"/>
    <w:rsid w:val="00F35065"/>
    <w:rsid w:val="00F355F4"/>
    <w:rsid w:val="00F40F24"/>
    <w:rsid w:val="00F448BA"/>
    <w:rsid w:val="00F51149"/>
    <w:rsid w:val="00F514E0"/>
    <w:rsid w:val="00F546F1"/>
    <w:rsid w:val="00F54D7A"/>
    <w:rsid w:val="00F56DAC"/>
    <w:rsid w:val="00F614D0"/>
    <w:rsid w:val="00F63225"/>
    <w:rsid w:val="00F65696"/>
    <w:rsid w:val="00F7642C"/>
    <w:rsid w:val="00F76B82"/>
    <w:rsid w:val="00F77235"/>
    <w:rsid w:val="00F81322"/>
    <w:rsid w:val="00F839CA"/>
    <w:rsid w:val="00F85C69"/>
    <w:rsid w:val="00F87548"/>
    <w:rsid w:val="00F9005D"/>
    <w:rsid w:val="00F90799"/>
    <w:rsid w:val="00F9089A"/>
    <w:rsid w:val="00F92364"/>
    <w:rsid w:val="00F92C8E"/>
    <w:rsid w:val="00F931BA"/>
    <w:rsid w:val="00F93330"/>
    <w:rsid w:val="00F97CDE"/>
    <w:rsid w:val="00FA021D"/>
    <w:rsid w:val="00FA0E10"/>
    <w:rsid w:val="00FA1C60"/>
    <w:rsid w:val="00FA38BC"/>
    <w:rsid w:val="00FA5F38"/>
    <w:rsid w:val="00FA62A1"/>
    <w:rsid w:val="00FB0B1B"/>
    <w:rsid w:val="00FB25C5"/>
    <w:rsid w:val="00FB398C"/>
    <w:rsid w:val="00FB5217"/>
    <w:rsid w:val="00FB6392"/>
    <w:rsid w:val="00FC21CE"/>
    <w:rsid w:val="00FC4C73"/>
    <w:rsid w:val="00FC4CD4"/>
    <w:rsid w:val="00FD0E04"/>
    <w:rsid w:val="00FD60F0"/>
    <w:rsid w:val="00FE181C"/>
    <w:rsid w:val="00FE1F6A"/>
    <w:rsid w:val="00FE3B6A"/>
    <w:rsid w:val="00FF6434"/>
    <w:rsid w:val="00FF6AF0"/>
    <w:rsid w:val="00FF759B"/>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fi/visio/art-2000011814000.html" TargetMode="External"/><Relationship Id="rId18" Type="http://schemas.openxmlformats.org/officeDocument/2006/relationships/hyperlink" Target="https://yle.fi/a/74-20212310" TargetMode="External"/><Relationship Id="rId26" Type="http://schemas.openxmlformats.org/officeDocument/2006/relationships/hyperlink" Target="https://yle.fi/a/74-20209922" TargetMode="External"/><Relationship Id="rId21" Type="http://schemas.openxmlformats.org/officeDocument/2006/relationships/hyperlink" Target="https://yle.fi/a/74-20208210" TargetMode="External"/><Relationship Id="rId34" Type="http://schemas.openxmlformats.org/officeDocument/2006/relationships/hyperlink" Target="https://www.is.fi/taloussanomat/art-2000011840098.html" TargetMode="External"/><Relationship Id="rId7" Type="http://schemas.openxmlformats.org/officeDocument/2006/relationships/settings" Target="settings.xml"/><Relationship Id="rId12" Type="http://schemas.openxmlformats.org/officeDocument/2006/relationships/hyperlink" Target="https://yle.fi/a/74-20212513" TargetMode="External"/><Relationship Id="rId17" Type="http://schemas.openxmlformats.org/officeDocument/2006/relationships/hyperlink" Target="https://yle.fi/a/74-20204734" TargetMode="External"/><Relationship Id="rId25" Type="http://schemas.openxmlformats.org/officeDocument/2006/relationships/hyperlink" Target="https://yle.fi/a/74-20210494" TargetMode="External"/><Relationship Id="rId33" Type="http://schemas.openxmlformats.org/officeDocument/2006/relationships/hyperlink" Target="https://www.hs.fi/politiikka/art-2000011829376.html" TargetMode="External"/><Relationship Id="rId2" Type="http://schemas.openxmlformats.org/officeDocument/2006/relationships/customXml" Target="../customXml/item2.xml"/><Relationship Id="rId16" Type="http://schemas.openxmlformats.org/officeDocument/2006/relationships/hyperlink" Target="https://www.hs.fi/visio/art-2000011773164.html" TargetMode="External"/><Relationship Id="rId20" Type="http://schemas.openxmlformats.org/officeDocument/2006/relationships/hyperlink" Target="https://yle.fi/a/74-20212268" TargetMode="External"/><Relationship Id="rId29" Type="http://schemas.openxmlformats.org/officeDocument/2006/relationships/hyperlink" Target="https://www.hs.fi/visio/art-200001179435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fi/taloussanomat/art-2000011790543.html" TargetMode="External"/><Relationship Id="rId24" Type="http://schemas.openxmlformats.org/officeDocument/2006/relationships/hyperlink" Target="https://yle.fi/a/74-20209101" TargetMode="External"/><Relationship Id="rId32" Type="http://schemas.openxmlformats.org/officeDocument/2006/relationships/hyperlink" Target="https://stat.fi/en/publication/cmfxzdjlzg81107w3lfffd0o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fi/politiikka/art-2000011842487.html" TargetMode="External"/><Relationship Id="rId23" Type="http://schemas.openxmlformats.org/officeDocument/2006/relationships/hyperlink" Target="https://valtioneuvosto.fi/-/1410877/ministeri-marttinen-meriteollisuuden-osaajatarve-kasvaa-mahdollisuuksiin-vastattava-koulutuksen-ja-tyovoimapalveluiden-keinoin?languageId=en_US" TargetMode="External"/><Relationship Id="rId28" Type="http://schemas.openxmlformats.org/officeDocument/2006/relationships/hyperlink" Target="https://yle.fi/a/74-20210113" TargetMode="External"/><Relationship Id="rId36" Type="http://schemas.openxmlformats.org/officeDocument/2006/relationships/fontTable" Target="fontTable.xml"/><Relationship Id="rId10" Type="http://schemas.openxmlformats.org/officeDocument/2006/relationships/hyperlink" Target="https://yle.fi/a/74-20208822" TargetMode="External"/><Relationship Id="rId19" Type="http://schemas.openxmlformats.org/officeDocument/2006/relationships/hyperlink" Target="https://www.hs.fi/politiikka/art-2000011830085.html" TargetMode="External"/><Relationship Id="rId31" Type="http://schemas.openxmlformats.org/officeDocument/2006/relationships/hyperlink" Target="https://yle.fi/a/74-20210700" TargetMode="External"/><Relationship Id="rId4" Type="http://schemas.openxmlformats.org/officeDocument/2006/relationships/customXml" Target="../customXml/item4.xml"/><Relationship Id="rId9" Type="http://schemas.openxmlformats.org/officeDocument/2006/relationships/hyperlink" Target="https://yle.fi/a/74-20208547" TargetMode="External"/><Relationship Id="rId14" Type="http://schemas.openxmlformats.org/officeDocument/2006/relationships/hyperlink" Target="https://www.is.fi/taloussanomat/art-2000011786074.html" TargetMode="External"/><Relationship Id="rId22" Type="http://schemas.openxmlformats.org/officeDocument/2006/relationships/hyperlink" Target="https://yle.fi/a/74-20209730" TargetMode="External"/><Relationship Id="rId27" Type="http://schemas.openxmlformats.org/officeDocument/2006/relationships/hyperlink" Target="https://www.iltalehti.fi/talous/a/882fa9d4-f3a1-4f4c-b938-cf541518129a" TargetMode="External"/><Relationship Id="rId30" Type="http://schemas.openxmlformats.org/officeDocument/2006/relationships/hyperlink" Target="https://yle.fi/a/74-20211011" TargetMode="External"/><Relationship Id="rId35" Type="http://schemas.openxmlformats.org/officeDocument/2006/relationships/hyperlink" Target="mailto:zymantas.mozuraitis@urm.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4.xml><?xml version="1.0" encoding="utf-8"?>
<ds:datastoreItem xmlns:ds="http://schemas.openxmlformats.org/officeDocument/2006/customXml" ds:itemID="{96CD6864-7774-4589-B351-191897EB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18717</Words>
  <Characters>10670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78</cp:revision>
  <dcterms:created xsi:type="dcterms:W3CDTF">2026-03-04T14:36:00Z</dcterms:created>
  <dcterms:modified xsi:type="dcterms:W3CDTF">2026-03-05T14:58:00Z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