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1A20D" w14:textId="77777777" w:rsidR="005069B1" w:rsidRPr="00562129" w:rsidRDefault="005069B1" w:rsidP="005069B1">
      <w:pPr>
        <w:spacing w:after="0" w:line="240" w:lineRule="auto"/>
        <w:jc w:val="both"/>
        <w:rPr>
          <w:rFonts w:ascii="Times New Roman" w:hAnsi="Times New Roman" w:cs="Times New Roman"/>
          <w:sz w:val="24"/>
          <w:szCs w:val="24"/>
        </w:rPr>
      </w:pPr>
    </w:p>
    <w:p w14:paraId="35718FC6" w14:textId="77777777" w:rsidR="005069B1" w:rsidRPr="00562129" w:rsidRDefault="005069B1" w:rsidP="005069B1">
      <w:pPr>
        <w:spacing w:after="0" w:line="240" w:lineRule="auto"/>
        <w:jc w:val="both"/>
        <w:rPr>
          <w:rFonts w:ascii="Times New Roman" w:hAnsi="Times New Roman" w:cs="Times New Roman"/>
          <w:sz w:val="24"/>
          <w:szCs w:val="24"/>
        </w:rPr>
      </w:pPr>
    </w:p>
    <w:p w14:paraId="2ABA5C61" w14:textId="4CFA0C9D" w:rsidR="005069B1" w:rsidRPr="00562129" w:rsidRDefault="005069B1" w:rsidP="005069B1">
      <w:pPr>
        <w:spacing w:after="0" w:line="240" w:lineRule="auto"/>
        <w:jc w:val="center"/>
        <w:rPr>
          <w:rFonts w:ascii="Times New Roman" w:hAnsi="Times New Roman" w:cs="Times New Roman"/>
          <w:b/>
          <w:bCs/>
          <w:kern w:val="0"/>
          <w:sz w:val="24"/>
          <w:szCs w:val="24"/>
          <w:lang w:val="pt-BR" w:eastAsia="lt-LT"/>
          <w14:ligatures w14:val="none"/>
        </w:rPr>
      </w:pPr>
      <w:r w:rsidRPr="00562129">
        <w:rPr>
          <w:rFonts w:ascii="Times New Roman" w:hAnsi="Times New Roman" w:cs="Times New Roman"/>
          <w:b/>
          <w:bCs/>
          <w:kern w:val="0"/>
          <w:sz w:val="24"/>
          <w:szCs w:val="24"/>
          <w:lang w:val="pt-BR" w:eastAsia="lt-LT"/>
          <w14:ligatures w14:val="none"/>
        </w:rPr>
        <w:t>Brazilijos ekonominės aktualijos 2026 m. sausio mėn.</w:t>
      </w:r>
    </w:p>
    <w:p w14:paraId="4A76CE2E" w14:textId="77777777" w:rsidR="005069B1" w:rsidRPr="00562129" w:rsidRDefault="005069B1" w:rsidP="005069B1">
      <w:pPr>
        <w:spacing w:after="0" w:line="240" w:lineRule="auto"/>
        <w:jc w:val="both"/>
        <w:rPr>
          <w:rFonts w:ascii="Times New Roman" w:hAnsi="Times New Roman" w:cs="Times New Roman"/>
          <w:b/>
          <w:bCs/>
          <w:kern w:val="0"/>
          <w:sz w:val="24"/>
          <w:szCs w:val="24"/>
          <w:lang w:val="pt-BR" w:eastAsia="lt-LT"/>
          <w14:ligatures w14:val="none"/>
        </w:rPr>
      </w:pPr>
    </w:p>
    <w:p w14:paraId="4AD0857D" w14:textId="77777777" w:rsidR="005069B1" w:rsidRPr="00562129" w:rsidRDefault="005069B1" w:rsidP="005069B1">
      <w:pPr>
        <w:spacing w:after="0" w:line="240" w:lineRule="auto"/>
        <w:jc w:val="both"/>
        <w:rPr>
          <w:rFonts w:ascii="Times New Roman" w:eastAsia="Times New Roman" w:hAnsi="Times New Roman" w:cs="Times New Roman"/>
          <w:b/>
          <w:bCs/>
          <w:kern w:val="0"/>
          <w:sz w:val="24"/>
          <w:szCs w:val="24"/>
          <w:lang w:val="pt-BR" w:eastAsia="lt-LT"/>
          <w14:ligatures w14:val="none"/>
        </w:rPr>
      </w:pPr>
      <w:r w:rsidRPr="00562129">
        <w:rPr>
          <w:rFonts w:ascii="Times New Roman" w:eastAsia="Times New Roman" w:hAnsi="Times New Roman" w:cs="Times New Roman"/>
          <w:b/>
          <w:bCs/>
          <w:kern w:val="0"/>
          <w:sz w:val="24"/>
          <w:szCs w:val="24"/>
          <w:lang w:val="pt-BR" w:eastAsia="lt-LT"/>
          <w14:ligatures w14:val="none"/>
        </w:rPr>
        <w:t>Lietuvos eksportuotojams aktuali informacija</w:t>
      </w:r>
    </w:p>
    <w:p w14:paraId="3B2A50BC" w14:textId="77777777" w:rsidR="00A400BB" w:rsidRPr="00562129" w:rsidRDefault="00A400BB" w:rsidP="005069B1">
      <w:pPr>
        <w:spacing w:after="0" w:line="240" w:lineRule="auto"/>
        <w:rPr>
          <w:rFonts w:ascii="Times New Roman" w:eastAsia="Times New Roman" w:hAnsi="Times New Roman" w:cs="Times New Roman"/>
          <w:b/>
          <w:bCs/>
          <w:color w:val="1E1E21"/>
          <w:kern w:val="0"/>
          <w:sz w:val="24"/>
          <w:szCs w:val="24"/>
          <w:lang w:eastAsia="lt-LT"/>
          <w14:ligatures w14:val="none"/>
        </w:rPr>
      </w:pPr>
    </w:p>
    <w:p w14:paraId="6F8ED274" w14:textId="34AF10F5" w:rsidR="005069B1" w:rsidRPr="00562129" w:rsidRDefault="005069B1" w:rsidP="005069B1">
      <w:pPr>
        <w:spacing w:after="0" w:line="240" w:lineRule="auto"/>
        <w:rPr>
          <w:rFonts w:ascii="Times New Roman" w:eastAsia="Times New Roman" w:hAnsi="Times New Roman" w:cs="Times New Roman"/>
          <w:b/>
          <w:bCs/>
          <w:color w:val="1E1E21"/>
          <w:kern w:val="0"/>
          <w:sz w:val="24"/>
          <w:szCs w:val="24"/>
          <w:lang w:eastAsia="lt-LT"/>
          <w14:ligatures w14:val="none"/>
        </w:rPr>
      </w:pPr>
      <w:r w:rsidRPr="00562129">
        <w:rPr>
          <w:rFonts w:ascii="Times New Roman" w:eastAsia="Times New Roman" w:hAnsi="Times New Roman" w:cs="Times New Roman"/>
          <w:b/>
          <w:bCs/>
          <w:color w:val="1E1E21"/>
          <w:kern w:val="0"/>
          <w:sz w:val="24"/>
          <w:szCs w:val="24"/>
          <w:lang w:eastAsia="lt-LT"/>
          <w14:ligatures w14:val="none"/>
        </w:rPr>
        <w:t xml:space="preserve">Ką ES ir </w:t>
      </w:r>
      <w:proofErr w:type="spellStart"/>
      <w:r w:rsidRPr="00562129">
        <w:rPr>
          <w:rFonts w:ascii="Times New Roman" w:eastAsia="Times New Roman" w:hAnsi="Times New Roman" w:cs="Times New Roman"/>
          <w:b/>
          <w:bCs/>
          <w:color w:val="1E1E21"/>
          <w:kern w:val="0"/>
          <w:sz w:val="24"/>
          <w:szCs w:val="24"/>
          <w:lang w:eastAsia="lt-LT"/>
          <w14:ligatures w14:val="none"/>
        </w:rPr>
        <w:t>Mercosur</w:t>
      </w:r>
      <w:proofErr w:type="spellEnd"/>
      <w:r w:rsidRPr="00562129">
        <w:rPr>
          <w:rFonts w:ascii="Times New Roman" w:eastAsia="Times New Roman" w:hAnsi="Times New Roman" w:cs="Times New Roman"/>
          <w:b/>
          <w:bCs/>
          <w:color w:val="1E1E21"/>
          <w:kern w:val="0"/>
          <w:sz w:val="24"/>
          <w:szCs w:val="24"/>
          <w:lang w:eastAsia="lt-LT"/>
          <w14:ligatures w14:val="none"/>
        </w:rPr>
        <w:t xml:space="preserve"> susitarimas galėtų reikšti Brazilijai, o ypač žemės ūkiui?</w:t>
      </w:r>
    </w:p>
    <w:p w14:paraId="552CAA3E" w14:textId="77777777" w:rsidR="005069B1" w:rsidRPr="00562129" w:rsidRDefault="005069B1" w:rsidP="005069B1">
      <w:pPr>
        <w:spacing w:after="0" w:line="240" w:lineRule="auto"/>
        <w:rPr>
          <w:rFonts w:ascii="Times New Roman" w:eastAsia="Times New Roman" w:hAnsi="Times New Roman" w:cs="Times New Roman"/>
          <w:color w:val="1E1E21"/>
          <w:kern w:val="0"/>
          <w:sz w:val="24"/>
          <w:szCs w:val="24"/>
          <w:lang w:eastAsia="lt-LT"/>
          <w14:ligatures w14:val="none"/>
        </w:rPr>
      </w:pPr>
      <w:r w:rsidRPr="00562129">
        <w:rPr>
          <w:rFonts w:ascii="Times New Roman" w:eastAsia="Times New Roman" w:hAnsi="Times New Roman" w:cs="Times New Roman"/>
          <w:color w:val="1E1E21"/>
          <w:kern w:val="0"/>
          <w:sz w:val="24"/>
          <w:szCs w:val="24"/>
          <w:lang w:eastAsia="lt-LT"/>
          <w14:ligatures w14:val="none"/>
        </w:rPr>
        <w:t>Nepaisant vis dar išliekančių teisinių kliūčių sutarčiai įsigalioti, Brazilijoje daugiausia pabrėžiama sutarties nauda žemės ūkio verslui, tikintis laipsniško Brazilijos produktų, tokių kaip mėsa, vaisiai, kava ir žuvis, eksporto didėjimo, o tai įkvepia optimizmo esant geopolitiniam neapibrėžtumui.</w:t>
      </w:r>
    </w:p>
    <w:p w14:paraId="2D8C0157" w14:textId="77777777" w:rsidR="005069B1" w:rsidRPr="00562129" w:rsidRDefault="005069B1" w:rsidP="005069B1">
      <w:pPr>
        <w:spacing w:after="0" w:line="240" w:lineRule="auto"/>
        <w:rPr>
          <w:rFonts w:ascii="Times New Roman" w:eastAsia="Times New Roman" w:hAnsi="Times New Roman" w:cs="Times New Roman"/>
          <w:color w:val="1E1E21"/>
          <w:kern w:val="0"/>
          <w:sz w:val="24"/>
          <w:szCs w:val="24"/>
          <w:lang w:eastAsia="lt-LT"/>
          <w14:ligatures w14:val="none"/>
        </w:rPr>
      </w:pPr>
      <w:r w:rsidRPr="00562129">
        <w:rPr>
          <w:rFonts w:ascii="Times New Roman" w:eastAsia="Times New Roman" w:hAnsi="Times New Roman" w:cs="Times New Roman"/>
          <w:color w:val="1E1E21"/>
          <w:kern w:val="0"/>
          <w:sz w:val="24"/>
          <w:szCs w:val="24"/>
          <w:lang w:eastAsia="lt-LT"/>
          <w14:ligatures w14:val="none"/>
        </w:rPr>
        <w:t xml:space="preserve">Svarbu ir tai, kad ES ir </w:t>
      </w:r>
      <w:proofErr w:type="spellStart"/>
      <w:r w:rsidRPr="00562129">
        <w:rPr>
          <w:rFonts w:ascii="Times New Roman" w:eastAsia="Times New Roman" w:hAnsi="Times New Roman" w:cs="Times New Roman"/>
          <w:color w:val="1E1E21"/>
          <w:kern w:val="0"/>
          <w:sz w:val="24"/>
          <w:szCs w:val="24"/>
          <w:lang w:eastAsia="lt-LT"/>
          <w14:ligatures w14:val="none"/>
        </w:rPr>
        <w:t>Mercosur</w:t>
      </w:r>
      <w:proofErr w:type="spellEnd"/>
      <w:r w:rsidRPr="00562129">
        <w:rPr>
          <w:rFonts w:ascii="Times New Roman" w:eastAsia="Times New Roman" w:hAnsi="Times New Roman" w:cs="Times New Roman"/>
          <w:color w:val="1E1E21"/>
          <w:kern w:val="0"/>
          <w:sz w:val="24"/>
          <w:szCs w:val="24"/>
          <w:lang w:eastAsia="lt-LT"/>
          <w14:ligatures w14:val="none"/>
        </w:rPr>
        <w:t xml:space="preserve"> susitarimas yra strateginis žingsnis į priekį, nes stiprina aljansus ir gali suteikti tam tikrą prioritetą Brazilijai ir kitoms </w:t>
      </w:r>
      <w:proofErr w:type="spellStart"/>
      <w:r w:rsidRPr="00562129">
        <w:rPr>
          <w:rFonts w:ascii="Times New Roman" w:eastAsia="Times New Roman" w:hAnsi="Times New Roman" w:cs="Times New Roman"/>
          <w:color w:val="1E1E21"/>
          <w:kern w:val="0"/>
          <w:sz w:val="24"/>
          <w:szCs w:val="24"/>
          <w:lang w:eastAsia="lt-LT"/>
          <w14:ligatures w14:val="none"/>
        </w:rPr>
        <w:t>Mercosur</w:t>
      </w:r>
      <w:proofErr w:type="spellEnd"/>
      <w:r w:rsidRPr="00562129">
        <w:rPr>
          <w:rFonts w:ascii="Times New Roman" w:eastAsia="Times New Roman" w:hAnsi="Times New Roman" w:cs="Times New Roman"/>
          <w:color w:val="1E1E21"/>
          <w:kern w:val="0"/>
          <w:sz w:val="24"/>
          <w:szCs w:val="24"/>
          <w:lang w:eastAsia="lt-LT"/>
          <w14:ligatures w14:val="none"/>
        </w:rPr>
        <w:t xml:space="preserve"> partnerėms, ypač vykstant tarifų karui. Tačiau tai nesuteikia didelės ir tiesioginės naudos Brazilijos kaimo vietovių gamintojams. Pavyzdžiui, sojų pupelės, daugiausiai užsienio valiutos generuojantis produktas, jau turėjo nulinius eksporto į Europą tarifus, todėl niekas nesikeičia. 2025 m. iš sojų pupelių gauta 52,9 mlrd. JAV dolerių užsienio pajamų (65 % iš jų sudarė pardavimai Kinijai).</w:t>
      </w:r>
    </w:p>
    <w:p w14:paraId="6F1C20E6" w14:textId="77777777" w:rsidR="005069B1" w:rsidRPr="00562129" w:rsidRDefault="005069B1" w:rsidP="005069B1">
      <w:pPr>
        <w:spacing w:after="0" w:line="240" w:lineRule="auto"/>
        <w:rPr>
          <w:rFonts w:ascii="Times New Roman" w:eastAsia="Times New Roman" w:hAnsi="Times New Roman" w:cs="Times New Roman"/>
          <w:color w:val="1E1E21"/>
          <w:kern w:val="0"/>
          <w:sz w:val="24"/>
          <w:szCs w:val="24"/>
          <w:lang w:eastAsia="lt-LT"/>
          <w14:ligatures w14:val="none"/>
        </w:rPr>
      </w:pPr>
      <w:r w:rsidRPr="00562129">
        <w:rPr>
          <w:rFonts w:ascii="Times New Roman" w:eastAsia="Times New Roman" w:hAnsi="Times New Roman" w:cs="Times New Roman"/>
          <w:color w:val="1E1E21"/>
          <w:kern w:val="0"/>
          <w:sz w:val="24"/>
          <w:szCs w:val="24"/>
          <w:lang w:eastAsia="lt-LT"/>
          <w14:ligatures w14:val="none"/>
        </w:rPr>
        <w:t>Yra gerų perspektyvų kavai, galbūt biokurui, kuris netiesiogiai galėtų būti naudingas grūdų augintojams. Tas pats pasakytina ir apie mėsą, nes papildomos kvotos didina pašarų paklausą.</w:t>
      </w:r>
    </w:p>
    <w:p w14:paraId="2526FD89" w14:textId="77777777" w:rsidR="005069B1" w:rsidRPr="00562129" w:rsidRDefault="005069B1" w:rsidP="005069B1">
      <w:pPr>
        <w:spacing w:after="0" w:line="240" w:lineRule="auto"/>
        <w:rPr>
          <w:rFonts w:ascii="Times New Roman" w:eastAsia="Times New Roman" w:hAnsi="Times New Roman" w:cs="Times New Roman"/>
          <w:color w:val="1E1E21"/>
          <w:kern w:val="0"/>
          <w:sz w:val="24"/>
          <w:szCs w:val="24"/>
          <w:lang w:eastAsia="lt-LT"/>
          <w14:ligatures w14:val="none"/>
        </w:rPr>
      </w:pPr>
      <w:r w:rsidRPr="00562129">
        <w:rPr>
          <w:rFonts w:ascii="Times New Roman" w:eastAsia="Times New Roman" w:hAnsi="Times New Roman" w:cs="Times New Roman"/>
          <w:color w:val="1E1E21"/>
          <w:kern w:val="0"/>
          <w:sz w:val="24"/>
          <w:szCs w:val="24"/>
          <w:lang w:eastAsia="lt-LT"/>
          <w14:ligatures w14:val="none"/>
        </w:rPr>
        <w:t>Brazilus neramina apsaugos priemonės, kurios nėra pagrindiniame susitarimo tekste, bet kurios bus ES vidaus reglamentų dalis. Tai mechanizmai, leidžiantys europiečiams laikinai sustabdyti susitarimo tarifų lengvatas, jei jie mano, kad tai kenkia žemės ūkio verslui jų šalyse.</w:t>
      </w:r>
    </w:p>
    <w:p w14:paraId="63D92C7C" w14:textId="77777777" w:rsidR="005069B1" w:rsidRPr="00562129" w:rsidRDefault="005069B1" w:rsidP="005069B1">
      <w:pPr>
        <w:spacing w:after="0" w:line="240" w:lineRule="auto"/>
        <w:rPr>
          <w:rFonts w:ascii="Times New Roman" w:eastAsia="Times New Roman" w:hAnsi="Times New Roman" w:cs="Times New Roman"/>
          <w:color w:val="1E1E21"/>
          <w:kern w:val="0"/>
          <w:sz w:val="24"/>
          <w:szCs w:val="24"/>
          <w:lang w:eastAsia="lt-LT"/>
          <w14:ligatures w14:val="none"/>
        </w:rPr>
      </w:pPr>
      <w:r w:rsidRPr="00562129">
        <w:rPr>
          <w:rFonts w:ascii="Times New Roman" w:eastAsia="Times New Roman" w:hAnsi="Times New Roman" w:cs="Times New Roman"/>
          <w:color w:val="1E1E21"/>
          <w:kern w:val="0"/>
          <w:sz w:val="24"/>
          <w:szCs w:val="24"/>
          <w:lang w:eastAsia="lt-LT"/>
          <w14:ligatures w14:val="none"/>
        </w:rPr>
        <w:t>Todėl raginama išlikti budriems, kad ES kovos su miškų naikinimu aktas (EUDR) ateityje nesunaikintų galimos ES-</w:t>
      </w:r>
      <w:proofErr w:type="spellStart"/>
      <w:r w:rsidRPr="00562129">
        <w:rPr>
          <w:rFonts w:ascii="Times New Roman" w:eastAsia="Times New Roman" w:hAnsi="Times New Roman" w:cs="Times New Roman"/>
          <w:color w:val="1E1E21"/>
          <w:kern w:val="0"/>
          <w:sz w:val="24"/>
          <w:szCs w:val="24"/>
          <w:lang w:eastAsia="lt-LT"/>
          <w14:ligatures w14:val="none"/>
        </w:rPr>
        <w:t>Mercosur</w:t>
      </w:r>
      <w:proofErr w:type="spellEnd"/>
      <w:r w:rsidRPr="00562129">
        <w:rPr>
          <w:rFonts w:ascii="Times New Roman" w:eastAsia="Times New Roman" w:hAnsi="Times New Roman" w:cs="Times New Roman"/>
          <w:color w:val="1E1E21"/>
          <w:kern w:val="0"/>
          <w:sz w:val="24"/>
          <w:szCs w:val="24"/>
          <w:lang w:eastAsia="lt-LT"/>
          <w14:ligatures w14:val="none"/>
        </w:rPr>
        <w:t xml:space="preserve"> susitarimo naudos.</w:t>
      </w:r>
    </w:p>
    <w:p w14:paraId="6C622AA1" w14:textId="77777777" w:rsidR="00C31C15" w:rsidRPr="00562129" w:rsidRDefault="00C31C15" w:rsidP="00C31C15">
      <w:pPr>
        <w:shd w:val="clear" w:color="auto" w:fill="FFFFFF"/>
        <w:spacing w:after="0" w:line="240" w:lineRule="auto"/>
        <w:rPr>
          <w:rFonts w:ascii="Times New Roman" w:eastAsia="Times New Roman" w:hAnsi="Times New Roman" w:cs="Times New Roman"/>
          <w:color w:val="333333"/>
          <w:kern w:val="0"/>
          <w:sz w:val="24"/>
          <w:szCs w:val="24"/>
          <w:lang w:eastAsia="lt-LT"/>
          <w14:ligatures w14:val="none"/>
        </w:rPr>
      </w:pPr>
    </w:p>
    <w:p w14:paraId="61B29B0B" w14:textId="4DBBAA30" w:rsidR="00C31C15" w:rsidRPr="00562129" w:rsidRDefault="00C31C15" w:rsidP="00C31C15">
      <w:pPr>
        <w:spacing w:after="0" w:line="240" w:lineRule="auto"/>
        <w:rPr>
          <w:rFonts w:ascii="Times New Roman" w:hAnsi="Times New Roman" w:cs="Times New Roman"/>
          <w:sz w:val="24"/>
          <w:szCs w:val="24"/>
          <w:lang w:val="pt-BR"/>
        </w:rPr>
      </w:pPr>
      <w:r w:rsidRPr="00562129">
        <w:rPr>
          <w:rFonts w:ascii="Times New Roman" w:hAnsi="Times New Roman" w:cs="Times New Roman"/>
          <w:b/>
          <w:bCs/>
          <w:sz w:val="24"/>
          <w:szCs w:val="24"/>
          <w:lang w:val="pt-BR"/>
        </w:rPr>
        <w:t>ES ir Mercosur prekybos susitarimas pilnai įsigalios per ateinančius 16 metų – sumažins tarifus daugiau nei 90 % Brazilijos eksporto ir daugiau nei 76 % importo iš ES. Tačiau šio tarifo mažinimo greitis abiejose  pusėse – ES ir Mercosur bus gana skirtingas</w:t>
      </w:r>
      <w:r w:rsidRPr="00562129">
        <w:rPr>
          <w:rFonts w:ascii="Times New Roman" w:hAnsi="Times New Roman" w:cs="Times New Roman"/>
          <w:sz w:val="24"/>
          <w:szCs w:val="24"/>
          <w:lang w:val="pt-BR"/>
        </w:rPr>
        <w:t xml:space="preserve">, rodo tyrimas. </w:t>
      </w:r>
      <w:r w:rsidRPr="00562129">
        <w:rPr>
          <w:rFonts w:ascii="Times New Roman" w:hAnsi="Times New Roman" w:cs="Times New Roman"/>
          <w:b/>
          <w:bCs/>
          <w:sz w:val="24"/>
          <w:szCs w:val="24"/>
          <w:lang w:val="pt-BR"/>
        </w:rPr>
        <w:t>Daugiau nei 76 % Brazilijos eksporto į Europos Sąjungą nedelsiant bus taikomi nuliniai tarifai. Importo atveju daugiau nei pusė tarifų sumažinimo bus taikoma tik nuo 11 iki 16 susitarimo galiojimo metų</w:t>
      </w:r>
      <w:r w:rsidRPr="00562129">
        <w:rPr>
          <w:rFonts w:ascii="Times New Roman" w:hAnsi="Times New Roman" w:cs="Times New Roman"/>
          <w:sz w:val="24"/>
          <w:szCs w:val="24"/>
          <w:lang w:val="pt-BR"/>
        </w:rPr>
        <w:t>. Ilgesnis importo tarifų mažinimo laikotarpis buvo pagrindinis susitarimo derybų aspektas, pripažįstant svarbų ES ir Pietų Amerikos pramonės konkurencingumo skirtumą.</w:t>
      </w:r>
      <w:r w:rsidR="00CE5A83" w:rsidRPr="00562129">
        <w:rPr>
          <w:rFonts w:ascii="Times New Roman" w:hAnsi="Times New Roman" w:cs="Times New Roman"/>
          <w:sz w:val="24"/>
          <w:szCs w:val="24"/>
          <w:lang w:val="pt-BR"/>
        </w:rPr>
        <w:t xml:space="preserve"> </w:t>
      </w:r>
      <w:r w:rsidRPr="00562129">
        <w:rPr>
          <w:rFonts w:ascii="Times New Roman" w:hAnsi="Times New Roman" w:cs="Times New Roman"/>
          <w:sz w:val="24"/>
          <w:szCs w:val="24"/>
          <w:lang w:val="pt-BR"/>
        </w:rPr>
        <w:t xml:space="preserve">Laikotarpių skirtumai skirti tam, kad nacionalinė pramonė turėtų laiko modernizuotis prieš didėjant konkurencijai iš ES. Tačiau mašinų ir įrangos importas iš ES mažesnėmis kainomis gali tapti paskata vietos investicijoms Mercosur šalyse, ir į tai taip pat buvo atsižvelgta susitarime: tarp pagrindinių neatidėliotinų importo tarifų mažinimų pramonės sektoriuje yra būtent automobilių ir aviacijos bei kosmoso pramonės dalys, komponentai ir priedai.  Daugiau nei pusė mokesčių lengvatų taikoma žemės ūkio / maisto ir mineraliniams / energetikos produktams. </w:t>
      </w:r>
    </w:p>
    <w:p w14:paraId="1BF2EC22" w14:textId="77777777" w:rsidR="00C31C15" w:rsidRPr="00562129" w:rsidRDefault="00C31C15" w:rsidP="00C31C15">
      <w:pPr>
        <w:spacing w:after="0" w:line="240" w:lineRule="auto"/>
        <w:rPr>
          <w:rFonts w:ascii="Times New Roman" w:hAnsi="Times New Roman" w:cs="Times New Roman"/>
          <w:sz w:val="24"/>
          <w:szCs w:val="24"/>
          <w:lang w:val="pt-BR"/>
        </w:rPr>
      </w:pPr>
    </w:p>
    <w:p w14:paraId="5159A6D9" w14:textId="77777777" w:rsidR="00C31C15" w:rsidRPr="00562129" w:rsidRDefault="00C31C15" w:rsidP="00C31C15">
      <w:pPr>
        <w:spacing w:after="0" w:line="240" w:lineRule="auto"/>
        <w:rPr>
          <w:rFonts w:ascii="Times New Roman" w:hAnsi="Times New Roman" w:cs="Times New Roman"/>
          <w:sz w:val="24"/>
          <w:szCs w:val="24"/>
          <w:lang w:val="pt-BR"/>
        </w:rPr>
      </w:pPr>
      <w:r w:rsidRPr="00562129">
        <w:rPr>
          <w:rFonts w:ascii="Times New Roman" w:hAnsi="Times New Roman" w:cs="Times New Roman"/>
          <w:b/>
          <w:bCs/>
          <w:sz w:val="24"/>
          <w:szCs w:val="24"/>
          <w:lang w:val="pt-BR"/>
        </w:rPr>
        <w:t>Remiantis Brazilijos Ipea (Taikomųjų ekonominių tyrimų instituto) tyrimo duomenimis, Mercosur ir ES  susitarimas iki 2040 m. gali 0,46 % padidinti Brazilijos BVP</w:t>
      </w:r>
      <w:r w:rsidRPr="00562129">
        <w:rPr>
          <w:rFonts w:ascii="Times New Roman" w:hAnsi="Times New Roman" w:cs="Times New Roman"/>
          <w:sz w:val="24"/>
          <w:szCs w:val="24"/>
          <w:lang w:val="pt-BR"/>
        </w:rPr>
        <w:t xml:space="preserve">, o tai sudarytų 9,3 mlrd. JAV dolerių. Manoma, kad Brazilija gautų didesnę santykinę naudą nei Europos Sąjunga, kurios BVP tuo pačiu laikotarpiu padidėtų 0,06 %, ir kitų Mercosur šalių  - 0,2 %. </w:t>
      </w:r>
    </w:p>
    <w:p w14:paraId="7762AC25" w14:textId="77777777" w:rsidR="00C31C15" w:rsidRPr="00562129" w:rsidRDefault="00C31C15" w:rsidP="00C31C15">
      <w:pPr>
        <w:spacing w:after="0" w:line="240" w:lineRule="auto"/>
        <w:rPr>
          <w:rFonts w:ascii="Times New Roman" w:hAnsi="Times New Roman" w:cs="Times New Roman"/>
          <w:sz w:val="24"/>
          <w:szCs w:val="24"/>
          <w:lang w:val="pt-BR"/>
        </w:rPr>
      </w:pPr>
      <w:r w:rsidRPr="00562129">
        <w:rPr>
          <w:rFonts w:ascii="Times New Roman" w:hAnsi="Times New Roman" w:cs="Times New Roman"/>
          <w:sz w:val="24"/>
          <w:szCs w:val="24"/>
          <w:lang w:val="pt-BR"/>
        </w:rPr>
        <w:t xml:space="preserve">Pasak tyrimo išvadų, </w:t>
      </w:r>
      <w:r w:rsidRPr="00562129">
        <w:rPr>
          <w:rFonts w:ascii="Times New Roman" w:hAnsi="Times New Roman" w:cs="Times New Roman"/>
          <w:b/>
          <w:bCs/>
          <w:sz w:val="24"/>
          <w:szCs w:val="24"/>
          <w:lang w:val="pt-BR"/>
        </w:rPr>
        <w:t>prekybos susitarimas padidintų investicijas Brazilijoje 1,49 %,</w:t>
      </w:r>
      <w:r w:rsidRPr="00562129">
        <w:rPr>
          <w:rFonts w:ascii="Times New Roman" w:hAnsi="Times New Roman" w:cs="Times New Roman"/>
          <w:sz w:val="24"/>
          <w:szCs w:val="24"/>
          <w:lang w:val="pt-BR"/>
        </w:rPr>
        <w:t xml:space="preserve"> Europos Sąjungoje - 0,12 %, o kitose Mercosur šalyse - 0,41 %.</w:t>
      </w:r>
    </w:p>
    <w:p w14:paraId="76805C67" w14:textId="77777777" w:rsidR="00020269" w:rsidRPr="00562129" w:rsidRDefault="00020269" w:rsidP="00020269">
      <w:pPr>
        <w:spacing w:after="0" w:line="240" w:lineRule="auto"/>
        <w:rPr>
          <w:rFonts w:ascii="Times New Roman" w:hAnsi="Times New Roman" w:cs="Times New Roman"/>
          <w:sz w:val="24"/>
          <w:szCs w:val="24"/>
        </w:rPr>
      </w:pPr>
    </w:p>
    <w:p w14:paraId="3565E357" w14:textId="77777777" w:rsidR="00020269" w:rsidRPr="00562129" w:rsidRDefault="00020269" w:rsidP="00020269">
      <w:pPr>
        <w:spacing w:after="0" w:line="240" w:lineRule="auto"/>
        <w:rPr>
          <w:rFonts w:ascii="Times New Roman" w:hAnsi="Times New Roman" w:cs="Times New Roman"/>
          <w:sz w:val="24"/>
          <w:szCs w:val="24"/>
        </w:rPr>
      </w:pPr>
      <w:r w:rsidRPr="00562129">
        <w:rPr>
          <w:rStyle w:val="rynqvb"/>
          <w:rFonts w:ascii="Times New Roman" w:hAnsi="Times New Roman" w:cs="Times New Roman"/>
          <w:b/>
          <w:bCs/>
          <w:color w:val="3C4043"/>
          <w:sz w:val="24"/>
          <w:szCs w:val="24"/>
        </w:rPr>
        <w:t>„</w:t>
      </w:r>
      <w:proofErr w:type="spellStart"/>
      <w:r w:rsidRPr="00562129">
        <w:rPr>
          <w:rStyle w:val="rynqvb"/>
          <w:rFonts w:ascii="Times New Roman" w:hAnsi="Times New Roman" w:cs="Times New Roman"/>
          <w:b/>
          <w:bCs/>
          <w:color w:val="3C4043"/>
          <w:sz w:val="24"/>
          <w:szCs w:val="24"/>
        </w:rPr>
        <w:t>Petz</w:t>
      </w:r>
      <w:proofErr w:type="spellEnd"/>
      <w:r w:rsidRPr="00562129">
        <w:rPr>
          <w:rStyle w:val="rynqvb"/>
          <w:rFonts w:ascii="Times New Roman" w:hAnsi="Times New Roman" w:cs="Times New Roman"/>
          <w:b/>
          <w:bCs/>
          <w:color w:val="3C4043"/>
          <w:sz w:val="24"/>
          <w:szCs w:val="24"/>
        </w:rPr>
        <w:t>“ ir „</w:t>
      </w:r>
      <w:proofErr w:type="spellStart"/>
      <w:r w:rsidRPr="00562129">
        <w:rPr>
          <w:rStyle w:val="rynqvb"/>
          <w:rFonts w:ascii="Times New Roman" w:hAnsi="Times New Roman" w:cs="Times New Roman"/>
          <w:b/>
          <w:bCs/>
          <w:color w:val="3C4043"/>
          <w:sz w:val="24"/>
          <w:szCs w:val="24"/>
        </w:rPr>
        <w:t>Cobasi</w:t>
      </w:r>
      <w:proofErr w:type="spellEnd"/>
      <w:r w:rsidRPr="00562129">
        <w:rPr>
          <w:rStyle w:val="rynqvb"/>
          <w:rFonts w:ascii="Times New Roman" w:hAnsi="Times New Roman" w:cs="Times New Roman"/>
          <w:b/>
          <w:bCs/>
          <w:color w:val="3C4043"/>
          <w:sz w:val="24"/>
          <w:szCs w:val="24"/>
        </w:rPr>
        <w:t>“ susijungimas žymi strateginį produktų augintiniams rinkos konsolidavimo žingsnį sparčiai augančiame Brazilijos sektoriuje, kurį skatina augintinių humanizavimas ir specializuotų produktų bei paslaugų vartojimo plėtra</w:t>
      </w:r>
      <w:r w:rsidRPr="00562129">
        <w:rPr>
          <w:rStyle w:val="rynqvb"/>
          <w:rFonts w:ascii="Times New Roman" w:hAnsi="Times New Roman" w:cs="Times New Roman"/>
          <w:color w:val="3C4043"/>
          <w:sz w:val="24"/>
          <w:szCs w:val="24"/>
        </w:rPr>
        <w:t>.</w:t>
      </w:r>
      <w:r w:rsidRPr="00562129">
        <w:rPr>
          <w:rFonts w:ascii="Times New Roman" w:hAnsi="Times New Roman" w:cs="Times New Roman"/>
          <w:color w:val="3C4043"/>
          <w:sz w:val="24"/>
          <w:szCs w:val="24"/>
        </w:rPr>
        <w:t xml:space="preserve"> </w:t>
      </w:r>
      <w:r w:rsidRPr="00562129">
        <w:rPr>
          <w:rStyle w:val="rynqvb"/>
          <w:rFonts w:ascii="Times New Roman" w:hAnsi="Times New Roman" w:cs="Times New Roman"/>
          <w:color w:val="3C4043"/>
          <w:sz w:val="24"/>
          <w:szCs w:val="24"/>
        </w:rPr>
        <w:t xml:space="preserve">Naujoji bendrovė, vadovaujama generalinio direktoriaus Paulo </w:t>
      </w:r>
      <w:proofErr w:type="spellStart"/>
      <w:r w:rsidRPr="00562129">
        <w:rPr>
          <w:rStyle w:val="rynqvb"/>
          <w:rFonts w:ascii="Times New Roman" w:hAnsi="Times New Roman" w:cs="Times New Roman"/>
          <w:color w:val="3C4043"/>
          <w:sz w:val="24"/>
          <w:szCs w:val="24"/>
        </w:rPr>
        <w:t>Nassaro</w:t>
      </w:r>
      <w:proofErr w:type="spellEnd"/>
      <w:r w:rsidRPr="00562129">
        <w:rPr>
          <w:rStyle w:val="rynqvb"/>
          <w:rFonts w:ascii="Times New Roman" w:hAnsi="Times New Roman" w:cs="Times New Roman"/>
          <w:color w:val="3C4043"/>
          <w:sz w:val="24"/>
          <w:szCs w:val="24"/>
        </w:rPr>
        <w:t xml:space="preserve">, gimė kaip viena didžiausių naminių gyvūnėlių platformų šalyje, jungianti šimtus fizinių parduotuvių, stiprų skaitmenizavimą, integruotas logistikos </w:t>
      </w:r>
      <w:r w:rsidRPr="00562129">
        <w:rPr>
          <w:rStyle w:val="rynqvb"/>
          <w:rFonts w:ascii="Times New Roman" w:hAnsi="Times New Roman" w:cs="Times New Roman"/>
          <w:color w:val="3C4043"/>
          <w:sz w:val="24"/>
          <w:szCs w:val="24"/>
        </w:rPr>
        <w:lastRenderedPageBreak/>
        <w:t>operacijas ir išplėstą privačių prekių ženklų, veterinarijos paslaugų ir daugiakanalės prekybos sprendimų portfelį.</w:t>
      </w:r>
    </w:p>
    <w:p w14:paraId="20CF4744" w14:textId="77777777" w:rsidR="00020269" w:rsidRPr="00562129" w:rsidRDefault="00020269" w:rsidP="00020269">
      <w:pPr>
        <w:spacing w:after="0" w:line="240" w:lineRule="auto"/>
        <w:rPr>
          <w:rFonts w:ascii="Times New Roman" w:hAnsi="Times New Roman" w:cs="Times New Roman"/>
          <w:sz w:val="24"/>
          <w:szCs w:val="24"/>
        </w:rPr>
      </w:pPr>
    </w:p>
    <w:p w14:paraId="660F37FE" w14:textId="2FC2B575" w:rsidR="005069B1" w:rsidRPr="00562129" w:rsidRDefault="005069B1" w:rsidP="005069B1">
      <w:pPr>
        <w:spacing w:after="0" w:line="240" w:lineRule="auto"/>
        <w:jc w:val="both"/>
        <w:rPr>
          <w:rFonts w:ascii="Times New Roman" w:eastAsia="Times New Roman" w:hAnsi="Times New Roman" w:cs="Times New Roman"/>
          <w:b/>
          <w:bCs/>
          <w:kern w:val="0"/>
          <w:sz w:val="24"/>
          <w:szCs w:val="24"/>
          <w:lang w:eastAsia="lt-LT"/>
          <w14:ligatures w14:val="none"/>
        </w:rPr>
      </w:pPr>
      <w:r w:rsidRPr="00562129">
        <w:rPr>
          <w:rFonts w:ascii="Times New Roman" w:eastAsia="Times New Roman" w:hAnsi="Times New Roman" w:cs="Times New Roman"/>
          <w:b/>
          <w:bCs/>
          <w:kern w:val="0"/>
          <w:sz w:val="24"/>
          <w:szCs w:val="24"/>
          <w:lang w:eastAsia="lt-LT"/>
          <w14:ligatures w14:val="none"/>
        </w:rPr>
        <w:t>Lietuvos verslo plėtrai užsienyje aktuali informacija</w:t>
      </w:r>
    </w:p>
    <w:p w14:paraId="57E4370E" w14:textId="77777777" w:rsidR="00CE5A83" w:rsidRPr="00562129" w:rsidRDefault="00CE5A83" w:rsidP="00C31C15">
      <w:pPr>
        <w:spacing w:after="0" w:line="240" w:lineRule="auto"/>
        <w:rPr>
          <w:rFonts w:ascii="Times New Roman" w:hAnsi="Times New Roman" w:cs="Times New Roman"/>
          <w:sz w:val="24"/>
          <w:szCs w:val="24"/>
        </w:rPr>
      </w:pPr>
    </w:p>
    <w:p w14:paraId="4D995BDA" w14:textId="2530BF3B" w:rsidR="00C31C15" w:rsidRPr="00562129" w:rsidRDefault="00C31C15" w:rsidP="00C31C15">
      <w:pPr>
        <w:spacing w:after="0" w:line="240" w:lineRule="auto"/>
        <w:rPr>
          <w:rFonts w:ascii="Times New Roman" w:hAnsi="Times New Roman" w:cs="Times New Roman"/>
          <w:b/>
          <w:bCs/>
          <w:sz w:val="24"/>
          <w:szCs w:val="24"/>
        </w:rPr>
      </w:pPr>
      <w:r w:rsidRPr="00562129">
        <w:rPr>
          <w:rFonts w:ascii="Times New Roman" w:hAnsi="Times New Roman" w:cs="Times New Roman"/>
          <w:b/>
          <w:bCs/>
          <w:sz w:val="24"/>
          <w:szCs w:val="24"/>
        </w:rPr>
        <w:t xml:space="preserve">ES kovo mėnesį paskelbs apie investicijas į 5 Brazilijoje veikiančias kasybos įmones. Apie tai turėtų būti pranešta </w:t>
      </w:r>
      <w:r w:rsidR="00CE5A83" w:rsidRPr="00562129">
        <w:rPr>
          <w:rFonts w:ascii="Times New Roman" w:hAnsi="Times New Roman" w:cs="Times New Roman"/>
          <w:b/>
          <w:bCs/>
          <w:sz w:val="24"/>
          <w:szCs w:val="24"/>
        </w:rPr>
        <w:t xml:space="preserve">būsimame </w:t>
      </w:r>
      <w:r w:rsidRPr="00562129">
        <w:rPr>
          <w:rFonts w:ascii="Times New Roman" w:hAnsi="Times New Roman" w:cs="Times New Roman"/>
          <w:b/>
          <w:bCs/>
          <w:sz w:val="24"/>
          <w:szCs w:val="24"/>
        </w:rPr>
        <w:t>ES-Brazilijos investicijų forume.</w:t>
      </w:r>
    </w:p>
    <w:p w14:paraId="0F6593BD" w14:textId="77777777" w:rsidR="00C31C15" w:rsidRPr="00562129" w:rsidRDefault="00C31C15" w:rsidP="00C31C15">
      <w:pPr>
        <w:spacing w:after="0" w:line="240" w:lineRule="auto"/>
        <w:rPr>
          <w:rFonts w:ascii="Times New Roman" w:hAnsi="Times New Roman" w:cs="Times New Roman"/>
          <w:b/>
          <w:bCs/>
          <w:sz w:val="24"/>
          <w:szCs w:val="24"/>
        </w:rPr>
      </w:pPr>
      <w:r w:rsidRPr="00562129">
        <w:rPr>
          <w:rFonts w:ascii="Times New Roman" w:hAnsi="Times New Roman" w:cs="Times New Roman"/>
          <w:b/>
          <w:bCs/>
          <w:sz w:val="24"/>
          <w:szCs w:val="24"/>
        </w:rPr>
        <w:t>Pasak „</w:t>
      </w:r>
      <w:proofErr w:type="spellStart"/>
      <w:r w:rsidRPr="00562129">
        <w:rPr>
          <w:rFonts w:ascii="Times New Roman" w:hAnsi="Times New Roman" w:cs="Times New Roman"/>
          <w:b/>
          <w:bCs/>
          <w:sz w:val="24"/>
          <w:szCs w:val="24"/>
        </w:rPr>
        <w:t>Apex</w:t>
      </w:r>
      <w:proofErr w:type="spellEnd"/>
      <w:r w:rsidRPr="00562129">
        <w:rPr>
          <w:rFonts w:ascii="Times New Roman" w:hAnsi="Times New Roman" w:cs="Times New Roman"/>
          <w:b/>
          <w:bCs/>
          <w:sz w:val="24"/>
          <w:szCs w:val="24"/>
        </w:rPr>
        <w:t xml:space="preserve"> Brasil“ (Brazilijos eksporto ir investicijų skatinimo agentūros), europiečiai domisi retųjų žemių elementų, nikelio, ličio ir mangano kasybos įmonėmis, kurios būtinos elektromobilių gamybai.</w:t>
      </w:r>
    </w:p>
    <w:p w14:paraId="46E16F75" w14:textId="72A6EE52" w:rsidR="00C31C15" w:rsidRPr="00562129" w:rsidRDefault="00CE5A83" w:rsidP="00C31C15">
      <w:pPr>
        <w:spacing w:after="0" w:line="240" w:lineRule="auto"/>
        <w:rPr>
          <w:rFonts w:ascii="Times New Roman" w:hAnsi="Times New Roman" w:cs="Times New Roman"/>
          <w:sz w:val="24"/>
          <w:szCs w:val="24"/>
        </w:rPr>
      </w:pPr>
      <w:r w:rsidRPr="00562129">
        <w:rPr>
          <w:rFonts w:ascii="Times New Roman" w:hAnsi="Times New Roman" w:cs="Times New Roman"/>
          <w:sz w:val="24"/>
          <w:szCs w:val="24"/>
        </w:rPr>
        <w:t>V</w:t>
      </w:r>
      <w:r w:rsidR="00C31C15" w:rsidRPr="00562129">
        <w:rPr>
          <w:rFonts w:ascii="Times New Roman" w:hAnsi="Times New Roman" w:cs="Times New Roman"/>
          <w:sz w:val="24"/>
          <w:szCs w:val="24"/>
        </w:rPr>
        <w:t>iena iš šių įmonių yra „</w:t>
      </w:r>
      <w:proofErr w:type="spellStart"/>
      <w:r w:rsidR="00C31C15" w:rsidRPr="00562129">
        <w:rPr>
          <w:rFonts w:ascii="Times New Roman" w:hAnsi="Times New Roman" w:cs="Times New Roman"/>
          <w:sz w:val="24"/>
          <w:szCs w:val="24"/>
        </w:rPr>
        <w:t>Viridis</w:t>
      </w:r>
      <w:proofErr w:type="spellEnd"/>
      <w:r w:rsidR="00C31C15" w:rsidRPr="00562129">
        <w:rPr>
          <w:rFonts w:ascii="Times New Roman" w:hAnsi="Times New Roman" w:cs="Times New Roman"/>
          <w:sz w:val="24"/>
          <w:szCs w:val="24"/>
        </w:rPr>
        <w:t>“, kurios akcijomis prekiaujama Sidnėjaus vertybinių popierių biržoje, tačiau pagrindinis akcininkas yra Brazilijos fondas. Kasybos įmonė planuoja nuo 2028 m. išgauti retuosius žemių elementus Minas Gerais valstijoje ir jau derasi su Europos investuotojais –  Prancūzijos vyriausybės eksporto bankas yra atsakingas už pusę kasybos įmonės skolos, kurią ji prisiėmė savo projektui įgyvendinti.</w:t>
      </w:r>
    </w:p>
    <w:p w14:paraId="517DC560" w14:textId="77777777" w:rsidR="00C31C15" w:rsidRPr="00562129" w:rsidRDefault="00C31C15" w:rsidP="00C31C15">
      <w:pPr>
        <w:spacing w:after="0" w:line="240" w:lineRule="auto"/>
        <w:rPr>
          <w:rFonts w:ascii="Times New Roman" w:hAnsi="Times New Roman" w:cs="Times New Roman"/>
          <w:sz w:val="24"/>
          <w:szCs w:val="24"/>
        </w:rPr>
      </w:pPr>
      <w:r w:rsidRPr="00562129">
        <w:rPr>
          <w:rFonts w:ascii="Times New Roman" w:hAnsi="Times New Roman" w:cs="Times New Roman"/>
          <w:sz w:val="24"/>
          <w:szCs w:val="24"/>
        </w:rPr>
        <w:t>Investicijos taip pat gali būti skirtos „</w:t>
      </w:r>
      <w:proofErr w:type="spellStart"/>
      <w:r w:rsidRPr="00562129">
        <w:rPr>
          <w:rFonts w:ascii="Times New Roman" w:hAnsi="Times New Roman" w:cs="Times New Roman"/>
          <w:sz w:val="24"/>
          <w:szCs w:val="24"/>
        </w:rPr>
        <w:t>Brazilian</w:t>
      </w:r>
      <w:proofErr w:type="spellEnd"/>
      <w:r w:rsidRPr="00562129">
        <w:rPr>
          <w:rFonts w:ascii="Times New Roman" w:hAnsi="Times New Roman" w:cs="Times New Roman"/>
          <w:sz w:val="24"/>
          <w:szCs w:val="24"/>
        </w:rPr>
        <w:t xml:space="preserve"> </w:t>
      </w:r>
      <w:proofErr w:type="spellStart"/>
      <w:r w:rsidRPr="00562129">
        <w:rPr>
          <w:rFonts w:ascii="Times New Roman" w:hAnsi="Times New Roman" w:cs="Times New Roman"/>
          <w:sz w:val="24"/>
          <w:szCs w:val="24"/>
        </w:rPr>
        <w:t>Nickel</w:t>
      </w:r>
      <w:proofErr w:type="spellEnd"/>
      <w:r w:rsidRPr="00562129">
        <w:rPr>
          <w:rFonts w:ascii="Times New Roman" w:hAnsi="Times New Roman" w:cs="Times New Roman"/>
          <w:sz w:val="24"/>
          <w:szCs w:val="24"/>
        </w:rPr>
        <w:t xml:space="preserve">“, kuri planuoja veikti </w:t>
      </w:r>
      <w:proofErr w:type="spellStart"/>
      <w:r w:rsidRPr="00562129">
        <w:rPr>
          <w:rFonts w:ascii="Times New Roman" w:hAnsi="Times New Roman" w:cs="Times New Roman"/>
          <w:sz w:val="24"/>
          <w:szCs w:val="24"/>
        </w:rPr>
        <w:t>Piauí</w:t>
      </w:r>
      <w:proofErr w:type="spellEnd"/>
      <w:r w:rsidRPr="00562129">
        <w:rPr>
          <w:rFonts w:ascii="Times New Roman" w:hAnsi="Times New Roman" w:cs="Times New Roman"/>
          <w:sz w:val="24"/>
          <w:szCs w:val="24"/>
        </w:rPr>
        <w:t xml:space="preserve">, ir „AMG </w:t>
      </w:r>
      <w:proofErr w:type="spellStart"/>
      <w:r w:rsidRPr="00562129">
        <w:rPr>
          <w:rFonts w:ascii="Times New Roman" w:hAnsi="Times New Roman" w:cs="Times New Roman"/>
          <w:sz w:val="24"/>
          <w:szCs w:val="24"/>
        </w:rPr>
        <w:t>Lithium</w:t>
      </w:r>
      <w:proofErr w:type="spellEnd"/>
      <w:r w:rsidRPr="00562129">
        <w:rPr>
          <w:rFonts w:ascii="Times New Roman" w:hAnsi="Times New Roman" w:cs="Times New Roman"/>
          <w:sz w:val="24"/>
          <w:szCs w:val="24"/>
        </w:rPr>
        <w:t>“, kuri jau išgauna litį Minas Gerais. Pastaroji jau turi ličio perdirbimo gamyklą Vokietijoje ir gruodį gavo 36 mln. eurų iš Vokietijos vyriausybės fondo savo veiklai plėsti Europoje. Europos Sąjunga yra suinteresuota, kad šių mineralų perdirbimas ir rafinavimas būtų atliekamas Brazilijoje, nes mineralų gavybos ir perdirbimo procesas sunaudoja daug energijos, o Brazilija turi švariausią elektros energijos matricą pasaulyje ir dėl to mažiausią anglies pėdsaką.</w:t>
      </w:r>
    </w:p>
    <w:p w14:paraId="4EA6E7E7" w14:textId="77777777" w:rsidR="005069B1" w:rsidRPr="00562129" w:rsidRDefault="005069B1" w:rsidP="005069B1">
      <w:pPr>
        <w:spacing w:after="0" w:line="240" w:lineRule="auto"/>
        <w:jc w:val="both"/>
        <w:rPr>
          <w:rFonts w:ascii="Times New Roman" w:eastAsia="Times New Roman" w:hAnsi="Times New Roman" w:cs="Times New Roman"/>
          <w:b/>
          <w:bCs/>
          <w:kern w:val="0"/>
          <w:sz w:val="24"/>
          <w:szCs w:val="24"/>
          <w:lang w:eastAsia="lt-LT"/>
          <w14:ligatures w14:val="none"/>
        </w:rPr>
      </w:pPr>
    </w:p>
    <w:p w14:paraId="3D6806F3" w14:textId="67F4CFAA" w:rsidR="00C31C15" w:rsidRPr="00562129" w:rsidRDefault="00C31C15" w:rsidP="00C31C15">
      <w:pPr>
        <w:spacing w:after="0" w:line="240" w:lineRule="auto"/>
        <w:rPr>
          <w:rFonts w:ascii="Times New Roman" w:hAnsi="Times New Roman" w:cs="Times New Roman"/>
          <w:b/>
          <w:bCs/>
          <w:sz w:val="24"/>
          <w:szCs w:val="24"/>
        </w:rPr>
      </w:pPr>
      <w:r w:rsidRPr="00562129">
        <w:rPr>
          <w:rFonts w:ascii="Times New Roman" w:hAnsi="Times New Roman" w:cs="Times New Roman"/>
          <w:b/>
          <w:bCs/>
          <w:sz w:val="24"/>
          <w:szCs w:val="24"/>
        </w:rPr>
        <w:t xml:space="preserve">Europos prekybos komisaras </w:t>
      </w:r>
      <w:proofErr w:type="spellStart"/>
      <w:r w:rsidRPr="00562129">
        <w:rPr>
          <w:rFonts w:ascii="Times New Roman" w:hAnsi="Times New Roman" w:cs="Times New Roman"/>
          <w:b/>
          <w:bCs/>
          <w:sz w:val="24"/>
          <w:szCs w:val="24"/>
        </w:rPr>
        <w:t>M.Šefčovičius</w:t>
      </w:r>
      <w:proofErr w:type="spellEnd"/>
      <w:r w:rsidRPr="00562129">
        <w:rPr>
          <w:rFonts w:ascii="Times New Roman" w:hAnsi="Times New Roman" w:cs="Times New Roman"/>
          <w:b/>
          <w:bCs/>
          <w:sz w:val="24"/>
          <w:szCs w:val="24"/>
        </w:rPr>
        <w:t xml:space="preserve"> paprašė Brazilijos užsienio reikalų ministro Mauro </w:t>
      </w:r>
      <w:proofErr w:type="spellStart"/>
      <w:r w:rsidRPr="00562129">
        <w:rPr>
          <w:rFonts w:ascii="Times New Roman" w:hAnsi="Times New Roman" w:cs="Times New Roman"/>
          <w:b/>
          <w:bCs/>
          <w:sz w:val="24"/>
          <w:szCs w:val="24"/>
        </w:rPr>
        <w:t>Vieira</w:t>
      </w:r>
      <w:proofErr w:type="spellEnd"/>
      <w:r w:rsidRPr="00562129">
        <w:rPr>
          <w:rFonts w:ascii="Times New Roman" w:hAnsi="Times New Roman" w:cs="Times New Roman"/>
          <w:b/>
          <w:bCs/>
          <w:sz w:val="24"/>
          <w:szCs w:val="24"/>
        </w:rPr>
        <w:t xml:space="preserve"> padėti atšaukti vyriausybės veto dėl laivybos bendrovių dalyvavimo konkurse</w:t>
      </w:r>
      <w:r w:rsidR="00CE5A83" w:rsidRPr="00562129">
        <w:rPr>
          <w:rFonts w:ascii="Times New Roman" w:hAnsi="Times New Roman" w:cs="Times New Roman"/>
          <w:b/>
          <w:bCs/>
          <w:sz w:val="24"/>
          <w:szCs w:val="24"/>
        </w:rPr>
        <w:t xml:space="preserve"> dėl didžiausio konteinerių terminalo Santos uoste įsigijimo</w:t>
      </w:r>
      <w:r w:rsidRPr="00562129">
        <w:rPr>
          <w:rFonts w:ascii="Times New Roman" w:hAnsi="Times New Roman" w:cs="Times New Roman"/>
          <w:b/>
          <w:bCs/>
          <w:sz w:val="24"/>
          <w:szCs w:val="24"/>
        </w:rPr>
        <w:t>. Veto įtakoja tokių Europos gigantų kaip Danijos „</w:t>
      </w:r>
      <w:proofErr w:type="spellStart"/>
      <w:r w:rsidRPr="00562129">
        <w:rPr>
          <w:rFonts w:ascii="Times New Roman" w:hAnsi="Times New Roman" w:cs="Times New Roman"/>
          <w:b/>
          <w:bCs/>
          <w:sz w:val="24"/>
          <w:szCs w:val="24"/>
        </w:rPr>
        <w:t>Maersk</w:t>
      </w:r>
      <w:proofErr w:type="spellEnd"/>
      <w:r w:rsidRPr="00562129">
        <w:rPr>
          <w:rFonts w:ascii="Times New Roman" w:hAnsi="Times New Roman" w:cs="Times New Roman"/>
          <w:b/>
          <w:bCs/>
          <w:sz w:val="24"/>
          <w:szCs w:val="24"/>
        </w:rPr>
        <w:t>“ ir Šveicarijos „MSC“ dalyvavimo galimybes.</w:t>
      </w:r>
    </w:p>
    <w:p w14:paraId="4838456F" w14:textId="75B06A26" w:rsidR="00C31C15" w:rsidRPr="00562129" w:rsidRDefault="00C31C15" w:rsidP="00C31C15">
      <w:pPr>
        <w:spacing w:after="0" w:line="240" w:lineRule="auto"/>
        <w:rPr>
          <w:rFonts w:ascii="Times New Roman" w:hAnsi="Times New Roman" w:cs="Times New Roman"/>
          <w:sz w:val="24"/>
          <w:szCs w:val="24"/>
        </w:rPr>
      </w:pPr>
      <w:r w:rsidRPr="00562129">
        <w:rPr>
          <w:rFonts w:ascii="Times New Roman" w:hAnsi="Times New Roman" w:cs="Times New Roman"/>
          <w:sz w:val="24"/>
          <w:szCs w:val="24"/>
        </w:rPr>
        <w:t>„</w:t>
      </w:r>
      <w:proofErr w:type="spellStart"/>
      <w:r w:rsidRPr="00562129">
        <w:rPr>
          <w:rFonts w:ascii="Times New Roman" w:hAnsi="Times New Roman" w:cs="Times New Roman"/>
          <w:sz w:val="24"/>
          <w:szCs w:val="24"/>
        </w:rPr>
        <w:t>Tecon</w:t>
      </w:r>
      <w:proofErr w:type="spellEnd"/>
      <w:r w:rsidRPr="00562129">
        <w:rPr>
          <w:rFonts w:ascii="Times New Roman" w:hAnsi="Times New Roman" w:cs="Times New Roman"/>
          <w:sz w:val="24"/>
          <w:szCs w:val="24"/>
        </w:rPr>
        <w:t xml:space="preserve"> Santos 10“ terminale numatomos investicijos, viršijančios 6 mlrd. BRL, ir 50 % padidinsiančios didžiausio Lotynų Amerikos uosto krovos pajėgumus, kurie jau beveik pasiekia savo pajėgumo ribas.</w:t>
      </w:r>
      <w:r w:rsidR="00CE5A83" w:rsidRPr="00562129">
        <w:rPr>
          <w:rFonts w:ascii="Times New Roman" w:hAnsi="Times New Roman" w:cs="Times New Roman"/>
          <w:sz w:val="24"/>
          <w:szCs w:val="24"/>
        </w:rPr>
        <w:t xml:space="preserve"> </w:t>
      </w:r>
      <w:r w:rsidRPr="00562129">
        <w:rPr>
          <w:rFonts w:ascii="Times New Roman" w:hAnsi="Times New Roman" w:cs="Times New Roman"/>
          <w:sz w:val="24"/>
          <w:szCs w:val="24"/>
        </w:rPr>
        <w:t>Konkursas numatytas balandžio mėnesį. Praėjusį mėnesį Brazilijos vyriausybė nusprendė neleisti laivybos įmonių savininkams dalyvauti, siekiant išvengti vertikalios uostų sektoriaus integracijos – laivybos bendrovėms vienu metu kontroliuojant jūrų krovinių ir didelių konteinerių terminalus šalyje.</w:t>
      </w:r>
    </w:p>
    <w:p w14:paraId="31CC8D9D" w14:textId="77777777" w:rsidR="00C31C15" w:rsidRPr="00562129" w:rsidRDefault="00C31C15" w:rsidP="00C31C15">
      <w:pPr>
        <w:spacing w:after="0" w:line="240" w:lineRule="auto"/>
        <w:rPr>
          <w:rFonts w:ascii="Times New Roman" w:hAnsi="Times New Roman" w:cs="Times New Roman"/>
          <w:sz w:val="24"/>
          <w:szCs w:val="24"/>
        </w:rPr>
      </w:pPr>
      <w:r w:rsidRPr="00562129">
        <w:rPr>
          <w:rFonts w:ascii="Times New Roman" w:hAnsi="Times New Roman" w:cs="Times New Roman"/>
          <w:sz w:val="24"/>
          <w:szCs w:val="24"/>
        </w:rPr>
        <w:t>Šveicarijos valdžia taip pat pradėjo spaudimo taktiką, siekdama užsitikrinti MSC dalyvavimą „</w:t>
      </w:r>
      <w:proofErr w:type="spellStart"/>
      <w:r w:rsidRPr="00562129">
        <w:rPr>
          <w:rFonts w:ascii="Times New Roman" w:hAnsi="Times New Roman" w:cs="Times New Roman"/>
          <w:sz w:val="24"/>
          <w:szCs w:val="24"/>
        </w:rPr>
        <w:t>Tecon</w:t>
      </w:r>
      <w:proofErr w:type="spellEnd"/>
      <w:r w:rsidRPr="00562129">
        <w:rPr>
          <w:rFonts w:ascii="Times New Roman" w:hAnsi="Times New Roman" w:cs="Times New Roman"/>
          <w:sz w:val="24"/>
          <w:szCs w:val="24"/>
        </w:rPr>
        <w:t xml:space="preserve"> Santos 10“ konkurse – perspėjo, kad </w:t>
      </w:r>
      <w:proofErr w:type="spellStart"/>
      <w:r w:rsidRPr="00562129">
        <w:rPr>
          <w:rFonts w:ascii="Times New Roman" w:hAnsi="Times New Roman" w:cs="Times New Roman"/>
          <w:sz w:val="24"/>
          <w:szCs w:val="24"/>
        </w:rPr>
        <w:t>Mercosur</w:t>
      </w:r>
      <w:proofErr w:type="spellEnd"/>
      <w:r w:rsidRPr="00562129">
        <w:rPr>
          <w:rFonts w:ascii="Times New Roman" w:hAnsi="Times New Roman" w:cs="Times New Roman"/>
          <w:sz w:val="24"/>
          <w:szCs w:val="24"/>
        </w:rPr>
        <w:t xml:space="preserve"> ir ELPA laisvosios prekybos susitarimo ratifikavimas gali sulaukti Šveicarijos parlamento narių pasipriešinimo dėl taikomų konkurso apribojimų.</w:t>
      </w:r>
    </w:p>
    <w:p w14:paraId="0F619528" w14:textId="77777777" w:rsidR="00C31C15" w:rsidRPr="00562129" w:rsidRDefault="00C31C15" w:rsidP="00C31C15">
      <w:pPr>
        <w:spacing w:after="0" w:line="240" w:lineRule="auto"/>
        <w:rPr>
          <w:rFonts w:ascii="Times New Roman" w:hAnsi="Times New Roman" w:cs="Times New Roman"/>
          <w:sz w:val="24"/>
          <w:szCs w:val="24"/>
        </w:rPr>
      </w:pPr>
      <w:r w:rsidRPr="00562129">
        <w:rPr>
          <w:rFonts w:ascii="Times New Roman" w:hAnsi="Times New Roman" w:cs="Times New Roman"/>
          <w:sz w:val="24"/>
          <w:szCs w:val="24"/>
        </w:rPr>
        <w:t xml:space="preserve">Kinijos bendrovė </w:t>
      </w:r>
      <w:proofErr w:type="spellStart"/>
      <w:r w:rsidRPr="00562129">
        <w:rPr>
          <w:rFonts w:ascii="Times New Roman" w:hAnsi="Times New Roman" w:cs="Times New Roman"/>
          <w:sz w:val="24"/>
          <w:szCs w:val="24"/>
        </w:rPr>
        <w:t>Cosco</w:t>
      </w:r>
      <w:proofErr w:type="spellEnd"/>
      <w:r w:rsidRPr="00562129">
        <w:rPr>
          <w:rFonts w:ascii="Times New Roman" w:hAnsi="Times New Roman" w:cs="Times New Roman"/>
          <w:sz w:val="24"/>
          <w:szCs w:val="24"/>
        </w:rPr>
        <w:t xml:space="preserve"> taip pat spaudžia ir jau pateikė prašymą Brazilijos institucijoms peržiūrėti gruodžio mėnesį priimtą sprendimą.</w:t>
      </w:r>
    </w:p>
    <w:p w14:paraId="2DA3E032" w14:textId="77777777" w:rsidR="00C31C15" w:rsidRPr="00562129" w:rsidRDefault="00C31C15" w:rsidP="00C31C15">
      <w:pPr>
        <w:spacing w:after="0" w:line="240" w:lineRule="auto"/>
        <w:rPr>
          <w:rFonts w:ascii="Times New Roman" w:hAnsi="Times New Roman" w:cs="Times New Roman"/>
          <w:sz w:val="24"/>
          <w:szCs w:val="24"/>
        </w:rPr>
      </w:pPr>
      <w:r w:rsidRPr="00562129">
        <w:rPr>
          <w:rFonts w:ascii="Times New Roman" w:hAnsi="Times New Roman" w:cs="Times New Roman"/>
          <w:sz w:val="24"/>
          <w:szCs w:val="24"/>
        </w:rPr>
        <w:t xml:space="preserve">Pasak Brazilijos Uostų ir oro uostų ministro, Santos uosto aukciono apribojimai neturės įtakos konkurencijai. Esą konkursu domisi mažiausiai dešimt kompanijų, tarp jų Filipinų bendrovė </w:t>
      </w:r>
      <w:proofErr w:type="spellStart"/>
      <w:r w:rsidRPr="00562129">
        <w:rPr>
          <w:rFonts w:ascii="Times New Roman" w:hAnsi="Times New Roman" w:cs="Times New Roman"/>
          <w:sz w:val="24"/>
          <w:szCs w:val="24"/>
        </w:rPr>
        <w:t>ICTSI,o</w:t>
      </w:r>
      <w:proofErr w:type="spellEnd"/>
      <w:r w:rsidRPr="00562129">
        <w:rPr>
          <w:rFonts w:ascii="Times New Roman" w:hAnsi="Times New Roman" w:cs="Times New Roman"/>
          <w:sz w:val="24"/>
          <w:szCs w:val="24"/>
        </w:rPr>
        <w:t xml:space="preserve"> taip pat „JBS Terminais“.</w:t>
      </w:r>
    </w:p>
    <w:p w14:paraId="3FE7DF23" w14:textId="77777777" w:rsidR="00C31C15" w:rsidRPr="00562129" w:rsidRDefault="00C31C15" w:rsidP="005069B1">
      <w:pPr>
        <w:spacing w:after="0" w:line="240" w:lineRule="auto"/>
        <w:jc w:val="both"/>
        <w:rPr>
          <w:rFonts w:ascii="Times New Roman" w:eastAsia="Times New Roman" w:hAnsi="Times New Roman" w:cs="Times New Roman"/>
          <w:b/>
          <w:bCs/>
          <w:kern w:val="0"/>
          <w:sz w:val="24"/>
          <w:szCs w:val="24"/>
          <w:lang w:eastAsia="lt-LT"/>
          <w14:ligatures w14:val="none"/>
        </w:rPr>
      </w:pPr>
    </w:p>
    <w:p w14:paraId="6BEC9C18" w14:textId="77777777" w:rsidR="00C31C15" w:rsidRPr="00562129" w:rsidRDefault="00C31C15" w:rsidP="00C31C15">
      <w:pPr>
        <w:spacing w:after="0" w:line="240" w:lineRule="auto"/>
        <w:rPr>
          <w:rFonts w:ascii="Times New Roman" w:hAnsi="Times New Roman" w:cs="Times New Roman"/>
          <w:sz w:val="24"/>
          <w:szCs w:val="24"/>
          <w:lang w:val="pt-BR"/>
        </w:rPr>
      </w:pPr>
      <w:r w:rsidRPr="00562129">
        <w:rPr>
          <w:rFonts w:ascii="Times New Roman" w:hAnsi="Times New Roman" w:cs="Times New Roman"/>
          <w:b/>
          <w:bCs/>
          <w:sz w:val="24"/>
          <w:szCs w:val="24"/>
          <w:lang w:val="pt-BR"/>
        </w:rPr>
        <w:t>Pasak Brazilijos Centrinio banko, Brazilijoje 2025 m. bendras neigiamas valiutos srautas siekė 33,3 mlrd. JAV dolerių</w:t>
      </w:r>
      <w:r w:rsidRPr="00562129">
        <w:rPr>
          <w:rFonts w:ascii="Times New Roman" w:hAnsi="Times New Roman" w:cs="Times New Roman"/>
          <w:sz w:val="24"/>
          <w:szCs w:val="24"/>
          <w:lang w:val="pt-BR"/>
        </w:rPr>
        <w:t>, o šį judėjimą lėmė finansų sektorius. Praėjusiais metais finansinių stautų nutekėjimas iš šalies buvo daug didesnis nei 2024 m., kai jis siekė 18,6 mlrd. JAV dolerių. Vien 2025 m. gruodžio mėnesį, remiantis CB duomenimis, iš šalies išvesta 13,6 mlrd. JAV dolerių grynoji suma.</w:t>
      </w:r>
    </w:p>
    <w:p w14:paraId="16BD016E" w14:textId="77777777" w:rsidR="00C31C15" w:rsidRPr="00562129" w:rsidRDefault="00C31C15" w:rsidP="005069B1">
      <w:pPr>
        <w:spacing w:after="0" w:line="240" w:lineRule="auto"/>
        <w:jc w:val="both"/>
        <w:rPr>
          <w:rFonts w:ascii="Times New Roman" w:eastAsia="Times New Roman" w:hAnsi="Times New Roman" w:cs="Times New Roman"/>
          <w:kern w:val="0"/>
          <w:sz w:val="24"/>
          <w:szCs w:val="24"/>
          <w:lang w:eastAsia="lt-LT"/>
          <w14:ligatures w14:val="none"/>
        </w:rPr>
      </w:pPr>
    </w:p>
    <w:p w14:paraId="607F5405" w14:textId="77777777" w:rsidR="00C31C15" w:rsidRPr="00562129" w:rsidRDefault="00C31C15" w:rsidP="00C31C15">
      <w:pPr>
        <w:spacing w:after="0" w:line="240" w:lineRule="auto"/>
        <w:rPr>
          <w:rFonts w:ascii="Times New Roman" w:hAnsi="Times New Roman" w:cs="Times New Roman"/>
          <w:sz w:val="24"/>
          <w:szCs w:val="24"/>
        </w:rPr>
      </w:pPr>
    </w:p>
    <w:p w14:paraId="0FC73CC1" w14:textId="77777777" w:rsidR="00C31C15" w:rsidRPr="00562129" w:rsidRDefault="00C31C15" w:rsidP="00C31C15">
      <w:pPr>
        <w:spacing w:after="0" w:line="240" w:lineRule="auto"/>
        <w:rPr>
          <w:rFonts w:ascii="Times New Roman" w:hAnsi="Times New Roman" w:cs="Times New Roman"/>
          <w:sz w:val="24"/>
          <w:szCs w:val="24"/>
        </w:rPr>
      </w:pPr>
      <w:r w:rsidRPr="00562129">
        <w:rPr>
          <w:rFonts w:ascii="Times New Roman" w:hAnsi="Times New Roman" w:cs="Times New Roman"/>
          <w:sz w:val="24"/>
          <w:szCs w:val="24"/>
        </w:rPr>
        <w:lastRenderedPageBreak/>
        <w:t xml:space="preserve">Ispanijos bendrovės Brazilijoje </w:t>
      </w:r>
      <w:proofErr w:type="spellStart"/>
      <w:r w:rsidRPr="00562129">
        <w:rPr>
          <w:rFonts w:ascii="Times New Roman" w:hAnsi="Times New Roman" w:cs="Times New Roman"/>
          <w:sz w:val="24"/>
          <w:szCs w:val="24"/>
        </w:rPr>
        <w:t>Air</w:t>
      </w:r>
      <w:proofErr w:type="spellEnd"/>
      <w:r w:rsidRPr="00562129">
        <w:rPr>
          <w:rFonts w:ascii="Times New Roman" w:hAnsi="Times New Roman" w:cs="Times New Roman"/>
          <w:sz w:val="24"/>
          <w:szCs w:val="24"/>
        </w:rPr>
        <w:t xml:space="preserve"> Europa vidutinis skrydžių užimtumas praėjusiais metais siekė 93 %, o tai laikoma išskirtiniu lygiu komercinei aviacijai. Iki pandemijos 2018 ir 2019 m. šis rodiklis siekė 83–85 %. </w:t>
      </w:r>
    </w:p>
    <w:p w14:paraId="69727208" w14:textId="77777777" w:rsidR="00C31C15" w:rsidRPr="00562129" w:rsidRDefault="00C31C15" w:rsidP="00C31C15">
      <w:pPr>
        <w:spacing w:after="0" w:line="240" w:lineRule="auto"/>
        <w:rPr>
          <w:rFonts w:ascii="Times New Roman" w:hAnsi="Times New Roman" w:cs="Times New Roman"/>
          <w:b/>
          <w:bCs/>
          <w:sz w:val="24"/>
          <w:szCs w:val="24"/>
        </w:rPr>
      </w:pPr>
      <w:r w:rsidRPr="00562129">
        <w:rPr>
          <w:rFonts w:ascii="Times New Roman" w:hAnsi="Times New Roman" w:cs="Times New Roman"/>
          <w:b/>
          <w:bCs/>
          <w:sz w:val="24"/>
          <w:szCs w:val="24"/>
        </w:rPr>
        <w:t xml:space="preserve">Geri rezultatai Brazilijoje rodo platesnį tarptautinio turizmo atsigavimą ir plėtrą. 2025 m. šalyje užregistruotas rekordinis užsienio lankytojų skaičius – beveik 10 milijonų, gerokai daugiau nei istorinis 7–8 milijonų vidurkis. </w:t>
      </w:r>
      <w:proofErr w:type="spellStart"/>
      <w:r w:rsidRPr="00562129">
        <w:rPr>
          <w:rFonts w:ascii="Times New Roman" w:hAnsi="Times New Roman" w:cs="Times New Roman"/>
          <w:b/>
          <w:bCs/>
          <w:sz w:val="24"/>
          <w:szCs w:val="24"/>
        </w:rPr>
        <w:t>Air</w:t>
      </w:r>
      <w:proofErr w:type="spellEnd"/>
      <w:r w:rsidRPr="00562129">
        <w:rPr>
          <w:rFonts w:ascii="Times New Roman" w:hAnsi="Times New Roman" w:cs="Times New Roman"/>
          <w:b/>
          <w:bCs/>
          <w:sz w:val="24"/>
          <w:szCs w:val="24"/>
        </w:rPr>
        <w:t xml:space="preserve"> Europa vykdo 11 skrydžių per savaitę tarp Brazilijos ir Madrido: septynis iš San Paulo ir keturis iš Salvadoro.</w:t>
      </w:r>
    </w:p>
    <w:p w14:paraId="668D8667" w14:textId="77777777" w:rsidR="00C31C15" w:rsidRPr="00562129" w:rsidRDefault="00C31C15" w:rsidP="00C31C15">
      <w:pPr>
        <w:spacing w:after="0" w:line="240" w:lineRule="auto"/>
        <w:rPr>
          <w:rFonts w:ascii="Times New Roman" w:hAnsi="Times New Roman" w:cs="Times New Roman"/>
          <w:sz w:val="24"/>
          <w:szCs w:val="24"/>
        </w:rPr>
      </w:pPr>
      <w:r w:rsidRPr="00562129">
        <w:rPr>
          <w:rFonts w:ascii="Times New Roman" w:hAnsi="Times New Roman" w:cs="Times New Roman"/>
          <w:sz w:val="24"/>
          <w:szCs w:val="24"/>
        </w:rPr>
        <w:t>Labai svarbu nuolatos reklamuoti Braziliją užsienyje. Pagerėjęs tarptautinis Brazilijos, kaip kelionės tikslo, suvokimas susijęs ir su valiutos kursu aplinka, kuri 2025 m. įkvėpė didesnį užsienio turistų pasitikėjimą.</w:t>
      </w:r>
    </w:p>
    <w:p w14:paraId="5E6A1407" w14:textId="77777777" w:rsidR="00C31C15" w:rsidRPr="00562129" w:rsidRDefault="00C31C15" w:rsidP="00C31C15">
      <w:pPr>
        <w:spacing w:after="0" w:line="240" w:lineRule="auto"/>
        <w:rPr>
          <w:rFonts w:ascii="Times New Roman" w:hAnsi="Times New Roman" w:cs="Times New Roman"/>
          <w:sz w:val="24"/>
          <w:szCs w:val="24"/>
        </w:rPr>
      </w:pPr>
      <w:r w:rsidRPr="00562129">
        <w:rPr>
          <w:rFonts w:ascii="Times New Roman" w:hAnsi="Times New Roman" w:cs="Times New Roman"/>
          <w:b/>
          <w:bCs/>
          <w:sz w:val="24"/>
          <w:szCs w:val="24"/>
        </w:rPr>
        <w:t>Kitas svarbus veiksnys buvo vietų pasiūlos augimas Brazilijos rinkoje</w:t>
      </w:r>
      <w:r w:rsidRPr="00562129">
        <w:rPr>
          <w:rFonts w:ascii="Times New Roman" w:hAnsi="Times New Roman" w:cs="Times New Roman"/>
          <w:sz w:val="24"/>
          <w:szCs w:val="24"/>
        </w:rPr>
        <w:t xml:space="preserve">. Padidėjęs tarptautinių ir vidaus skrydžių skaičius išplėtė keleivių pasirinkimo galimybes ir padėjo išlaikyti aukštą užimtumo lygį. Tuo pačiu metu oro uostų ir viešbučių infrastruktūros plėtra sustiprino šalies gebėjimą priimti lankytojus. </w:t>
      </w:r>
    </w:p>
    <w:p w14:paraId="268F3EFD" w14:textId="77777777" w:rsidR="00C31C15" w:rsidRPr="00562129" w:rsidRDefault="00C31C15" w:rsidP="00C31C15">
      <w:pPr>
        <w:spacing w:after="0" w:line="240" w:lineRule="auto"/>
        <w:rPr>
          <w:rFonts w:ascii="Times New Roman" w:hAnsi="Times New Roman" w:cs="Times New Roman"/>
          <w:b/>
          <w:bCs/>
          <w:sz w:val="24"/>
          <w:szCs w:val="24"/>
        </w:rPr>
      </w:pPr>
      <w:r w:rsidRPr="00562129">
        <w:rPr>
          <w:rFonts w:ascii="Times New Roman" w:hAnsi="Times New Roman" w:cs="Times New Roman"/>
          <w:b/>
          <w:bCs/>
          <w:sz w:val="24"/>
          <w:szCs w:val="24"/>
        </w:rPr>
        <w:t>Be to, griežtesnė JAV imigracijos politika nukreipė dalį Brazilijos keleivių į Europos žemyną</w:t>
      </w:r>
      <w:r w:rsidRPr="00562129">
        <w:rPr>
          <w:rFonts w:ascii="Times New Roman" w:hAnsi="Times New Roman" w:cs="Times New Roman"/>
          <w:sz w:val="24"/>
          <w:szCs w:val="24"/>
        </w:rPr>
        <w:t xml:space="preserve">, </w:t>
      </w:r>
      <w:r w:rsidRPr="00562129">
        <w:rPr>
          <w:rFonts w:ascii="Times New Roman" w:hAnsi="Times New Roman" w:cs="Times New Roman"/>
          <w:b/>
          <w:bCs/>
          <w:sz w:val="24"/>
          <w:szCs w:val="24"/>
        </w:rPr>
        <w:t xml:space="preserve">kur santykinis euro stabilumas dolerio atžvilgiu ir galimybė lengvai keliauti per kelias šalis padarė Europą </w:t>
      </w:r>
      <w:proofErr w:type="spellStart"/>
      <w:r w:rsidRPr="00562129">
        <w:rPr>
          <w:rFonts w:ascii="Times New Roman" w:hAnsi="Times New Roman" w:cs="Times New Roman"/>
          <w:b/>
          <w:bCs/>
          <w:sz w:val="24"/>
          <w:szCs w:val="24"/>
        </w:rPr>
        <w:t>prieinamesnę</w:t>
      </w:r>
      <w:proofErr w:type="spellEnd"/>
      <w:r w:rsidRPr="00562129">
        <w:rPr>
          <w:rFonts w:ascii="Times New Roman" w:hAnsi="Times New Roman" w:cs="Times New Roman"/>
          <w:b/>
          <w:bCs/>
          <w:sz w:val="24"/>
          <w:szCs w:val="24"/>
        </w:rPr>
        <w:t xml:space="preserve"> Brazilijos turistams. </w:t>
      </w:r>
    </w:p>
    <w:p w14:paraId="60703FB5" w14:textId="77777777" w:rsidR="00C31C15" w:rsidRPr="00562129" w:rsidRDefault="00C31C15" w:rsidP="00C31C15">
      <w:pPr>
        <w:spacing w:after="0" w:line="240" w:lineRule="auto"/>
        <w:rPr>
          <w:rFonts w:ascii="Times New Roman" w:hAnsi="Times New Roman" w:cs="Times New Roman"/>
          <w:sz w:val="24"/>
          <w:szCs w:val="24"/>
        </w:rPr>
      </w:pPr>
      <w:r w:rsidRPr="00562129">
        <w:rPr>
          <w:rFonts w:ascii="Times New Roman" w:hAnsi="Times New Roman" w:cs="Times New Roman"/>
          <w:sz w:val="24"/>
          <w:szCs w:val="24"/>
        </w:rPr>
        <w:t>2026 m. strategijoje bendrovė pagrindinį dėmesį skirs esamo produkto konsolidavimui ir prekės ženklo Brazilijos rinkoje stiprinimui, nes esą vis dar yra daug keleivių, kurie nežino arba niekada neskraidė su „</w:t>
      </w:r>
      <w:proofErr w:type="spellStart"/>
      <w:r w:rsidRPr="00562129">
        <w:rPr>
          <w:rFonts w:ascii="Times New Roman" w:hAnsi="Times New Roman" w:cs="Times New Roman"/>
          <w:sz w:val="24"/>
          <w:szCs w:val="24"/>
        </w:rPr>
        <w:t>Air</w:t>
      </w:r>
      <w:proofErr w:type="spellEnd"/>
      <w:r w:rsidRPr="00562129">
        <w:rPr>
          <w:rFonts w:ascii="Times New Roman" w:hAnsi="Times New Roman" w:cs="Times New Roman"/>
          <w:sz w:val="24"/>
          <w:szCs w:val="24"/>
        </w:rPr>
        <w:t xml:space="preserve"> Europa“. </w:t>
      </w:r>
    </w:p>
    <w:p w14:paraId="4D48EDC0" w14:textId="77777777" w:rsidR="00C31C15" w:rsidRPr="00562129" w:rsidRDefault="00C31C15" w:rsidP="00C31C15">
      <w:pPr>
        <w:spacing w:after="0" w:line="240" w:lineRule="auto"/>
        <w:rPr>
          <w:rFonts w:ascii="Times New Roman" w:hAnsi="Times New Roman" w:cs="Times New Roman"/>
          <w:sz w:val="24"/>
          <w:szCs w:val="24"/>
        </w:rPr>
      </w:pPr>
      <w:r w:rsidRPr="00562129">
        <w:rPr>
          <w:rFonts w:ascii="Times New Roman" w:hAnsi="Times New Roman" w:cs="Times New Roman"/>
          <w:sz w:val="24"/>
          <w:szCs w:val="24"/>
        </w:rPr>
        <w:t>Turėdama rekordinį užimtumą, konsoliduotą tinklą ir dėmesį prekės ženklo kūrimui, „</w:t>
      </w:r>
      <w:proofErr w:type="spellStart"/>
      <w:r w:rsidRPr="00562129">
        <w:rPr>
          <w:rFonts w:ascii="Times New Roman" w:hAnsi="Times New Roman" w:cs="Times New Roman"/>
          <w:sz w:val="24"/>
          <w:szCs w:val="24"/>
        </w:rPr>
        <w:t>Air</w:t>
      </w:r>
      <w:proofErr w:type="spellEnd"/>
      <w:r w:rsidRPr="00562129">
        <w:rPr>
          <w:rFonts w:ascii="Times New Roman" w:hAnsi="Times New Roman" w:cs="Times New Roman"/>
          <w:sz w:val="24"/>
          <w:szCs w:val="24"/>
        </w:rPr>
        <w:t xml:space="preserve"> Europa“ Braziliją laiko strategine rinka Europos ir Pietų Amerikos ašyje, kurią palaiko tiek turizmas, tiek augantis verslo kelionių srautas tarp dviejų žemynų.</w:t>
      </w:r>
    </w:p>
    <w:p w14:paraId="01D5C747" w14:textId="77777777" w:rsidR="00C31C15" w:rsidRPr="00562129" w:rsidRDefault="00C31C15" w:rsidP="00C31C15">
      <w:pPr>
        <w:spacing w:after="0" w:line="240" w:lineRule="auto"/>
        <w:rPr>
          <w:rFonts w:ascii="Times New Roman" w:hAnsi="Times New Roman" w:cs="Times New Roman"/>
          <w:sz w:val="24"/>
          <w:szCs w:val="24"/>
        </w:rPr>
      </w:pPr>
    </w:p>
    <w:p w14:paraId="05CFF306" w14:textId="77777777" w:rsidR="00C31C15" w:rsidRPr="00562129" w:rsidRDefault="00C31C15" w:rsidP="00C31C15">
      <w:pPr>
        <w:spacing w:after="0" w:line="240" w:lineRule="auto"/>
        <w:rPr>
          <w:rFonts w:ascii="Times New Roman" w:hAnsi="Times New Roman" w:cs="Times New Roman"/>
          <w:sz w:val="24"/>
          <w:szCs w:val="24"/>
        </w:rPr>
      </w:pPr>
      <w:r w:rsidRPr="00562129">
        <w:rPr>
          <w:rFonts w:ascii="Times New Roman" w:hAnsi="Times New Roman" w:cs="Times New Roman"/>
          <w:b/>
          <w:bCs/>
          <w:sz w:val="24"/>
          <w:szCs w:val="24"/>
        </w:rPr>
        <w:t>„</w:t>
      </w:r>
      <w:proofErr w:type="spellStart"/>
      <w:r w:rsidRPr="00562129">
        <w:rPr>
          <w:rFonts w:ascii="Times New Roman" w:hAnsi="Times New Roman" w:cs="Times New Roman"/>
          <w:b/>
          <w:bCs/>
          <w:sz w:val="24"/>
          <w:szCs w:val="24"/>
        </w:rPr>
        <w:t>Padtec</w:t>
      </w:r>
      <w:proofErr w:type="spellEnd"/>
      <w:r w:rsidRPr="00562129">
        <w:rPr>
          <w:rFonts w:ascii="Times New Roman" w:hAnsi="Times New Roman" w:cs="Times New Roman"/>
          <w:b/>
          <w:bCs/>
          <w:sz w:val="24"/>
          <w:szCs w:val="24"/>
        </w:rPr>
        <w:t xml:space="preserve"> S.A.“ yra Brazilijos tarptautinė technologijų įmonė, kuri specializuojasi optinių ryšio sistemų kūrime ir gamyboje, įsitvirtinusi kaip pasaulinė didelės talpos optinių perdavimo sprendimų tiekėja, didžiausia optinių perdavimo sistemų gamintoja Lotynų Amerikoje</w:t>
      </w:r>
      <w:r w:rsidRPr="00562129">
        <w:rPr>
          <w:rFonts w:ascii="Times New Roman" w:hAnsi="Times New Roman" w:cs="Times New Roman"/>
          <w:sz w:val="24"/>
          <w:szCs w:val="24"/>
        </w:rPr>
        <w:t>. „</w:t>
      </w:r>
      <w:proofErr w:type="spellStart"/>
      <w:r w:rsidRPr="00562129">
        <w:rPr>
          <w:rFonts w:ascii="Times New Roman" w:hAnsi="Times New Roman" w:cs="Times New Roman"/>
          <w:sz w:val="24"/>
          <w:szCs w:val="24"/>
        </w:rPr>
        <w:t>Padtec</w:t>
      </w:r>
      <w:proofErr w:type="spellEnd"/>
      <w:r w:rsidRPr="00562129">
        <w:rPr>
          <w:rFonts w:ascii="Times New Roman" w:hAnsi="Times New Roman" w:cs="Times New Roman"/>
          <w:sz w:val="24"/>
          <w:szCs w:val="24"/>
        </w:rPr>
        <w:t>“ užima stiprią tarptautinę poziciją, jos įranga ir sprendimai yra diegiami daugiau nei 40 šalių.</w:t>
      </w:r>
    </w:p>
    <w:p w14:paraId="15AAD7F7" w14:textId="77777777" w:rsidR="00C31C15" w:rsidRPr="00562129" w:rsidRDefault="00C31C15" w:rsidP="00C31C15">
      <w:pPr>
        <w:spacing w:after="0" w:line="240" w:lineRule="auto"/>
        <w:rPr>
          <w:rFonts w:ascii="Times New Roman" w:hAnsi="Times New Roman" w:cs="Times New Roman"/>
          <w:sz w:val="24"/>
          <w:szCs w:val="24"/>
        </w:rPr>
      </w:pPr>
      <w:r w:rsidRPr="00562129">
        <w:rPr>
          <w:rFonts w:ascii="Times New Roman" w:hAnsi="Times New Roman" w:cs="Times New Roman"/>
          <w:sz w:val="24"/>
          <w:szCs w:val="24"/>
        </w:rPr>
        <w:t>Per pastaruosius kelerius metus atlikta portfelio peržiūra taip pat buvo susijusi su nauja investicijų į dirbtinio intelekto ir duomenų centrus banga. „</w:t>
      </w:r>
      <w:proofErr w:type="spellStart"/>
      <w:r w:rsidRPr="00562129">
        <w:rPr>
          <w:rFonts w:ascii="Times New Roman" w:hAnsi="Times New Roman" w:cs="Times New Roman"/>
          <w:sz w:val="24"/>
          <w:szCs w:val="24"/>
        </w:rPr>
        <w:t>Padtec</w:t>
      </w:r>
      <w:proofErr w:type="spellEnd"/>
      <w:r w:rsidRPr="00562129">
        <w:rPr>
          <w:rFonts w:ascii="Times New Roman" w:hAnsi="Times New Roman" w:cs="Times New Roman"/>
          <w:sz w:val="24"/>
          <w:szCs w:val="24"/>
        </w:rPr>
        <w:t xml:space="preserve">“ ypač </w:t>
      </w:r>
      <w:proofErr w:type="spellStart"/>
      <w:r w:rsidRPr="00562129">
        <w:rPr>
          <w:rFonts w:ascii="Times New Roman" w:hAnsi="Times New Roman" w:cs="Times New Roman"/>
          <w:sz w:val="24"/>
          <w:szCs w:val="24"/>
        </w:rPr>
        <w:t>pozicionuoja</w:t>
      </w:r>
      <w:proofErr w:type="spellEnd"/>
      <w:r w:rsidRPr="00562129">
        <w:rPr>
          <w:rFonts w:ascii="Times New Roman" w:hAnsi="Times New Roman" w:cs="Times New Roman"/>
          <w:sz w:val="24"/>
          <w:szCs w:val="24"/>
        </w:rPr>
        <w:t xml:space="preserve"> save vadinamajame data </w:t>
      </w:r>
      <w:proofErr w:type="spellStart"/>
      <w:r w:rsidRPr="00562129">
        <w:rPr>
          <w:rFonts w:ascii="Times New Roman" w:hAnsi="Times New Roman" w:cs="Times New Roman"/>
          <w:sz w:val="24"/>
          <w:szCs w:val="24"/>
        </w:rPr>
        <w:t>center</w:t>
      </w:r>
      <w:proofErr w:type="spellEnd"/>
      <w:r w:rsidRPr="00562129">
        <w:rPr>
          <w:rFonts w:ascii="Times New Roman" w:hAnsi="Times New Roman" w:cs="Times New Roman"/>
          <w:sz w:val="24"/>
          <w:szCs w:val="24"/>
        </w:rPr>
        <w:t xml:space="preserve"> </w:t>
      </w:r>
      <w:proofErr w:type="spellStart"/>
      <w:r w:rsidRPr="00562129">
        <w:rPr>
          <w:rFonts w:ascii="Times New Roman" w:hAnsi="Times New Roman" w:cs="Times New Roman"/>
          <w:sz w:val="24"/>
          <w:szCs w:val="24"/>
        </w:rPr>
        <w:t>edge</w:t>
      </w:r>
      <w:proofErr w:type="spellEnd"/>
      <w:r w:rsidRPr="00562129">
        <w:rPr>
          <w:rFonts w:ascii="Times New Roman" w:hAnsi="Times New Roman" w:cs="Times New Roman"/>
          <w:sz w:val="24"/>
          <w:szCs w:val="24"/>
        </w:rPr>
        <w:t xml:space="preserve"> – moduliniame modelyje, kuriuo siekiama sumažinti delsą, priartinant infrastruktūrą prie galutinių vartotojų. </w:t>
      </w:r>
    </w:p>
    <w:p w14:paraId="562BEDB4" w14:textId="77777777" w:rsidR="00C31C15" w:rsidRPr="00562129" w:rsidRDefault="00C31C15" w:rsidP="00C31C15">
      <w:pPr>
        <w:spacing w:after="0" w:line="240" w:lineRule="auto"/>
        <w:rPr>
          <w:rFonts w:ascii="Times New Roman" w:hAnsi="Times New Roman" w:cs="Times New Roman"/>
          <w:sz w:val="24"/>
          <w:szCs w:val="24"/>
        </w:rPr>
      </w:pPr>
      <w:r w:rsidRPr="00562129">
        <w:rPr>
          <w:rFonts w:ascii="Times New Roman" w:hAnsi="Times New Roman" w:cs="Times New Roman"/>
          <w:sz w:val="24"/>
          <w:szCs w:val="24"/>
        </w:rPr>
        <w:t xml:space="preserve">Didieji telekomunikacijų operatoriai ir pasaulinės skaitmeninio turinio bendrovės tapo vienomis pagrindinių infrastruktūros paklausos šaltinių, tiek </w:t>
      </w:r>
      <w:proofErr w:type="spellStart"/>
      <w:r w:rsidRPr="00562129">
        <w:rPr>
          <w:rFonts w:ascii="Times New Roman" w:hAnsi="Times New Roman" w:cs="Times New Roman"/>
          <w:i/>
          <w:iCs/>
          <w:sz w:val="24"/>
          <w:szCs w:val="24"/>
        </w:rPr>
        <w:t>hiperscale</w:t>
      </w:r>
      <w:proofErr w:type="spellEnd"/>
      <w:r w:rsidRPr="00562129">
        <w:rPr>
          <w:rFonts w:ascii="Times New Roman" w:hAnsi="Times New Roman" w:cs="Times New Roman"/>
          <w:sz w:val="24"/>
          <w:szCs w:val="24"/>
        </w:rPr>
        <w:t xml:space="preserve"> duomenų centrų, tiek pažangiausių sprendimų srityje. Investicijos į duomenų centrų ryšius auga beveik 30 % tempu. Tiek Brazilijoje, tiek Lotynų Amerikoje yra labai didelė paklausa.</w:t>
      </w:r>
    </w:p>
    <w:p w14:paraId="6E4AFD76" w14:textId="77777777" w:rsidR="00C31C15" w:rsidRPr="00562129" w:rsidRDefault="00C31C15" w:rsidP="00C31C15">
      <w:pPr>
        <w:spacing w:after="0" w:line="240" w:lineRule="auto"/>
        <w:rPr>
          <w:rFonts w:ascii="Times New Roman" w:hAnsi="Times New Roman" w:cs="Times New Roman"/>
          <w:sz w:val="24"/>
          <w:szCs w:val="24"/>
        </w:rPr>
      </w:pPr>
      <w:r w:rsidRPr="00562129">
        <w:rPr>
          <w:rFonts w:ascii="Times New Roman" w:hAnsi="Times New Roman" w:cs="Times New Roman"/>
          <w:b/>
          <w:bCs/>
          <w:sz w:val="24"/>
          <w:szCs w:val="24"/>
        </w:rPr>
        <w:t>Kitas svarbus strateginis žingsnis buvo „</w:t>
      </w:r>
      <w:proofErr w:type="spellStart"/>
      <w:r w:rsidRPr="00562129">
        <w:rPr>
          <w:rFonts w:ascii="Times New Roman" w:hAnsi="Times New Roman" w:cs="Times New Roman"/>
          <w:b/>
          <w:bCs/>
          <w:sz w:val="24"/>
          <w:szCs w:val="24"/>
        </w:rPr>
        <w:t>Padtec</w:t>
      </w:r>
      <w:proofErr w:type="spellEnd"/>
      <w:r w:rsidRPr="00562129">
        <w:rPr>
          <w:rFonts w:ascii="Times New Roman" w:hAnsi="Times New Roman" w:cs="Times New Roman"/>
          <w:b/>
          <w:bCs/>
          <w:sz w:val="24"/>
          <w:szCs w:val="24"/>
        </w:rPr>
        <w:t>“ sugrįžimas į povandeninių kabelių rinką 2025 m</w:t>
      </w:r>
      <w:r w:rsidRPr="00562129">
        <w:rPr>
          <w:rFonts w:ascii="Times New Roman" w:hAnsi="Times New Roman" w:cs="Times New Roman"/>
          <w:sz w:val="24"/>
          <w:szCs w:val="24"/>
        </w:rPr>
        <w:t xml:space="preserve">., pasibaigus nekonkuravimo laikotarpiui, susijusiam su padalinio pardavimu prieš kelerius metus. Bendrovė pirmoji Pietų Amerikoje tiekė povandeninį kabelį „Google“, prieš parduodama šią veiklą, kurią įsigijo JAV bendrovė „IPG </w:t>
      </w:r>
      <w:proofErr w:type="spellStart"/>
      <w:r w:rsidRPr="00562129">
        <w:rPr>
          <w:rFonts w:ascii="Times New Roman" w:hAnsi="Times New Roman" w:cs="Times New Roman"/>
          <w:sz w:val="24"/>
          <w:szCs w:val="24"/>
        </w:rPr>
        <w:t>Photonics</w:t>
      </w:r>
      <w:proofErr w:type="spellEnd"/>
      <w:r w:rsidRPr="00562129">
        <w:rPr>
          <w:rFonts w:ascii="Times New Roman" w:hAnsi="Times New Roman" w:cs="Times New Roman"/>
          <w:sz w:val="24"/>
          <w:szCs w:val="24"/>
        </w:rPr>
        <w:t>“. Pasibaigus nekonkuravimo sutarčiai, „</w:t>
      </w:r>
      <w:proofErr w:type="spellStart"/>
      <w:r w:rsidRPr="00562129">
        <w:rPr>
          <w:rFonts w:ascii="Times New Roman" w:hAnsi="Times New Roman" w:cs="Times New Roman"/>
          <w:sz w:val="24"/>
          <w:szCs w:val="24"/>
        </w:rPr>
        <w:t>Padtec</w:t>
      </w:r>
      <w:proofErr w:type="spellEnd"/>
      <w:r w:rsidRPr="00562129">
        <w:rPr>
          <w:rFonts w:ascii="Times New Roman" w:hAnsi="Times New Roman" w:cs="Times New Roman"/>
          <w:sz w:val="24"/>
          <w:szCs w:val="24"/>
        </w:rPr>
        <w:t>“ vėl ėmė investuoti į šią sritį, kuri laikoma itin svarbia didžiuliam duomenų srautui tarp žemynų ir yra tiesiogiai susijusi su duomenų centrų plėtra. Brazilijoje šiuo metu projektuojami povandeninių kabelių projektai, kurių vertė viršija 600 mln. JAV dolerių, o įgyvendinimo terminai gali siekti trejus metus.</w:t>
      </w:r>
    </w:p>
    <w:p w14:paraId="4DEA875C" w14:textId="77777777" w:rsidR="00C31C15" w:rsidRPr="00562129" w:rsidRDefault="00C31C15" w:rsidP="00C31C15">
      <w:pPr>
        <w:spacing w:after="0" w:line="240" w:lineRule="auto"/>
        <w:rPr>
          <w:rFonts w:ascii="Times New Roman" w:hAnsi="Times New Roman" w:cs="Times New Roman"/>
          <w:sz w:val="24"/>
          <w:szCs w:val="24"/>
        </w:rPr>
      </w:pPr>
      <w:r w:rsidRPr="00562129">
        <w:rPr>
          <w:rFonts w:ascii="Times New Roman" w:hAnsi="Times New Roman" w:cs="Times New Roman"/>
          <w:sz w:val="24"/>
          <w:szCs w:val="24"/>
        </w:rPr>
        <w:t>„</w:t>
      </w:r>
      <w:proofErr w:type="spellStart"/>
      <w:r w:rsidRPr="00562129">
        <w:rPr>
          <w:rFonts w:ascii="Times New Roman" w:hAnsi="Times New Roman" w:cs="Times New Roman"/>
          <w:sz w:val="24"/>
          <w:szCs w:val="24"/>
        </w:rPr>
        <w:t>Padtec</w:t>
      </w:r>
      <w:proofErr w:type="spellEnd"/>
      <w:r w:rsidRPr="00562129">
        <w:rPr>
          <w:rFonts w:ascii="Times New Roman" w:hAnsi="Times New Roman" w:cs="Times New Roman"/>
          <w:sz w:val="24"/>
          <w:szCs w:val="24"/>
        </w:rPr>
        <w:t>“ šiuo metu dirba 21 šalyje, o didžiausia koncentracija yra Lotynų Amerikoje. Tarp svarbiausių rinkų yra Brazilija, Kolumbija, Čilė, Argentina, Peru, Meksika ir Jungtinės Valstijos. Neseniai bendrovė taip pat paskelbė apie komercinę pažangą Europos Sąjungoje ir specialios struktūros atidarymą Meksikoje.</w:t>
      </w:r>
    </w:p>
    <w:p w14:paraId="0BAF85A6" w14:textId="41114593" w:rsidR="005069B1" w:rsidRPr="00562129" w:rsidRDefault="005069B1" w:rsidP="005069B1">
      <w:pPr>
        <w:spacing w:after="0" w:line="240" w:lineRule="auto"/>
        <w:jc w:val="both"/>
        <w:rPr>
          <w:rFonts w:ascii="Times New Roman" w:eastAsia="Times New Roman" w:hAnsi="Times New Roman" w:cs="Times New Roman"/>
          <w:b/>
          <w:bCs/>
          <w:kern w:val="0"/>
          <w:sz w:val="24"/>
          <w:szCs w:val="24"/>
          <w:lang w:eastAsia="lt-LT"/>
          <w14:ligatures w14:val="none"/>
        </w:rPr>
      </w:pPr>
      <w:r w:rsidRPr="00562129">
        <w:rPr>
          <w:rFonts w:ascii="Times New Roman" w:eastAsia="Times New Roman" w:hAnsi="Times New Roman" w:cs="Times New Roman"/>
          <w:b/>
          <w:bCs/>
          <w:kern w:val="0"/>
          <w:sz w:val="24"/>
          <w:szCs w:val="24"/>
          <w:lang w:eastAsia="lt-LT"/>
          <w14:ligatures w14:val="none"/>
        </w:rPr>
        <w:lastRenderedPageBreak/>
        <w:t>Bendradarbiavimui mokslinių tyrimų, eksperimentinės plėtros ir inovacijų (MTEPI) srityse aktuali informacija</w:t>
      </w:r>
    </w:p>
    <w:p w14:paraId="2DD3E2C3" w14:textId="77777777" w:rsidR="00A400BB" w:rsidRPr="00562129" w:rsidRDefault="00A400BB" w:rsidP="005069B1">
      <w:pPr>
        <w:spacing w:after="0" w:line="240" w:lineRule="auto"/>
        <w:jc w:val="both"/>
        <w:rPr>
          <w:rFonts w:ascii="Times New Roman" w:hAnsi="Times New Roman" w:cs="Times New Roman"/>
          <w:b/>
          <w:bCs/>
          <w:sz w:val="24"/>
          <w:szCs w:val="24"/>
        </w:rPr>
      </w:pPr>
    </w:p>
    <w:p w14:paraId="131A1935" w14:textId="4CD8A236" w:rsidR="005069B1" w:rsidRPr="00562129" w:rsidRDefault="005069B1" w:rsidP="005069B1">
      <w:pPr>
        <w:spacing w:after="0" w:line="240" w:lineRule="auto"/>
        <w:jc w:val="both"/>
        <w:rPr>
          <w:rFonts w:ascii="Times New Roman" w:hAnsi="Times New Roman" w:cs="Times New Roman"/>
          <w:sz w:val="24"/>
          <w:szCs w:val="24"/>
        </w:rPr>
      </w:pPr>
      <w:r w:rsidRPr="00562129">
        <w:rPr>
          <w:rFonts w:ascii="Times New Roman" w:hAnsi="Times New Roman" w:cs="Times New Roman"/>
          <w:b/>
          <w:bCs/>
          <w:sz w:val="24"/>
          <w:szCs w:val="24"/>
        </w:rPr>
        <w:t>Sraigtasparnių, kaip alternatyvios transporto priemonės, naudojimas tarp San Paulo miesto, valstijos  regionų ir pakrantės nuo 2024 m. gruodžio iki 2025 m. rodo sektoriaus konsolidaciją Brazilijoje. Miesto oro mobilumo bendrovės „</w:t>
      </w:r>
      <w:proofErr w:type="spellStart"/>
      <w:r w:rsidRPr="00562129">
        <w:rPr>
          <w:rFonts w:ascii="Times New Roman" w:hAnsi="Times New Roman" w:cs="Times New Roman"/>
          <w:b/>
          <w:bCs/>
          <w:sz w:val="24"/>
          <w:szCs w:val="24"/>
        </w:rPr>
        <w:t>Revo</w:t>
      </w:r>
      <w:proofErr w:type="spellEnd"/>
      <w:r w:rsidRPr="00562129">
        <w:rPr>
          <w:rFonts w:ascii="Times New Roman" w:hAnsi="Times New Roman" w:cs="Times New Roman"/>
          <w:b/>
          <w:bCs/>
          <w:sz w:val="24"/>
          <w:szCs w:val="24"/>
        </w:rPr>
        <w:t>“ paslaugų paklausa per šį laikotarpį išaugo 85 % skrydžių skaičiaus ir 75 % pervežtų keleivių atžvilgiu</w:t>
      </w:r>
      <w:r w:rsidRPr="00562129">
        <w:rPr>
          <w:rFonts w:ascii="Times New Roman" w:hAnsi="Times New Roman" w:cs="Times New Roman"/>
          <w:sz w:val="24"/>
          <w:szCs w:val="24"/>
        </w:rPr>
        <w:t xml:space="preserve">. Tai lėmė padidėjęs turistų srautas, privatūs renginiai ir nuspėjamumo siekis kritiškais San Paulo kelių eismo laikotarpiais. Oro mobilumas tampa San Paulo gyventojų laiko planavimo, kelionių į darbą ir atgal ir net kelionių tikslų pasirinkimo veiksniu.  Pavyzdžiui, skrydis tarp San Paulo centro ir </w:t>
      </w:r>
      <w:proofErr w:type="spellStart"/>
      <w:r w:rsidRPr="00562129">
        <w:rPr>
          <w:rFonts w:ascii="Times New Roman" w:hAnsi="Times New Roman" w:cs="Times New Roman"/>
          <w:sz w:val="24"/>
          <w:szCs w:val="24"/>
        </w:rPr>
        <w:t>Guarulhos</w:t>
      </w:r>
      <w:proofErr w:type="spellEnd"/>
      <w:r w:rsidRPr="00562129">
        <w:rPr>
          <w:rFonts w:ascii="Times New Roman" w:hAnsi="Times New Roman" w:cs="Times New Roman"/>
          <w:sz w:val="24"/>
          <w:szCs w:val="24"/>
        </w:rPr>
        <w:t xml:space="preserve"> oro uosto kainuoja apie 3500 BRL., nuskristi į pakrantę – nuo ​​5 500 iki 8 000 BRL. Eismo srautai į pakrantę dažnai gerokai viršija infrastruktūros pralaidumo pajėgumą. </w:t>
      </w:r>
    </w:p>
    <w:p w14:paraId="6B45CB30" w14:textId="77777777" w:rsidR="005069B1" w:rsidRPr="00562129" w:rsidRDefault="005069B1" w:rsidP="005069B1">
      <w:pPr>
        <w:spacing w:after="0" w:line="240" w:lineRule="auto"/>
        <w:jc w:val="both"/>
        <w:rPr>
          <w:rFonts w:ascii="Times New Roman" w:hAnsi="Times New Roman" w:cs="Times New Roman"/>
          <w:sz w:val="24"/>
          <w:szCs w:val="24"/>
        </w:rPr>
      </w:pPr>
      <w:r w:rsidRPr="00562129">
        <w:rPr>
          <w:rFonts w:ascii="Times New Roman" w:hAnsi="Times New Roman" w:cs="Times New Roman"/>
          <w:sz w:val="24"/>
          <w:szCs w:val="24"/>
        </w:rPr>
        <w:t xml:space="preserve"> „</w:t>
      </w:r>
      <w:proofErr w:type="spellStart"/>
      <w:r w:rsidRPr="00562129">
        <w:rPr>
          <w:rFonts w:ascii="Times New Roman" w:hAnsi="Times New Roman" w:cs="Times New Roman"/>
          <w:sz w:val="24"/>
          <w:szCs w:val="24"/>
        </w:rPr>
        <w:t>Revo</w:t>
      </w:r>
      <w:proofErr w:type="spellEnd"/>
      <w:r w:rsidRPr="00562129">
        <w:rPr>
          <w:rFonts w:ascii="Times New Roman" w:hAnsi="Times New Roman" w:cs="Times New Roman"/>
          <w:sz w:val="24"/>
          <w:szCs w:val="24"/>
        </w:rPr>
        <w:t>“ skrydžiai sutrumpina vidutinį kelionės laiką daugiau nei 90 %, palyginti su kelione gatvėmis piko valandomis. „</w:t>
      </w:r>
      <w:proofErr w:type="spellStart"/>
      <w:r w:rsidRPr="00562129">
        <w:rPr>
          <w:rFonts w:ascii="Times New Roman" w:hAnsi="Times New Roman" w:cs="Times New Roman"/>
          <w:sz w:val="24"/>
          <w:szCs w:val="24"/>
        </w:rPr>
        <w:t>Revo</w:t>
      </w:r>
      <w:proofErr w:type="spellEnd"/>
      <w:r w:rsidRPr="00562129">
        <w:rPr>
          <w:rFonts w:ascii="Times New Roman" w:hAnsi="Times New Roman" w:cs="Times New Roman"/>
          <w:sz w:val="24"/>
          <w:szCs w:val="24"/>
        </w:rPr>
        <w:t xml:space="preserve">“ pradėjo veiklą Brazilijoj 2023 m. ir nuo to laiko atliko daugiau nei aštuonis tūkstančius skrydžių, ypač San Paulo ir Rio de Žaneiro valstijose. Šiandien ji jau pasiekia 105 savaitinius skrydžius. 2025 m. padidinusi pajamas 200 %, bendrovė numato labai gerus ateinančius metus, plėsdama oro laivyną ir atidarydama pirmąjį tarptautinį maršrutą, kurio dar neatskleidžia. </w:t>
      </w:r>
      <w:r w:rsidRPr="00562129">
        <w:rPr>
          <w:rFonts w:ascii="Times New Roman" w:hAnsi="Times New Roman" w:cs="Times New Roman"/>
          <w:b/>
          <w:bCs/>
          <w:sz w:val="24"/>
          <w:szCs w:val="24"/>
        </w:rPr>
        <w:t>Bendrovė taip pat pasirašė sutartį su „</w:t>
      </w:r>
      <w:proofErr w:type="spellStart"/>
      <w:r w:rsidRPr="00562129">
        <w:rPr>
          <w:rFonts w:ascii="Times New Roman" w:hAnsi="Times New Roman" w:cs="Times New Roman"/>
          <w:b/>
          <w:bCs/>
          <w:sz w:val="24"/>
          <w:szCs w:val="24"/>
        </w:rPr>
        <w:t>Eve</w:t>
      </w:r>
      <w:proofErr w:type="spellEnd"/>
      <w:r w:rsidRPr="00562129">
        <w:rPr>
          <w:rFonts w:ascii="Times New Roman" w:hAnsi="Times New Roman" w:cs="Times New Roman"/>
          <w:b/>
          <w:bCs/>
          <w:sz w:val="24"/>
          <w:szCs w:val="24"/>
        </w:rPr>
        <w:t xml:space="preserve"> </w:t>
      </w:r>
      <w:proofErr w:type="spellStart"/>
      <w:r w:rsidRPr="00562129">
        <w:rPr>
          <w:rFonts w:ascii="Times New Roman" w:hAnsi="Times New Roman" w:cs="Times New Roman"/>
          <w:b/>
          <w:bCs/>
          <w:sz w:val="24"/>
          <w:szCs w:val="24"/>
        </w:rPr>
        <w:t>Air</w:t>
      </w:r>
      <w:proofErr w:type="spellEnd"/>
      <w:r w:rsidRPr="00562129">
        <w:rPr>
          <w:rFonts w:ascii="Times New Roman" w:hAnsi="Times New Roman" w:cs="Times New Roman"/>
          <w:b/>
          <w:bCs/>
          <w:sz w:val="24"/>
          <w:szCs w:val="24"/>
        </w:rPr>
        <w:t xml:space="preserve"> </w:t>
      </w:r>
      <w:proofErr w:type="spellStart"/>
      <w:r w:rsidRPr="00562129">
        <w:rPr>
          <w:rFonts w:ascii="Times New Roman" w:hAnsi="Times New Roman" w:cs="Times New Roman"/>
          <w:b/>
          <w:bCs/>
          <w:sz w:val="24"/>
          <w:szCs w:val="24"/>
        </w:rPr>
        <w:t>Mobility</w:t>
      </w:r>
      <w:proofErr w:type="spellEnd"/>
      <w:r w:rsidRPr="00562129">
        <w:rPr>
          <w:rFonts w:ascii="Times New Roman" w:hAnsi="Times New Roman" w:cs="Times New Roman"/>
          <w:b/>
          <w:bCs/>
          <w:sz w:val="24"/>
          <w:szCs w:val="24"/>
        </w:rPr>
        <w:t xml:space="preserve">“, pagal kurią ateityje eksploatuos elektrines transporto priemones, kurios atlieka vertikalų kilimą ir nusileidimą, vadinamas </w:t>
      </w:r>
      <w:proofErr w:type="spellStart"/>
      <w:r w:rsidRPr="00562129">
        <w:rPr>
          <w:rFonts w:ascii="Times New Roman" w:hAnsi="Times New Roman" w:cs="Times New Roman"/>
          <w:b/>
          <w:bCs/>
          <w:sz w:val="24"/>
          <w:szCs w:val="24"/>
        </w:rPr>
        <w:t>eVTOL</w:t>
      </w:r>
      <w:proofErr w:type="spellEnd"/>
      <w:r w:rsidRPr="00562129">
        <w:rPr>
          <w:rFonts w:ascii="Times New Roman" w:hAnsi="Times New Roman" w:cs="Times New Roman"/>
          <w:b/>
          <w:bCs/>
          <w:sz w:val="24"/>
          <w:szCs w:val="24"/>
        </w:rPr>
        <w:t>. Pirmieji skrydžiai numatyti 2027 m., o investicijos siekia 250 mln. JAV dolerių ir apima 50 orlaivių įsigijimą</w:t>
      </w:r>
      <w:r w:rsidRPr="00562129">
        <w:rPr>
          <w:rFonts w:ascii="Times New Roman" w:hAnsi="Times New Roman" w:cs="Times New Roman"/>
          <w:sz w:val="24"/>
          <w:szCs w:val="24"/>
        </w:rPr>
        <w:t>.</w:t>
      </w:r>
    </w:p>
    <w:p w14:paraId="580D70A4" w14:textId="77777777" w:rsidR="005069B1" w:rsidRPr="00562129" w:rsidRDefault="005069B1" w:rsidP="005069B1">
      <w:pPr>
        <w:spacing w:after="0" w:line="240" w:lineRule="auto"/>
        <w:jc w:val="both"/>
        <w:rPr>
          <w:rFonts w:ascii="Times New Roman" w:eastAsia="Times New Roman" w:hAnsi="Times New Roman" w:cs="Times New Roman"/>
          <w:b/>
          <w:bCs/>
          <w:kern w:val="0"/>
          <w:sz w:val="24"/>
          <w:szCs w:val="24"/>
          <w:lang w:eastAsia="lt-LT"/>
          <w14:ligatures w14:val="none"/>
        </w:rPr>
      </w:pPr>
    </w:p>
    <w:p w14:paraId="6558DEEF" w14:textId="77777777" w:rsidR="00C31C15" w:rsidRPr="00562129" w:rsidRDefault="00C31C15" w:rsidP="00C31C15">
      <w:pPr>
        <w:spacing w:after="0" w:line="240" w:lineRule="auto"/>
        <w:rPr>
          <w:rFonts w:ascii="Times New Roman" w:eastAsia="Times New Roman" w:hAnsi="Times New Roman" w:cs="Times New Roman"/>
          <w:color w:val="000000"/>
          <w:kern w:val="0"/>
          <w:sz w:val="24"/>
          <w:szCs w:val="24"/>
          <w:lang w:eastAsia="lt-LT"/>
          <w14:ligatures w14:val="none"/>
        </w:rPr>
      </w:pPr>
      <w:r w:rsidRPr="00562129">
        <w:rPr>
          <w:rFonts w:ascii="Times New Roman" w:eastAsia="Times New Roman" w:hAnsi="Times New Roman" w:cs="Times New Roman"/>
          <w:b/>
          <w:bCs/>
          <w:color w:val="000000"/>
          <w:kern w:val="0"/>
          <w:sz w:val="24"/>
          <w:szCs w:val="24"/>
          <w:lang w:eastAsia="lt-LT"/>
          <w14:ligatures w14:val="none"/>
        </w:rPr>
        <w:t>Brazilija kuria superkompiuterį, kuris bus tarp penkių geriausių pasaulyje didelio našumo skaičiavimų srityje</w:t>
      </w:r>
      <w:r w:rsidRPr="00562129">
        <w:rPr>
          <w:rFonts w:ascii="Times New Roman" w:eastAsia="Times New Roman" w:hAnsi="Times New Roman" w:cs="Times New Roman"/>
          <w:color w:val="000000"/>
          <w:kern w:val="0"/>
          <w:sz w:val="24"/>
          <w:szCs w:val="24"/>
          <w:lang w:eastAsia="lt-LT"/>
          <w14:ligatures w14:val="none"/>
        </w:rPr>
        <w:t xml:space="preserve">. Šis įrenginys leis integruoti duomenis iš vyriausybės programų, todėl viešosios paslaugos taps efektyvesnės ir greitesnės, taip pat leis padidinti klimato katastrofų aptikimo efektyvumą - paskelbė mokslo, technologijų ir inovacijų ministerija. </w:t>
      </w:r>
    </w:p>
    <w:p w14:paraId="1D6D75AE" w14:textId="77777777" w:rsidR="00C31C15" w:rsidRPr="00562129" w:rsidRDefault="00C31C15" w:rsidP="00C31C15">
      <w:pPr>
        <w:spacing w:after="0" w:line="240" w:lineRule="auto"/>
        <w:rPr>
          <w:rFonts w:ascii="Times New Roman" w:eastAsia="Times New Roman" w:hAnsi="Times New Roman" w:cs="Times New Roman"/>
          <w:color w:val="000000"/>
          <w:kern w:val="0"/>
          <w:sz w:val="24"/>
          <w:szCs w:val="24"/>
          <w:lang w:eastAsia="lt-LT"/>
          <w14:ligatures w14:val="none"/>
        </w:rPr>
      </w:pPr>
      <w:r w:rsidRPr="00562129">
        <w:rPr>
          <w:rFonts w:ascii="Times New Roman" w:eastAsia="Times New Roman" w:hAnsi="Times New Roman" w:cs="Times New Roman"/>
          <w:color w:val="000000"/>
          <w:kern w:val="0"/>
          <w:sz w:val="24"/>
          <w:szCs w:val="24"/>
          <w:lang w:eastAsia="lt-LT"/>
          <w14:ligatures w14:val="none"/>
        </w:rPr>
        <w:t xml:space="preserve">Taip pat kuriama nacionalinė dirbtinio intelekto (DI) kalba, kuri leis Brazilijos mokslui žengti šuolį ir dar labiau padidinti savo suverenitetą technologinių galių akivaizdoje. </w:t>
      </w:r>
    </w:p>
    <w:p w14:paraId="0B485B8C" w14:textId="77777777" w:rsidR="00C31C15" w:rsidRPr="00562129" w:rsidRDefault="00C31C15" w:rsidP="00C31C15">
      <w:pPr>
        <w:spacing w:after="0" w:line="240" w:lineRule="auto"/>
        <w:rPr>
          <w:rFonts w:ascii="Times New Roman" w:eastAsia="Times New Roman" w:hAnsi="Times New Roman" w:cs="Times New Roman"/>
          <w:color w:val="000000"/>
          <w:kern w:val="0"/>
          <w:sz w:val="24"/>
          <w:szCs w:val="24"/>
          <w:lang w:eastAsia="lt-LT"/>
          <w14:ligatures w14:val="none"/>
        </w:rPr>
      </w:pPr>
      <w:r w:rsidRPr="00562129">
        <w:rPr>
          <w:rFonts w:ascii="Times New Roman" w:eastAsia="Times New Roman" w:hAnsi="Times New Roman" w:cs="Times New Roman"/>
          <w:color w:val="000000"/>
          <w:kern w:val="0"/>
          <w:sz w:val="24"/>
          <w:szCs w:val="24"/>
          <w:lang w:eastAsia="lt-LT"/>
          <w14:ligatures w14:val="none"/>
        </w:rPr>
        <w:t xml:space="preserve">2024 m. Brazilija pradėjo įgyvendinti dirbtinio intelekto planą, pagrįstą Brazilijos turimai infrastruktūros pajėgumais ir sprendimų kūrimu. Planas turi penkis ramsčius: DI infrastruktūrą; DI viešajai tarnybai; DI pramonei; mokymai ir pajėgumų stiprinimas; ir DI valdymas. DI infrastruktūros plėtros koordinavimą atlieka Nacionalinė mokslinių skaičiavimų laboratorija (LNCC). </w:t>
      </w:r>
    </w:p>
    <w:p w14:paraId="71ECBA56" w14:textId="77777777" w:rsidR="00C31C15" w:rsidRPr="00562129" w:rsidRDefault="00C31C15" w:rsidP="00C31C15">
      <w:pPr>
        <w:spacing w:after="0" w:line="240" w:lineRule="auto"/>
        <w:rPr>
          <w:rFonts w:ascii="Times New Roman" w:eastAsia="Times New Roman" w:hAnsi="Times New Roman" w:cs="Times New Roman"/>
          <w:color w:val="000000"/>
          <w:kern w:val="0"/>
          <w:sz w:val="24"/>
          <w:szCs w:val="24"/>
          <w:lang w:eastAsia="lt-LT"/>
          <w14:ligatures w14:val="none"/>
        </w:rPr>
      </w:pPr>
      <w:r w:rsidRPr="00562129">
        <w:rPr>
          <w:rFonts w:ascii="Times New Roman" w:eastAsia="Times New Roman" w:hAnsi="Times New Roman" w:cs="Times New Roman"/>
          <w:color w:val="000000"/>
          <w:kern w:val="0"/>
          <w:sz w:val="24"/>
          <w:szCs w:val="24"/>
          <w:lang w:eastAsia="lt-LT"/>
          <w14:ligatures w14:val="none"/>
        </w:rPr>
        <w:t>Brazilijos Nacionaliniame kosmoso tyrimų institute (INPE) įdiegtas naujas kompiuteris „</w:t>
      </w:r>
      <w:proofErr w:type="spellStart"/>
      <w:r w:rsidRPr="00562129">
        <w:rPr>
          <w:rFonts w:ascii="Times New Roman" w:eastAsia="Times New Roman" w:hAnsi="Times New Roman" w:cs="Times New Roman"/>
          <w:color w:val="000000"/>
          <w:kern w:val="0"/>
          <w:sz w:val="24"/>
          <w:szCs w:val="24"/>
          <w:lang w:eastAsia="lt-LT"/>
          <w14:ligatures w14:val="none"/>
        </w:rPr>
        <w:t>Jaci</w:t>
      </w:r>
      <w:proofErr w:type="spellEnd"/>
      <w:r w:rsidRPr="00562129">
        <w:rPr>
          <w:rFonts w:ascii="Times New Roman" w:eastAsia="Times New Roman" w:hAnsi="Times New Roman" w:cs="Times New Roman"/>
          <w:color w:val="000000"/>
          <w:kern w:val="0"/>
          <w:sz w:val="24"/>
          <w:szCs w:val="24"/>
          <w:lang w:eastAsia="lt-LT"/>
          <w14:ligatures w14:val="none"/>
        </w:rPr>
        <w:t xml:space="preserve">“, kuris prisideda prie gamtinių katastrofų prognozavimo gerinimo ir gali numatyti ekstremalius įvykius prieš 72 valandas, ir tai pasiekiama brazilų sukurtais dirbtinio intelekto sprendimais. Be to, </w:t>
      </w:r>
      <w:proofErr w:type="spellStart"/>
      <w:r w:rsidRPr="00562129">
        <w:rPr>
          <w:rFonts w:ascii="Times New Roman" w:eastAsia="Times New Roman" w:hAnsi="Times New Roman" w:cs="Times New Roman"/>
          <w:color w:val="000000"/>
          <w:kern w:val="0"/>
          <w:sz w:val="24"/>
          <w:szCs w:val="24"/>
          <w:lang w:eastAsia="lt-LT"/>
          <w14:ligatures w14:val="none"/>
        </w:rPr>
        <w:t>turė</w:t>
      </w:r>
      <w:proofErr w:type="spellEnd"/>
      <w:r w:rsidRPr="00562129">
        <w:rPr>
          <w:rFonts w:ascii="Times New Roman" w:eastAsia="Times New Roman" w:hAnsi="Times New Roman" w:cs="Times New Roman"/>
          <w:color w:val="000000"/>
          <w:kern w:val="0"/>
          <w:sz w:val="24"/>
          <w:szCs w:val="24"/>
          <w:lang w:eastAsia="lt-LT"/>
          <w14:ligatures w14:val="none"/>
        </w:rPr>
        <w:t xml:space="preserve"> palydovus, įskaitant </w:t>
      </w:r>
      <w:proofErr w:type="spellStart"/>
      <w:r w:rsidRPr="00562129">
        <w:rPr>
          <w:rFonts w:ascii="Times New Roman" w:eastAsia="Times New Roman" w:hAnsi="Times New Roman" w:cs="Times New Roman"/>
          <w:color w:val="000000"/>
          <w:kern w:val="0"/>
          <w:sz w:val="24"/>
          <w:szCs w:val="24"/>
          <w:lang w:eastAsia="lt-LT"/>
          <w14:ligatures w14:val="none"/>
        </w:rPr>
        <w:t>geostacionarųjį</w:t>
      </w:r>
      <w:proofErr w:type="spellEnd"/>
      <w:r w:rsidRPr="00562129">
        <w:rPr>
          <w:rFonts w:ascii="Times New Roman" w:eastAsia="Times New Roman" w:hAnsi="Times New Roman" w:cs="Times New Roman"/>
          <w:color w:val="000000"/>
          <w:kern w:val="0"/>
          <w:sz w:val="24"/>
          <w:szCs w:val="24"/>
          <w:lang w:eastAsia="lt-LT"/>
          <w14:ligatures w14:val="none"/>
        </w:rPr>
        <w:t>, sukurtą bendradarbiaujant su Kinija, kurie leis gauti geresnį vaizdą. Visa tai apdoroja superkompiuteriai ir brazilų technikų sukurti matematiniai modeliai, leisdami numatyti šalnas, potvynius, liūtis ir kitus meteorologinius įvykius.</w:t>
      </w:r>
    </w:p>
    <w:p w14:paraId="51091AE0" w14:textId="77777777" w:rsidR="00C31C15" w:rsidRPr="00562129" w:rsidRDefault="00C31C15" w:rsidP="005069B1">
      <w:pPr>
        <w:spacing w:after="0" w:line="240" w:lineRule="auto"/>
        <w:jc w:val="both"/>
        <w:rPr>
          <w:rFonts w:ascii="Times New Roman" w:eastAsia="Times New Roman" w:hAnsi="Times New Roman" w:cs="Times New Roman"/>
          <w:b/>
          <w:bCs/>
          <w:kern w:val="0"/>
          <w:sz w:val="24"/>
          <w:szCs w:val="24"/>
          <w:lang w:eastAsia="lt-LT"/>
          <w14:ligatures w14:val="none"/>
        </w:rPr>
      </w:pPr>
    </w:p>
    <w:p w14:paraId="28F4805E" w14:textId="77777777" w:rsidR="00020269" w:rsidRPr="00562129" w:rsidRDefault="00020269" w:rsidP="00020269">
      <w:pPr>
        <w:spacing w:after="0" w:line="240" w:lineRule="auto"/>
        <w:rPr>
          <w:rFonts w:ascii="Times New Roman" w:hAnsi="Times New Roman" w:cs="Times New Roman"/>
          <w:b/>
          <w:bCs/>
          <w:sz w:val="24"/>
          <w:szCs w:val="24"/>
        </w:rPr>
      </w:pPr>
      <w:r w:rsidRPr="00562129">
        <w:rPr>
          <w:rFonts w:ascii="Times New Roman" w:hAnsi="Times New Roman" w:cs="Times New Roman"/>
          <w:b/>
          <w:bCs/>
          <w:sz w:val="24"/>
          <w:szCs w:val="24"/>
        </w:rPr>
        <w:t>Pasaulinėje konkurencijoje dėl inovacijų Brazilija dažniausiai atrodo labiau kaip talentų tiekėja ir mokslinių straipsnių autorė, o ne kaip atradimų, paverstų produktais, paslaugomis ir technologiniu suverenitetu, veikėja. Būtent šiame intervale tarp stipraus mokslo ir trapios rinkos „</w:t>
      </w:r>
      <w:proofErr w:type="spellStart"/>
      <w:r w:rsidRPr="00562129">
        <w:rPr>
          <w:rFonts w:ascii="Times New Roman" w:hAnsi="Times New Roman" w:cs="Times New Roman"/>
          <w:b/>
          <w:bCs/>
          <w:sz w:val="24"/>
          <w:szCs w:val="24"/>
        </w:rPr>
        <w:t>Sthorm</w:t>
      </w:r>
      <w:proofErr w:type="spellEnd"/>
      <w:r w:rsidRPr="00562129">
        <w:rPr>
          <w:rFonts w:ascii="Times New Roman" w:hAnsi="Times New Roman" w:cs="Times New Roman"/>
          <w:b/>
          <w:bCs/>
          <w:sz w:val="24"/>
          <w:szCs w:val="24"/>
        </w:rPr>
        <w:t>“ orientuojasi į pažangiausius mokslus ir kuria alternatyvų kelią.</w:t>
      </w:r>
    </w:p>
    <w:p w14:paraId="46ED534A" w14:textId="77777777" w:rsidR="00020269" w:rsidRPr="00562129" w:rsidRDefault="00020269" w:rsidP="00020269">
      <w:pPr>
        <w:spacing w:after="0" w:line="240" w:lineRule="auto"/>
        <w:rPr>
          <w:rFonts w:ascii="Times New Roman" w:hAnsi="Times New Roman" w:cs="Times New Roman"/>
          <w:sz w:val="24"/>
          <w:szCs w:val="24"/>
        </w:rPr>
      </w:pPr>
      <w:proofErr w:type="spellStart"/>
      <w:r w:rsidRPr="00562129">
        <w:rPr>
          <w:rFonts w:ascii="Times New Roman" w:hAnsi="Times New Roman" w:cs="Times New Roman"/>
          <w:sz w:val="24"/>
          <w:szCs w:val="24"/>
        </w:rPr>
        <w:t>Sthorm</w:t>
      </w:r>
      <w:proofErr w:type="spellEnd"/>
      <w:r w:rsidRPr="00562129">
        <w:rPr>
          <w:rFonts w:ascii="Times New Roman" w:hAnsi="Times New Roman" w:cs="Times New Roman"/>
          <w:sz w:val="24"/>
          <w:szCs w:val="24"/>
        </w:rPr>
        <w:t xml:space="preserve"> yra privačią giliųjų inovacijų infrastruktūra, turinti </w:t>
      </w:r>
      <w:proofErr w:type="spellStart"/>
      <w:r w:rsidRPr="00562129">
        <w:rPr>
          <w:rFonts w:ascii="Times New Roman" w:hAnsi="Times New Roman" w:cs="Times New Roman"/>
          <w:sz w:val="24"/>
          <w:szCs w:val="24"/>
        </w:rPr>
        <w:t>daugiadisciplininę</w:t>
      </w:r>
      <w:proofErr w:type="spellEnd"/>
      <w:r w:rsidRPr="00562129">
        <w:rPr>
          <w:rFonts w:ascii="Times New Roman" w:hAnsi="Times New Roman" w:cs="Times New Roman"/>
          <w:sz w:val="24"/>
          <w:szCs w:val="24"/>
        </w:rPr>
        <w:t xml:space="preserve"> komandą ir veikianti sveikatos, mokslo, aplinkos ir biologinės įvairovės srityse. Esą veikia kaip ekosistema, integruojanti  mokslą, technologijų taikymą ir ekonominę architektūrą, siekiant paspartinti didelio sudėtingumo ir ilgo brandinimo ciklo projektus, būdingus giliosioms technologijoms. Pagrindinė koncepcija yra „Žmonės ir planeta“, kuri sujungia socialinį ir aplinkosauginį poveikį bei ekonominį gyvybingumą.</w:t>
      </w:r>
    </w:p>
    <w:p w14:paraId="19A1201E" w14:textId="77777777" w:rsidR="00020269" w:rsidRPr="00562129" w:rsidRDefault="00020269" w:rsidP="00020269">
      <w:pPr>
        <w:spacing w:after="0" w:line="240" w:lineRule="auto"/>
        <w:rPr>
          <w:rFonts w:ascii="Times New Roman" w:hAnsi="Times New Roman" w:cs="Times New Roman"/>
          <w:sz w:val="24"/>
          <w:szCs w:val="24"/>
        </w:rPr>
      </w:pPr>
      <w:r w:rsidRPr="00562129">
        <w:rPr>
          <w:rFonts w:ascii="Times New Roman" w:hAnsi="Times New Roman" w:cs="Times New Roman"/>
          <w:sz w:val="24"/>
          <w:szCs w:val="24"/>
        </w:rPr>
        <w:lastRenderedPageBreak/>
        <w:t xml:space="preserve">Brazilijoje trumpalaikio finansavimo kultūra atima finansavimo galimybę ten, kur kūrimo ciklas yra ilgesnis. Tai vadinamasis inovacijų „mirties slėnis“, kai akademinėje aplinkoje sukuriamos iniciatyvos su daug žadančiais koncepcijos įrodymais, tačiau stringa dėl kapitalo ir infrastruktūros prototipų kūrimui bei reguliavimo trūkumo. Platformos strategija šiame kontekste yra suformuoti holdingą ir dalytis rizika tarp projektų skirtinguose brandos etapuose. Tai tarsi valdymo ir ekonominio suderinimo sprendimas. </w:t>
      </w:r>
      <w:proofErr w:type="spellStart"/>
      <w:r w:rsidRPr="00562129">
        <w:rPr>
          <w:rFonts w:ascii="Times New Roman" w:hAnsi="Times New Roman" w:cs="Times New Roman"/>
          <w:sz w:val="24"/>
          <w:szCs w:val="24"/>
        </w:rPr>
        <w:t>Sthorm</w:t>
      </w:r>
      <w:proofErr w:type="spellEnd"/>
      <w:r w:rsidRPr="00562129">
        <w:rPr>
          <w:rFonts w:ascii="Times New Roman" w:hAnsi="Times New Roman" w:cs="Times New Roman"/>
          <w:sz w:val="24"/>
          <w:szCs w:val="24"/>
        </w:rPr>
        <w:t xml:space="preserve">  sudaro daugiau nei šimtas partnerių, visi fiziniai asmenys, o kapitalas yra apie 150 mln. realų. Didelę šios visatos dalį sudaro mokslininkai.</w:t>
      </w:r>
    </w:p>
    <w:p w14:paraId="5559D765" w14:textId="77777777" w:rsidR="00020269" w:rsidRPr="00562129" w:rsidRDefault="00020269" w:rsidP="00020269">
      <w:pPr>
        <w:spacing w:after="0" w:line="240" w:lineRule="auto"/>
        <w:rPr>
          <w:rFonts w:ascii="Times New Roman" w:hAnsi="Times New Roman" w:cs="Times New Roman"/>
          <w:sz w:val="24"/>
          <w:szCs w:val="24"/>
        </w:rPr>
      </w:pPr>
      <w:r w:rsidRPr="00562129">
        <w:rPr>
          <w:rFonts w:ascii="Times New Roman" w:hAnsi="Times New Roman" w:cs="Times New Roman"/>
          <w:sz w:val="24"/>
          <w:szCs w:val="24"/>
        </w:rPr>
        <w:t>„</w:t>
      </w:r>
      <w:proofErr w:type="spellStart"/>
      <w:r w:rsidRPr="00562129">
        <w:rPr>
          <w:rFonts w:ascii="Times New Roman" w:hAnsi="Times New Roman" w:cs="Times New Roman"/>
          <w:sz w:val="24"/>
          <w:szCs w:val="24"/>
        </w:rPr>
        <w:t>Sthorm</w:t>
      </w:r>
      <w:proofErr w:type="spellEnd"/>
      <w:r w:rsidRPr="00562129">
        <w:rPr>
          <w:rFonts w:ascii="Times New Roman" w:hAnsi="Times New Roman" w:cs="Times New Roman"/>
          <w:sz w:val="24"/>
          <w:szCs w:val="24"/>
        </w:rPr>
        <w:t xml:space="preserve">“ savo veiklą </w:t>
      </w:r>
      <w:proofErr w:type="spellStart"/>
      <w:r w:rsidRPr="00562129">
        <w:rPr>
          <w:rFonts w:ascii="Times New Roman" w:hAnsi="Times New Roman" w:cs="Times New Roman"/>
          <w:sz w:val="24"/>
          <w:szCs w:val="24"/>
        </w:rPr>
        <w:t>pozicionuoja</w:t>
      </w:r>
      <w:proofErr w:type="spellEnd"/>
      <w:r w:rsidRPr="00562129">
        <w:rPr>
          <w:rFonts w:ascii="Times New Roman" w:hAnsi="Times New Roman" w:cs="Times New Roman"/>
          <w:sz w:val="24"/>
          <w:szCs w:val="24"/>
        </w:rPr>
        <w:t xml:space="preserve"> kaip katalizatorių Globaliuose Pietuose, kur akademinių žinių pavertimas produktu paprastai yra retesnis dėl struktūrinių ir kultūrinių skirtumų. Brazilijoje nėra rinkos, radikalių inovacijų pramonės. Šaliai trūksta ilgalaikio mokslinių tyrimų ir plėtros planavimo, ypač kai temai reikia daugelio metų techninio, klinikinio ir reguliavimo patvirtinimo. </w:t>
      </w:r>
      <w:proofErr w:type="spellStart"/>
      <w:r w:rsidRPr="00562129">
        <w:rPr>
          <w:rFonts w:ascii="Times New Roman" w:hAnsi="Times New Roman" w:cs="Times New Roman"/>
          <w:sz w:val="24"/>
          <w:szCs w:val="24"/>
        </w:rPr>
        <w:t>Sthorm</w:t>
      </w:r>
      <w:proofErr w:type="spellEnd"/>
      <w:r w:rsidRPr="00562129">
        <w:rPr>
          <w:rFonts w:ascii="Times New Roman" w:hAnsi="Times New Roman" w:cs="Times New Roman"/>
          <w:sz w:val="24"/>
          <w:szCs w:val="24"/>
        </w:rPr>
        <w:t xml:space="preserve"> derina poveikį su pajamų generavimu. </w:t>
      </w:r>
    </w:p>
    <w:p w14:paraId="72A915E1" w14:textId="77777777" w:rsidR="00020269" w:rsidRPr="00562129" w:rsidRDefault="00020269" w:rsidP="00020269">
      <w:pPr>
        <w:spacing w:after="0" w:line="240" w:lineRule="auto"/>
        <w:rPr>
          <w:rFonts w:ascii="Times New Roman" w:hAnsi="Times New Roman" w:cs="Times New Roman"/>
          <w:sz w:val="24"/>
          <w:szCs w:val="24"/>
        </w:rPr>
      </w:pPr>
      <w:r w:rsidRPr="00562129">
        <w:rPr>
          <w:rFonts w:ascii="Times New Roman" w:hAnsi="Times New Roman" w:cs="Times New Roman"/>
          <w:sz w:val="24"/>
          <w:szCs w:val="24"/>
        </w:rPr>
        <w:t xml:space="preserve">Sveikatos apsaugos sektoriuje </w:t>
      </w:r>
      <w:proofErr w:type="spellStart"/>
      <w:r w:rsidRPr="00562129">
        <w:rPr>
          <w:rFonts w:ascii="Times New Roman" w:hAnsi="Times New Roman" w:cs="Times New Roman"/>
          <w:sz w:val="24"/>
          <w:szCs w:val="24"/>
        </w:rPr>
        <w:t>Sthorm</w:t>
      </w:r>
      <w:proofErr w:type="spellEnd"/>
      <w:r w:rsidRPr="00562129">
        <w:rPr>
          <w:rFonts w:ascii="Times New Roman" w:hAnsi="Times New Roman" w:cs="Times New Roman"/>
          <w:sz w:val="24"/>
          <w:szCs w:val="24"/>
        </w:rPr>
        <w:t xml:space="preserve"> kuria infrastruktūrą: </w:t>
      </w:r>
      <w:r w:rsidRPr="00562129">
        <w:rPr>
          <w:rFonts w:ascii="Times New Roman" w:hAnsi="Times New Roman" w:cs="Times New Roman"/>
          <w:i/>
          <w:iCs/>
          <w:sz w:val="24"/>
          <w:szCs w:val="24"/>
        </w:rPr>
        <w:t xml:space="preserve">remiantis </w:t>
      </w:r>
      <w:proofErr w:type="spellStart"/>
      <w:r w:rsidRPr="00562129">
        <w:rPr>
          <w:rFonts w:ascii="Times New Roman" w:hAnsi="Times New Roman" w:cs="Times New Roman"/>
          <w:i/>
          <w:iCs/>
          <w:sz w:val="24"/>
          <w:szCs w:val="24"/>
        </w:rPr>
        <w:t>Contract</w:t>
      </w:r>
      <w:proofErr w:type="spellEnd"/>
      <w:r w:rsidRPr="00562129">
        <w:rPr>
          <w:rFonts w:ascii="Times New Roman" w:hAnsi="Times New Roman" w:cs="Times New Roman"/>
          <w:i/>
          <w:iCs/>
          <w:sz w:val="24"/>
          <w:szCs w:val="24"/>
        </w:rPr>
        <w:t xml:space="preserve"> </w:t>
      </w:r>
      <w:proofErr w:type="spellStart"/>
      <w:r w:rsidRPr="00562129">
        <w:rPr>
          <w:rFonts w:ascii="Times New Roman" w:hAnsi="Times New Roman" w:cs="Times New Roman"/>
          <w:i/>
          <w:iCs/>
          <w:sz w:val="24"/>
          <w:szCs w:val="24"/>
        </w:rPr>
        <w:t>Development</w:t>
      </w:r>
      <w:proofErr w:type="spellEnd"/>
      <w:r w:rsidRPr="00562129">
        <w:rPr>
          <w:rFonts w:ascii="Times New Roman" w:hAnsi="Times New Roman" w:cs="Times New Roman"/>
          <w:i/>
          <w:iCs/>
          <w:sz w:val="24"/>
          <w:szCs w:val="24"/>
        </w:rPr>
        <w:t xml:space="preserve"> </w:t>
      </w:r>
      <w:proofErr w:type="spellStart"/>
      <w:r w:rsidRPr="00562129">
        <w:rPr>
          <w:rFonts w:ascii="Times New Roman" w:hAnsi="Times New Roman" w:cs="Times New Roman"/>
          <w:i/>
          <w:iCs/>
          <w:sz w:val="24"/>
          <w:szCs w:val="24"/>
        </w:rPr>
        <w:t>and</w:t>
      </w:r>
      <w:proofErr w:type="spellEnd"/>
      <w:r w:rsidRPr="00562129">
        <w:rPr>
          <w:rFonts w:ascii="Times New Roman" w:hAnsi="Times New Roman" w:cs="Times New Roman"/>
          <w:i/>
          <w:iCs/>
          <w:sz w:val="24"/>
          <w:szCs w:val="24"/>
        </w:rPr>
        <w:t xml:space="preserve"> </w:t>
      </w:r>
      <w:proofErr w:type="spellStart"/>
      <w:r w:rsidRPr="00562129">
        <w:rPr>
          <w:rFonts w:ascii="Times New Roman" w:hAnsi="Times New Roman" w:cs="Times New Roman"/>
          <w:i/>
          <w:iCs/>
          <w:sz w:val="24"/>
          <w:szCs w:val="24"/>
        </w:rPr>
        <w:t>Manufacturing</w:t>
      </w:r>
      <w:proofErr w:type="spellEnd"/>
      <w:r w:rsidRPr="00562129">
        <w:rPr>
          <w:rFonts w:ascii="Times New Roman" w:hAnsi="Times New Roman" w:cs="Times New Roman"/>
          <w:i/>
          <w:iCs/>
          <w:sz w:val="24"/>
          <w:szCs w:val="24"/>
        </w:rPr>
        <w:t xml:space="preserve"> </w:t>
      </w:r>
      <w:proofErr w:type="spellStart"/>
      <w:r w:rsidRPr="00562129">
        <w:rPr>
          <w:rFonts w:ascii="Times New Roman" w:hAnsi="Times New Roman" w:cs="Times New Roman"/>
          <w:i/>
          <w:iCs/>
          <w:sz w:val="24"/>
          <w:szCs w:val="24"/>
        </w:rPr>
        <w:t>Organization</w:t>
      </w:r>
      <w:proofErr w:type="spellEnd"/>
      <w:r w:rsidRPr="00562129">
        <w:rPr>
          <w:rFonts w:ascii="Times New Roman" w:hAnsi="Times New Roman" w:cs="Times New Roman"/>
          <w:sz w:val="24"/>
          <w:szCs w:val="24"/>
        </w:rPr>
        <w:t xml:space="preserve"> metodu, kuria biotechnologijoms skirtą iniciatyvą, pavadintą „</w:t>
      </w:r>
      <w:proofErr w:type="spellStart"/>
      <w:r w:rsidRPr="00562129">
        <w:rPr>
          <w:rFonts w:ascii="Times New Roman" w:hAnsi="Times New Roman" w:cs="Times New Roman"/>
          <w:sz w:val="24"/>
          <w:szCs w:val="24"/>
        </w:rPr>
        <w:t>Biotimize</w:t>
      </w:r>
      <w:proofErr w:type="spellEnd"/>
      <w:r w:rsidRPr="00562129">
        <w:rPr>
          <w:rFonts w:ascii="Times New Roman" w:hAnsi="Times New Roman" w:cs="Times New Roman"/>
          <w:sz w:val="24"/>
          <w:szCs w:val="24"/>
        </w:rPr>
        <w:t xml:space="preserve">“. Ja siekiama pašalinti kliūtį, ribojančią nacionalinius gebėjimus atradimus privesti iki klinikinių tyrimų. Šios grandinės nebuvimas didina išlaidas ir stabdo vietos tyrimų ir pramonės plėtrą, be to, didina išorinę priklausomybę nuo vakcinų, </w:t>
      </w:r>
      <w:proofErr w:type="spellStart"/>
      <w:r w:rsidRPr="00562129">
        <w:rPr>
          <w:rFonts w:ascii="Times New Roman" w:hAnsi="Times New Roman" w:cs="Times New Roman"/>
          <w:sz w:val="24"/>
          <w:szCs w:val="24"/>
        </w:rPr>
        <w:t>biofarmacinių</w:t>
      </w:r>
      <w:proofErr w:type="spellEnd"/>
      <w:r w:rsidRPr="00562129">
        <w:rPr>
          <w:rFonts w:ascii="Times New Roman" w:hAnsi="Times New Roman" w:cs="Times New Roman"/>
          <w:sz w:val="24"/>
          <w:szCs w:val="24"/>
        </w:rPr>
        <w:t xml:space="preserve"> preparatų ir pažangių gydymo būdų. Jau veikia laboratorija, teikianti </w:t>
      </w:r>
      <w:proofErr w:type="spellStart"/>
      <w:r w:rsidRPr="00562129">
        <w:rPr>
          <w:rFonts w:ascii="Times New Roman" w:hAnsi="Times New Roman" w:cs="Times New Roman"/>
          <w:sz w:val="24"/>
          <w:szCs w:val="24"/>
        </w:rPr>
        <w:t>ikiklinikines</w:t>
      </w:r>
      <w:proofErr w:type="spellEnd"/>
      <w:r w:rsidRPr="00562129">
        <w:rPr>
          <w:rFonts w:ascii="Times New Roman" w:hAnsi="Times New Roman" w:cs="Times New Roman"/>
          <w:sz w:val="24"/>
          <w:szCs w:val="24"/>
        </w:rPr>
        <w:t xml:space="preserve"> paslaugas. Plėtra numato gamyklos statybą klinikiniams tyrimams skirtų bandomųjų partijų gamybai, kuri turėtų pradėti veikti 2028 m. </w:t>
      </w:r>
    </w:p>
    <w:p w14:paraId="5BB950EC" w14:textId="77777777" w:rsidR="00020269" w:rsidRPr="00562129" w:rsidRDefault="00020269" w:rsidP="00020269">
      <w:pPr>
        <w:spacing w:after="0" w:line="240" w:lineRule="auto"/>
        <w:rPr>
          <w:rFonts w:ascii="Times New Roman" w:hAnsi="Times New Roman" w:cs="Times New Roman"/>
          <w:sz w:val="24"/>
          <w:szCs w:val="24"/>
        </w:rPr>
      </w:pPr>
      <w:r w:rsidRPr="00562129">
        <w:rPr>
          <w:rFonts w:ascii="Times New Roman" w:hAnsi="Times New Roman" w:cs="Times New Roman"/>
          <w:sz w:val="24"/>
          <w:szCs w:val="24"/>
        </w:rPr>
        <w:t>Kita iniciatyva yra „</w:t>
      </w:r>
      <w:proofErr w:type="spellStart"/>
      <w:r w:rsidRPr="00562129">
        <w:rPr>
          <w:rFonts w:ascii="Times New Roman" w:hAnsi="Times New Roman" w:cs="Times New Roman"/>
          <w:sz w:val="24"/>
          <w:szCs w:val="24"/>
        </w:rPr>
        <w:t>iOz</w:t>
      </w:r>
      <w:proofErr w:type="spellEnd"/>
      <w:r w:rsidRPr="00562129">
        <w:rPr>
          <w:rFonts w:ascii="Times New Roman" w:hAnsi="Times New Roman" w:cs="Times New Roman"/>
          <w:sz w:val="24"/>
          <w:szCs w:val="24"/>
        </w:rPr>
        <w:t xml:space="preserve">“, kuri tyrinėja genetinę inžineriją, pagrįstą </w:t>
      </w:r>
      <w:proofErr w:type="spellStart"/>
      <w:r w:rsidRPr="00562129">
        <w:rPr>
          <w:rFonts w:ascii="Times New Roman" w:hAnsi="Times New Roman" w:cs="Times New Roman"/>
          <w:sz w:val="24"/>
          <w:szCs w:val="24"/>
        </w:rPr>
        <w:t>Zika</w:t>
      </w:r>
      <w:proofErr w:type="spellEnd"/>
      <w:r w:rsidRPr="00562129">
        <w:rPr>
          <w:rFonts w:ascii="Times New Roman" w:hAnsi="Times New Roman" w:cs="Times New Roman"/>
          <w:sz w:val="24"/>
          <w:szCs w:val="24"/>
        </w:rPr>
        <w:t xml:space="preserve"> virusu. Pastebėta, kad Brazilijos viruso atmaina geba prasiskverbti pro </w:t>
      </w:r>
      <w:proofErr w:type="spellStart"/>
      <w:r w:rsidRPr="00562129">
        <w:rPr>
          <w:rFonts w:ascii="Times New Roman" w:hAnsi="Times New Roman" w:cs="Times New Roman"/>
          <w:sz w:val="24"/>
          <w:szCs w:val="24"/>
        </w:rPr>
        <w:t>hematoencefalinį</w:t>
      </w:r>
      <w:proofErr w:type="spellEnd"/>
      <w:r w:rsidRPr="00562129">
        <w:rPr>
          <w:rFonts w:ascii="Times New Roman" w:hAnsi="Times New Roman" w:cs="Times New Roman"/>
          <w:sz w:val="24"/>
          <w:szCs w:val="24"/>
        </w:rPr>
        <w:t xml:space="preserve"> barjerą, ir galbūt pernešti vaistus į smegenis, kuris yra pagrindinis iššūkis smegenų auglių ir neurologinių ligų atveju. Šiandien jau pradedami klinikiniai tyrimai</w:t>
      </w:r>
    </w:p>
    <w:p w14:paraId="6F62550F" w14:textId="77777777" w:rsidR="00020269" w:rsidRPr="00562129" w:rsidRDefault="00020269" w:rsidP="00020269">
      <w:pPr>
        <w:spacing w:after="0" w:line="240" w:lineRule="auto"/>
        <w:rPr>
          <w:rFonts w:ascii="Times New Roman" w:hAnsi="Times New Roman" w:cs="Times New Roman"/>
          <w:sz w:val="24"/>
          <w:szCs w:val="24"/>
        </w:rPr>
      </w:pPr>
      <w:proofErr w:type="spellStart"/>
      <w:r w:rsidRPr="00562129">
        <w:rPr>
          <w:rFonts w:ascii="Times New Roman" w:hAnsi="Times New Roman" w:cs="Times New Roman"/>
          <w:sz w:val="24"/>
          <w:szCs w:val="24"/>
        </w:rPr>
        <w:t>Biofarmacijos</w:t>
      </w:r>
      <w:proofErr w:type="spellEnd"/>
      <w:r w:rsidRPr="00562129">
        <w:rPr>
          <w:rFonts w:ascii="Times New Roman" w:hAnsi="Times New Roman" w:cs="Times New Roman"/>
          <w:sz w:val="24"/>
          <w:szCs w:val="24"/>
        </w:rPr>
        <w:t xml:space="preserve"> srityje </w:t>
      </w:r>
      <w:proofErr w:type="spellStart"/>
      <w:r w:rsidRPr="00562129">
        <w:rPr>
          <w:rFonts w:ascii="Times New Roman" w:hAnsi="Times New Roman" w:cs="Times New Roman"/>
          <w:sz w:val="24"/>
          <w:szCs w:val="24"/>
        </w:rPr>
        <w:t>Sthormas</w:t>
      </w:r>
      <w:proofErr w:type="spellEnd"/>
      <w:r w:rsidRPr="00562129">
        <w:rPr>
          <w:rFonts w:ascii="Times New Roman" w:hAnsi="Times New Roman" w:cs="Times New Roman"/>
          <w:sz w:val="24"/>
          <w:szCs w:val="24"/>
        </w:rPr>
        <w:t xml:space="preserve"> taip pat mini virtualios </w:t>
      </w:r>
      <w:proofErr w:type="spellStart"/>
      <w:r w:rsidRPr="00562129">
        <w:rPr>
          <w:rFonts w:ascii="Times New Roman" w:hAnsi="Times New Roman" w:cs="Times New Roman"/>
          <w:sz w:val="24"/>
          <w:szCs w:val="24"/>
        </w:rPr>
        <w:t>monokloninių</w:t>
      </w:r>
      <w:proofErr w:type="spellEnd"/>
      <w:r w:rsidRPr="00562129">
        <w:rPr>
          <w:rFonts w:ascii="Times New Roman" w:hAnsi="Times New Roman" w:cs="Times New Roman"/>
          <w:sz w:val="24"/>
          <w:szCs w:val="24"/>
        </w:rPr>
        <w:t xml:space="preserve"> antikūnų bibliotekos kūrimą ir ryšį su </w:t>
      </w:r>
      <w:proofErr w:type="spellStart"/>
      <w:r w:rsidRPr="00562129">
        <w:rPr>
          <w:rFonts w:ascii="Times New Roman" w:hAnsi="Times New Roman" w:cs="Times New Roman"/>
          <w:sz w:val="24"/>
          <w:szCs w:val="24"/>
        </w:rPr>
        <w:t>Butantan</w:t>
      </w:r>
      <w:proofErr w:type="spellEnd"/>
      <w:r w:rsidRPr="00562129">
        <w:rPr>
          <w:rFonts w:ascii="Times New Roman" w:hAnsi="Times New Roman" w:cs="Times New Roman"/>
          <w:sz w:val="24"/>
          <w:szCs w:val="24"/>
        </w:rPr>
        <w:t xml:space="preserve"> institutu kaip dalį pastangų sumažinti importo priklausomybę brangių </w:t>
      </w:r>
      <w:proofErr w:type="spellStart"/>
      <w:r w:rsidRPr="00562129">
        <w:rPr>
          <w:rFonts w:ascii="Times New Roman" w:hAnsi="Times New Roman" w:cs="Times New Roman"/>
          <w:sz w:val="24"/>
          <w:szCs w:val="24"/>
        </w:rPr>
        <w:t>terapijų</w:t>
      </w:r>
      <w:proofErr w:type="spellEnd"/>
      <w:r w:rsidRPr="00562129">
        <w:rPr>
          <w:rFonts w:ascii="Times New Roman" w:hAnsi="Times New Roman" w:cs="Times New Roman"/>
          <w:sz w:val="24"/>
          <w:szCs w:val="24"/>
        </w:rPr>
        <w:t xml:space="preserve"> srityje. </w:t>
      </w:r>
    </w:p>
    <w:p w14:paraId="48380A6B" w14:textId="77777777" w:rsidR="00020269" w:rsidRPr="00562129" w:rsidRDefault="00020269" w:rsidP="005069B1">
      <w:pPr>
        <w:spacing w:after="0" w:line="240" w:lineRule="auto"/>
        <w:jc w:val="both"/>
        <w:rPr>
          <w:rFonts w:ascii="Times New Roman" w:eastAsia="Times New Roman" w:hAnsi="Times New Roman" w:cs="Times New Roman"/>
          <w:b/>
          <w:bCs/>
          <w:kern w:val="0"/>
          <w:sz w:val="24"/>
          <w:szCs w:val="24"/>
          <w:lang w:eastAsia="lt-LT"/>
          <w14:ligatures w14:val="none"/>
        </w:rPr>
      </w:pPr>
    </w:p>
    <w:p w14:paraId="36B5ACCF" w14:textId="741B580A" w:rsidR="005069B1" w:rsidRPr="00562129" w:rsidRDefault="005069B1" w:rsidP="005069B1">
      <w:pPr>
        <w:spacing w:after="0" w:line="240" w:lineRule="auto"/>
        <w:jc w:val="both"/>
        <w:rPr>
          <w:rFonts w:ascii="Times New Roman" w:eastAsia="Times New Roman" w:hAnsi="Times New Roman" w:cs="Times New Roman"/>
          <w:b/>
          <w:bCs/>
          <w:kern w:val="0"/>
          <w:sz w:val="24"/>
          <w:szCs w:val="24"/>
          <w:lang w:eastAsia="lt-LT"/>
          <w14:ligatures w14:val="none"/>
        </w:rPr>
      </w:pPr>
      <w:r w:rsidRPr="00562129">
        <w:rPr>
          <w:rFonts w:ascii="Times New Roman" w:eastAsia="Times New Roman" w:hAnsi="Times New Roman" w:cs="Times New Roman"/>
          <w:b/>
          <w:bCs/>
          <w:kern w:val="0"/>
          <w:sz w:val="24"/>
          <w:szCs w:val="24"/>
          <w:lang w:eastAsia="lt-LT"/>
          <w14:ligatures w14:val="none"/>
        </w:rPr>
        <w:t>Bendra Brazilijos ekonominė informacija:</w:t>
      </w:r>
    </w:p>
    <w:p w14:paraId="06A4E664" w14:textId="77777777" w:rsidR="00A400BB" w:rsidRPr="00562129" w:rsidRDefault="00A400BB" w:rsidP="00A400BB">
      <w:pPr>
        <w:spacing w:after="0" w:line="240" w:lineRule="auto"/>
        <w:rPr>
          <w:rFonts w:ascii="Times New Roman" w:hAnsi="Times New Roman" w:cs="Times New Roman"/>
          <w:sz w:val="24"/>
          <w:szCs w:val="24"/>
        </w:rPr>
      </w:pPr>
    </w:p>
    <w:p w14:paraId="7F274598" w14:textId="77777777" w:rsidR="00A400BB" w:rsidRPr="00562129" w:rsidRDefault="00A400BB" w:rsidP="00A400BB">
      <w:pPr>
        <w:spacing w:after="0" w:line="240" w:lineRule="auto"/>
        <w:rPr>
          <w:rFonts w:ascii="Times New Roman" w:hAnsi="Times New Roman" w:cs="Times New Roman"/>
          <w:b/>
          <w:bCs/>
          <w:sz w:val="24"/>
          <w:szCs w:val="24"/>
        </w:rPr>
      </w:pPr>
      <w:r w:rsidRPr="00562129">
        <w:rPr>
          <w:rFonts w:ascii="Times New Roman" w:hAnsi="Times New Roman" w:cs="Times New Roman"/>
          <w:b/>
          <w:bCs/>
          <w:sz w:val="24"/>
          <w:szCs w:val="24"/>
        </w:rPr>
        <w:t>Brazilijos ekonomikos tendencijos, į kurias verta atkreipti dėmesį 2026 m.</w:t>
      </w:r>
    </w:p>
    <w:p w14:paraId="20A5CC0F" w14:textId="77777777" w:rsidR="00A400BB" w:rsidRPr="00562129" w:rsidRDefault="00A400BB" w:rsidP="00A400BB">
      <w:pPr>
        <w:spacing w:after="0" w:line="240" w:lineRule="auto"/>
        <w:rPr>
          <w:rFonts w:ascii="Times New Roman" w:hAnsi="Times New Roman" w:cs="Times New Roman"/>
          <w:sz w:val="24"/>
          <w:szCs w:val="24"/>
        </w:rPr>
      </w:pPr>
      <w:r w:rsidRPr="00562129">
        <w:rPr>
          <w:rFonts w:ascii="Times New Roman" w:hAnsi="Times New Roman" w:cs="Times New Roman"/>
          <w:sz w:val="24"/>
          <w:szCs w:val="24"/>
        </w:rPr>
        <w:t xml:space="preserve">Prezidentui </w:t>
      </w:r>
      <w:proofErr w:type="spellStart"/>
      <w:r w:rsidRPr="00562129">
        <w:rPr>
          <w:rFonts w:ascii="Times New Roman" w:hAnsi="Times New Roman" w:cs="Times New Roman"/>
          <w:sz w:val="24"/>
          <w:szCs w:val="24"/>
        </w:rPr>
        <w:t>Lulai</w:t>
      </w:r>
      <w:proofErr w:type="spellEnd"/>
      <w:r w:rsidRPr="00562129">
        <w:rPr>
          <w:rFonts w:ascii="Times New Roman" w:hAnsi="Times New Roman" w:cs="Times New Roman"/>
          <w:sz w:val="24"/>
          <w:szCs w:val="24"/>
        </w:rPr>
        <w:t xml:space="preserve"> ir Finansų ministrui </w:t>
      </w:r>
      <w:proofErr w:type="spellStart"/>
      <w:r w:rsidRPr="00562129">
        <w:rPr>
          <w:rFonts w:ascii="Times New Roman" w:hAnsi="Times New Roman" w:cs="Times New Roman"/>
          <w:sz w:val="24"/>
          <w:szCs w:val="24"/>
        </w:rPr>
        <w:t>Haddad</w:t>
      </w:r>
      <w:proofErr w:type="spellEnd"/>
      <w:r w:rsidRPr="00562129">
        <w:rPr>
          <w:rFonts w:ascii="Times New Roman" w:hAnsi="Times New Roman" w:cs="Times New Roman"/>
          <w:sz w:val="24"/>
          <w:szCs w:val="24"/>
        </w:rPr>
        <w:t xml:space="preserve"> kyla iššūkis vadovauti ekonomikai rinkimų metais, kai sunku laviruoti tarp išlaidų ir taupymo</w:t>
      </w:r>
    </w:p>
    <w:p w14:paraId="13922E66" w14:textId="77777777" w:rsidR="00A400BB" w:rsidRPr="00562129" w:rsidRDefault="00A400BB" w:rsidP="00A400BB">
      <w:pPr>
        <w:spacing w:after="0" w:line="240" w:lineRule="auto"/>
        <w:rPr>
          <w:rFonts w:ascii="Times New Roman" w:hAnsi="Times New Roman" w:cs="Times New Roman"/>
          <w:sz w:val="24"/>
          <w:szCs w:val="24"/>
        </w:rPr>
      </w:pPr>
      <w:r w:rsidRPr="00562129">
        <w:rPr>
          <w:rFonts w:ascii="Times New Roman" w:hAnsi="Times New Roman" w:cs="Times New Roman"/>
          <w:sz w:val="24"/>
          <w:szCs w:val="24"/>
        </w:rPr>
        <w:t>Centrinio banko  duomenimis, Brazilijos BVP 2026 m. turėtų išaugti 1,6 %. Tai bus mažiausias augimas nuo 2020 m.</w:t>
      </w:r>
    </w:p>
    <w:p w14:paraId="6A0AB573" w14:textId="77777777" w:rsidR="00A400BB" w:rsidRPr="00562129" w:rsidRDefault="00A400BB" w:rsidP="00A400BB">
      <w:pPr>
        <w:spacing w:after="0" w:line="240" w:lineRule="auto"/>
        <w:rPr>
          <w:rFonts w:ascii="Times New Roman" w:hAnsi="Times New Roman" w:cs="Times New Roman"/>
          <w:sz w:val="24"/>
          <w:szCs w:val="24"/>
        </w:rPr>
      </w:pPr>
      <w:r w:rsidRPr="00562129">
        <w:rPr>
          <w:rFonts w:ascii="Times New Roman" w:hAnsi="Times New Roman" w:cs="Times New Roman"/>
          <w:sz w:val="24"/>
          <w:szCs w:val="24"/>
        </w:rPr>
        <w:t>Neramumai rinkoje nustojo būti laikini ir tapo struktūriniai. Tai skatina išlaikyti pinigų politiką, pagrįstą didelėmis palūkanų normomis, reaguojant į pasaulinės ekonomikos sulėtėjimo perspektyvą ir blogesnį laikotarpį žemės ūkio verslui, palyginti su 2025 m. Prisideda ir prezidento rinkimai, kurie turėtų paveikti investuotojų nuotaikas ir sukelti netikrumą.</w:t>
      </w:r>
    </w:p>
    <w:p w14:paraId="37DFF809" w14:textId="77777777" w:rsidR="00A400BB" w:rsidRPr="00562129" w:rsidRDefault="00A400BB" w:rsidP="00A400BB">
      <w:pPr>
        <w:spacing w:after="0" w:line="240" w:lineRule="auto"/>
        <w:rPr>
          <w:rFonts w:ascii="Times New Roman" w:hAnsi="Times New Roman" w:cs="Times New Roman"/>
          <w:sz w:val="24"/>
          <w:szCs w:val="24"/>
        </w:rPr>
      </w:pPr>
      <w:r w:rsidRPr="00562129">
        <w:rPr>
          <w:rFonts w:ascii="Times New Roman" w:hAnsi="Times New Roman" w:cs="Times New Roman"/>
          <w:sz w:val="24"/>
          <w:szCs w:val="24"/>
        </w:rPr>
        <w:t>Brazilijos ekonomikos sulėtėjimas, esant labai įkaitusiai darbo rinkai gali lemti projektų atidėjimą.</w:t>
      </w:r>
    </w:p>
    <w:p w14:paraId="263B4365" w14:textId="77777777" w:rsidR="00A400BB" w:rsidRPr="00562129" w:rsidRDefault="00A400BB" w:rsidP="00A400BB">
      <w:pPr>
        <w:spacing w:after="0" w:line="240" w:lineRule="auto"/>
        <w:rPr>
          <w:rFonts w:ascii="Times New Roman" w:hAnsi="Times New Roman" w:cs="Times New Roman"/>
          <w:sz w:val="24"/>
          <w:szCs w:val="24"/>
        </w:rPr>
      </w:pPr>
      <w:r w:rsidRPr="00562129">
        <w:rPr>
          <w:rFonts w:ascii="Times New Roman" w:hAnsi="Times New Roman" w:cs="Times New Roman"/>
          <w:sz w:val="24"/>
          <w:szCs w:val="24"/>
        </w:rPr>
        <w:t>Po 2025 m., kai visame pasaulyje smarkiai nuvertėjo doleris, dėl ko JAV valiuta Brazilijos realo atžvilgiu nuvertėjo 11,18 %, analitikai mano, kad 2026 m. valiutos kursas turėtų būti stabilus. Tačiau viskas vėlgi priklauso nuo Donaldo Trumpo nuotaikų valdant JAV ekonomiką ir Brazilijos rinkimų poveikio.</w:t>
      </w:r>
    </w:p>
    <w:p w14:paraId="4A95302A" w14:textId="77777777" w:rsidR="00A400BB" w:rsidRPr="00562129" w:rsidRDefault="00A400BB" w:rsidP="00A400BB">
      <w:pPr>
        <w:spacing w:after="0" w:line="240" w:lineRule="auto"/>
        <w:rPr>
          <w:rFonts w:ascii="Times New Roman" w:hAnsi="Times New Roman" w:cs="Times New Roman"/>
          <w:sz w:val="24"/>
          <w:szCs w:val="24"/>
        </w:rPr>
      </w:pPr>
      <w:r w:rsidRPr="00562129">
        <w:rPr>
          <w:rFonts w:ascii="Times New Roman" w:hAnsi="Times New Roman" w:cs="Times New Roman"/>
          <w:sz w:val="24"/>
          <w:szCs w:val="24"/>
        </w:rPr>
        <w:t xml:space="preserve">Šiuo metu </w:t>
      </w:r>
      <w:proofErr w:type="spellStart"/>
      <w:r w:rsidRPr="00562129">
        <w:rPr>
          <w:rFonts w:ascii="Times New Roman" w:hAnsi="Times New Roman" w:cs="Times New Roman"/>
          <w:sz w:val="24"/>
          <w:szCs w:val="24"/>
        </w:rPr>
        <w:t>Selic</w:t>
      </w:r>
      <w:proofErr w:type="spellEnd"/>
      <w:r w:rsidRPr="00562129">
        <w:rPr>
          <w:rFonts w:ascii="Times New Roman" w:hAnsi="Times New Roman" w:cs="Times New Roman"/>
          <w:sz w:val="24"/>
          <w:szCs w:val="24"/>
        </w:rPr>
        <w:t xml:space="preserve"> palūkanų norma yra 15% per metus – tai aukščiausias lygis per beveik 20 metų. Tikimasi, kad palūkanų normos pradės mažėti 2026 m. kovo mėn. </w:t>
      </w:r>
    </w:p>
    <w:p w14:paraId="5865971E" w14:textId="77777777" w:rsidR="00A400BB" w:rsidRPr="00562129" w:rsidRDefault="00A400BB" w:rsidP="00A400BB">
      <w:pPr>
        <w:spacing w:after="0" w:line="240" w:lineRule="auto"/>
        <w:rPr>
          <w:rFonts w:ascii="Times New Roman" w:hAnsi="Times New Roman" w:cs="Times New Roman"/>
          <w:sz w:val="24"/>
          <w:szCs w:val="24"/>
        </w:rPr>
      </w:pPr>
      <w:r w:rsidRPr="00562129">
        <w:rPr>
          <w:rFonts w:ascii="Times New Roman" w:hAnsi="Times New Roman" w:cs="Times New Roman"/>
          <w:sz w:val="24"/>
          <w:szCs w:val="24"/>
        </w:rPr>
        <w:t>2026-ųjų rinkiminiai metai bus panašūs į praėjusius rinkimų metus, pasižyminčius netikromis naujienomis, kurios keičia rinkos nuotaikas ir didina nepastovumą. Fiskalinio sektoriaus duomenys rodo pajamų augimo lėtėjimą būtent dėl ​​silpnesnės ekonominės veiklos, kai vyriausybės išlaidos nesumažėja. Todėl susidaro  pirminis deficitas ir galiausiai kyla netikrumas dėl valstybės skolos elgsenos. Tai gali riboti palūkanų normų mažinimą.</w:t>
      </w:r>
    </w:p>
    <w:p w14:paraId="4C634E43" w14:textId="77777777" w:rsidR="00A400BB" w:rsidRPr="00562129" w:rsidRDefault="00A400BB" w:rsidP="00A400BB">
      <w:pPr>
        <w:spacing w:after="0" w:line="240" w:lineRule="auto"/>
        <w:rPr>
          <w:rFonts w:ascii="Times New Roman" w:hAnsi="Times New Roman" w:cs="Times New Roman"/>
          <w:sz w:val="24"/>
          <w:szCs w:val="24"/>
        </w:rPr>
      </w:pPr>
      <w:r w:rsidRPr="00562129">
        <w:rPr>
          <w:rFonts w:ascii="Times New Roman" w:hAnsi="Times New Roman" w:cs="Times New Roman"/>
          <w:sz w:val="24"/>
          <w:szCs w:val="24"/>
        </w:rPr>
        <w:lastRenderedPageBreak/>
        <w:t xml:space="preserve">Tikėtina, kas prezidentas </w:t>
      </w:r>
      <w:proofErr w:type="spellStart"/>
      <w:r w:rsidRPr="00562129">
        <w:rPr>
          <w:rFonts w:ascii="Times New Roman" w:hAnsi="Times New Roman" w:cs="Times New Roman"/>
          <w:sz w:val="24"/>
          <w:szCs w:val="24"/>
        </w:rPr>
        <w:t>Lula</w:t>
      </w:r>
      <w:proofErr w:type="spellEnd"/>
      <w:r w:rsidRPr="00562129">
        <w:rPr>
          <w:rFonts w:ascii="Times New Roman" w:hAnsi="Times New Roman" w:cs="Times New Roman"/>
          <w:sz w:val="24"/>
          <w:szCs w:val="24"/>
        </w:rPr>
        <w:t xml:space="preserve"> bandys daugiau skirti socialiniams reikalams, kad būtų užtikrintas jo perrinkimas. Kitas aspektas, kuris padės (arba ne) </w:t>
      </w:r>
      <w:proofErr w:type="spellStart"/>
      <w:r w:rsidRPr="00562129">
        <w:rPr>
          <w:rFonts w:ascii="Times New Roman" w:hAnsi="Times New Roman" w:cs="Times New Roman"/>
          <w:sz w:val="24"/>
          <w:szCs w:val="24"/>
        </w:rPr>
        <w:t>Lulos</w:t>
      </w:r>
      <w:proofErr w:type="spellEnd"/>
      <w:r w:rsidRPr="00562129">
        <w:rPr>
          <w:rFonts w:ascii="Times New Roman" w:hAnsi="Times New Roman" w:cs="Times New Roman"/>
          <w:sz w:val="24"/>
          <w:szCs w:val="24"/>
        </w:rPr>
        <w:t xml:space="preserve"> perrinkimui, bus mokesčių reformos poveikis, kuri pradės įsigalioti 2026 m. Tai bus metai, kai įmonės ir piliečiai pajus, kaip mokesčių supaprastinimas paveiks jų kasdienį gyvenimą.</w:t>
      </w:r>
    </w:p>
    <w:p w14:paraId="18BE3D8E" w14:textId="77777777" w:rsidR="00A400BB" w:rsidRPr="00562129" w:rsidRDefault="00A400BB" w:rsidP="00A400BB">
      <w:pPr>
        <w:spacing w:after="0" w:line="240" w:lineRule="auto"/>
        <w:rPr>
          <w:rFonts w:ascii="Times New Roman" w:hAnsi="Times New Roman" w:cs="Times New Roman"/>
          <w:sz w:val="24"/>
          <w:szCs w:val="24"/>
        </w:rPr>
      </w:pPr>
      <w:r w:rsidRPr="00562129">
        <w:rPr>
          <w:rFonts w:ascii="Times New Roman" w:hAnsi="Times New Roman" w:cs="Times New Roman"/>
          <w:sz w:val="24"/>
          <w:szCs w:val="24"/>
        </w:rPr>
        <w:t>5. Amerikos ekonomikos poveikis Brazilijai</w:t>
      </w:r>
    </w:p>
    <w:p w14:paraId="554C2290" w14:textId="77777777" w:rsidR="00A400BB" w:rsidRPr="00562129" w:rsidRDefault="00A400BB" w:rsidP="00A400BB">
      <w:pPr>
        <w:spacing w:after="0" w:line="240" w:lineRule="auto"/>
        <w:rPr>
          <w:rFonts w:ascii="Times New Roman" w:hAnsi="Times New Roman" w:cs="Times New Roman"/>
          <w:sz w:val="24"/>
          <w:szCs w:val="24"/>
        </w:rPr>
      </w:pPr>
      <w:r w:rsidRPr="00562129">
        <w:rPr>
          <w:rFonts w:ascii="Times New Roman" w:hAnsi="Times New Roman" w:cs="Times New Roman"/>
          <w:sz w:val="24"/>
          <w:szCs w:val="24"/>
        </w:rPr>
        <w:t>Pagrindinis lemiamas veiksnys Brazilijos ir JAV santykiuose 2025 m. neabejotinai buvo liepos mėnesį  padidinti muitai. 2026 m. šie santykiai priklausys nuo JAV Federalinio rezervo (FED) pirmininko pasikeitimo, kas gali įtakoti infliaciją, ir galimo kišimosi į Brazilijos prezidento rinkimus – tai iri gali turėti poveikį Brazilijos ekonomikai.</w:t>
      </w:r>
    </w:p>
    <w:p w14:paraId="64D6CE12" w14:textId="77777777" w:rsidR="00A400BB" w:rsidRPr="00562129" w:rsidRDefault="00A400BB" w:rsidP="00A400BB">
      <w:pPr>
        <w:spacing w:after="0" w:line="240" w:lineRule="auto"/>
        <w:rPr>
          <w:rFonts w:ascii="Times New Roman" w:hAnsi="Times New Roman" w:cs="Times New Roman"/>
          <w:sz w:val="24"/>
          <w:szCs w:val="24"/>
        </w:rPr>
      </w:pPr>
      <w:r w:rsidRPr="00562129">
        <w:rPr>
          <w:rFonts w:ascii="Times New Roman" w:hAnsi="Times New Roman" w:cs="Times New Roman"/>
          <w:sz w:val="24"/>
          <w:szCs w:val="24"/>
        </w:rPr>
        <w:t xml:space="preserve">Be to, Brazilijos </w:t>
      </w:r>
      <w:proofErr w:type="spellStart"/>
      <w:r w:rsidRPr="00562129">
        <w:rPr>
          <w:rFonts w:ascii="Times New Roman" w:hAnsi="Times New Roman" w:cs="Times New Roman"/>
          <w:sz w:val="24"/>
          <w:szCs w:val="24"/>
        </w:rPr>
        <w:t>Master</w:t>
      </w:r>
      <w:proofErr w:type="spellEnd"/>
      <w:r w:rsidRPr="00562129">
        <w:rPr>
          <w:rFonts w:ascii="Times New Roman" w:hAnsi="Times New Roman" w:cs="Times New Roman"/>
          <w:sz w:val="24"/>
          <w:szCs w:val="24"/>
        </w:rPr>
        <w:t xml:space="preserve"> banko byla ir korupcijos skandalas padarė įtaką Brazilijos finansų, politinės ir teisinės  sistemų stabilumui ir patikimumui.  </w:t>
      </w:r>
    </w:p>
    <w:p w14:paraId="1FAC67A0" w14:textId="77777777" w:rsidR="00A400BB" w:rsidRPr="00562129" w:rsidRDefault="00A400BB" w:rsidP="00A400BB">
      <w:pPr>
        <w:spacing w:after="0" w:line="240" w:lineRule="auto"/>
        <w:rPr>
          <w:rFonts w:ascii="Times New Roman" w:hAnsi="Times New Roman" w:cs="Times New Roman"/>
          <w:b/>
          <w:bCs/>
          <w:sz w:val="24"/>
          <w:szCs w:val="24"/>
          <w:lang w:val="pt-BR"/>
        </w:rPr>
      </w:pPr>
      <w:r w:rsidRPr="00562129">
        <w:rPr>
          <w:rFonts w:ascii="Times New Roman" w:hAnsi="Times New Roman" w:cs="Times New Roman"/>
          <w:b/>
          <w:bCs/>
          <w:sz w:val="24"/>
          <w:szCs w:val="24"/>
          <w:lang w:val="pt-BR"/>
        </w:rPr>
        <w:t>Kas turėtų skatinti Brazilijos ekonomikos augimą 2026 m.?</w:t>
      </w:r>
    </w:p>
    <w:p w14:paraId="34102BDC" w14:textId="77777777" w:rsidR="00A400BB" w:rsidRPr="00562129" w:rsidRDefault="00A400BB" w:rsidP="00A400BB">
      <w:pPr>
        <w:spacing w:after="0" w:line="240" w:lineRule="auto"/>
        <w:rPr>
          <w:rFonts w:ascii="Times New Roman" w:hAnsi="Times New Roman" w:cs="Times New Roman"/>
          <w:sz w:val="24"/>
          <w:szCs w:val="24"/>
          <w:lang w:val="pt-BR"/>
        </w:rPr>
      </w:pPr>
      <w:r w:rsidRPr="00562129">
        <w:rPr>
          <w:rFonts w:ascii="Times New Roman" w:hAnsi="Times New Roman" w:cs="Times New Roman"/>
          <w:sz w:val="24"/>
          <w:szCs w:val="24"/>
          <w:lang w:val="pt-BR"/>
        </w:rPr>
        <w:t>Šiais metais Brazilijos ekonomika neturės tokio postūmio iš žemės ūkio, kaip praėjusiais metais, o paslaugų sektoriaus dalis sudarys didesnę BVP dalį - 59 % - ypač dėl prekybos, transporto, bankų ir daugybės kitų paslaugų.</w:t>
      </w:r>
    </w:p>
    <w:p w14:paraId="6B6F5C61" w14:textId="77777777" w:rsidR="00A400BB" w:rsidRPr="00562129" w:rsidRDefault="00A400BB" w:rsidP="00A400BB">
      <w:pPr>
        <w:spacing w:after="0" w:line="240" w:lineRule="auto"/>
        <w:rPr>
          <w:rFonts w:ascii="Times New Roman" w:hAnsi="Times New Roman" w:cs="Times New Roman"/>
          <w:sz w:val="24"/>
          <w:szCs w:val="24"/>
          <w:lang w:val="pt-BR"/>
        </w:rPr>
      </w:pPr>
      <w:r w:rsidRPr="00562129">
        <w:rPr>
          <w:rFonts w:ascii="Times New Roman" w:hAnsi="Times New Roman" w:cs="Times New Roman"/>
          <w:sz w:val="24"/>
          <w:szCs w:val="24"/>
          <w:lang w:val="pt-BR"/>
        </w:rPr>
        <w:t xml:space="preserve">Didelės palūkanų normos ir toliau slopins rinkos aktyvumą. Tačiau tą lėtėjimą ribos pajamų didinimas ir vyriausybės pradėtas vartojimo skatinimas. Sulėtėjimas turėtų paveikti beveik visus sektorius, tačiau intensyvumas skirtinguose sektoriuose skirsis. </w:t>
      </w:r>
    </w:p>
    <w:p w14:paraId="2A37DDB1" w14:textId="77777777" w:rsidR="00A400BB" w:rsidRPr="00562129" w:rsidRDefault="00A400BB" w:rsidP="00A400BB">
      <w:pPr>
        <w:spacing w:after="0" w:line="240" w:lineRule="auto"/>
        <w:rPr>
          <w:rFonts w:ascii="Times New Roman" w:hAnsi="Times New Roman" w:cs="Times New Roman"/>
          <w:sz w:val="24"/>
          <w:szCs w:val="24"/>
          <w:lang w:val="pt-BR"/>
        </w:rPr>
      </w:pPr>
      <w:r w:rsidRPr="00562129">
        <w:rPr>
          <w:rFonts w:ascii="Times New Roman" w:hAnsi="Times New Roman" w:cs="Times New Roman"/>
          <w:sz w:val="24"/>
          <w:szCs w:val="24"/>
          <w:lang w:val="pt-BR"/>
        </w:rPr>
        <w:t>Prognozuojamas 2% žemės ūkio augimas 2026 m., palyginti su 10,3 % 2025 m. rezultatu.</w:t>
      </w:r>
    </w:p>
    <w:p w14:paraId="3C408ADF" w14:textId="77777777" w:rsidR="00A400BB" w:rsidRPr="00562129" w:rsidRDefault="00A400BB" w:rsidP="00A400BB">
      <w:pPr>
        <w:spacing w:after="0" w:line="240" w:lineRule="auto"/>
        <w:rPr>
          <w:rFonts w:ascii="Times New Roman" w:hAnsi="Times New Roman" w:cs="Times New Roman"/>
          <w:sz w:val="24"/>
          <w:szCs w:val="24"/>
          <w:lang w:val="pt-BR"/>
        </w:rPr>
      </w:pPr>
      <w:r w:rsidRPr="00562129">
        <w:rPr>
          <w:rFonts w:ascii="Times New Roman" w:hAnsi="Times New Roman" w:cs="Times New Roman"/>
          <w:sz w:val="24"/>
          <w:szCs w:val="24"/>
          <w:lang w:val="pt-BR"/>
        </w:rPr>
        <w:t>Gavybos sektoriai linkę iš dalies kompensuoti šį ekonomikos lėtėjimo poveikį padidėjusia naftos ir mineralų gamyba, todėl visa pramonė 2026 m. turėtų sudaryti 16 % BVP augimo, tai yra šiek tiek daugiau nei prognozuota 2025 m. (14 %).</w:t>
      </w:r>
    </w:p>
    <w:p w14:paraId="131C5000" w14:textId="77777777" w:rsidR="00A400BB" w:rsidRPr="00562129" w:rsidRDefault="00A400BB" w:rsidP="00A400BB">
      <w:pPr>
        <w:spacing w:after="0" w:line="240" w:lineRule="auto"/>
        <w:rPr>
          <w:rFonts w:ascii="Times New Roman" w:hAnsi="Times New Roman" w:cs="Times New Roman"/>
          <w:sz w:val="24"/>
          <w:szCs w:val="24"/>
          <w:lang w:val="pt-BR"/>
        </w:rPr>
      </w:pPr>
      <w:r w:rsidRPr="00562129">
        <w:rPr>
          <w:rFonts w:ascii="Times New Roman" w:hAnsi="Times New Roman" w:cs="Times New Roman"/>
          <w:sz w:val="24"/>
          <w:szCs w:val="24"/>
          <w:lang w:val="pt-BR"/>
        </w:rPr>
        <w:t>Nors tikimasi, jog investicijas paveiks didelė palūkanų norma, namų ūkių vartojimas bus pagrindinis augimo variklis šiais metais, nes darbo rinka išliks stipri, atsiras naujų kreditavimo galimybių ir padidės pajamų prieinamumas darbuotojams, kurie pasinaudos pajamų mokesčio lengvatomis.</w:t>
      </w:r>
    </w:p>
    <w:p w14:paraId="0EFC8E44" w14:textId="77777777" w:rsidR="00A400BB" w:rsidRPr="00562129" w:rsidRDefault="00A400BB" w:rsidP="00A400BB">
      <w:pPr>
        <w:spacing w:after="0" w:line="240" w:lineRule="auto"/>
        <w:rPr>
          <w:rFonts w:ascii="Times New Roman" w:hAnsi="Times New Roman" w:cs="Times New Roman"/>
          <w:sz w:val="24"/>
          <w:szCs w:val="24"/>
        </w:rPr>
      </w:pPr>
    </w:p>
    <w:p w14:paraId="09EA77B6" w14:textId="77777777" w:rsidR="00A400BB" w:rsidRPr="00562129" w:rsidRDefault="00A400BB" w:rsidP="00A400BB">
      <w:pPr>
        <w:spacing w:after="0" w:line="240" w:lineRule="auto"/>
        <w:rPr>
          <w:rFonts w:ascii="Times New Roman" w:hAnsi="Times New Roman" w:cs="Times New Roman"/>
          <w:sz w:val="24"/>
          <w:szCs w:val="24"/>
        </w:rPr>
      </w:pPr>
      <w:r w:rsidRPr="00562129">
        <w:rPr>
          <w:rFonts w:ascii="Times New Roman" w:hAnsi="Times New Roman" w:cs="Times New Roman"/>
          <w:sz w:val="24"/>
          <w:szCs w:val="24"/>
        </w:rPr>
        <w:t>Brazilijos ir Afrikos prekybos santykiai turi gilias istorines šaknis, tačiau jie vis dar neatspindi jų ekonominio potencialo, Afrika vis dar sudaro nedidelę Brazilijos užsienio prekybos dalį. 2025 m. eksportas į žemyną sudarė 15,5 mlrd. USD arba 4,5 % viso eksporto., o importas – 8,2 mlrd. USD.</w:t>
      </w:r>
    </w:p>
    <w:p w14:paraId="02FF2CA8" w14:textId="77777777" w:rsidR="00A400BB" w:rsidRPr="00562129" w:rsidRDefault="00A400BB" w:rsidP="00A400BB">
      <w:pPr>
        <w:spacing w:after="0" w:line="240" w:lineRule="auto"/>
        <w:rPr>
          <w:rFonts w:ascii="Times New Roman" w:hAnsi="Times New Roman" w:cs="Times New Roman"/>
          <w:b/>
          <w:bCs/>
          <w:sz w:val="24"/>
          <w:szCs w:val="24"/>
        </w:rPr>
      </w:pPr>
      <w:r w:rsidRPr="00562129">
        <w:rPr>
          <w:rFonts w:ascii="Times New Roman" w:hAnsi="Times New Roman" w:cs="Times New Roman"/>
          <w:b/>
          <w:bCs/>
          <w:sz w:val="24"/>
          <w:szCs w:val="24"/>
        </w:rPr>
        <w:t xml:space="preserve">Pasak „Expo </w:t>
      </w:r>
      <w:proofErr w:type="spellStart"/>
      <w:r w:rsidRPr="00562129">
        <w:rPr>
          <w:rFonts w:ascii="Times New Roman" w:hAnsi="Times New Roman" w:cs="Times New Roman"/>
          <w:b/>
          <w:bCs/>
          <w:sz w:val="24"/>
          <w:szCs w:val="24"/>
        </w:rPr>
        <w:t>Africa-Brazil</w:t>
      </w:r>
      <w:proofErr w:type="spellEnd"/>
      <w:r w:rsidRPr="00562129">
        <w:rPr>
          <w:rFonts w:ascii="Times New Roman" w:hAnsi="Times New Roman" w:cs="Times New Roman"/>
          <w:b/>
          <w:bCs/>
          <w:sz w:val="24"/>
          <w:szCs w:val="24"/>
        </w:rPr>
        <w:t xml:space="preserve">“ įkūrėjo, Brazilijai laikas į Afriką žiūrėti ne tik kaip į eksporto, bet ir kaip į investicijų vietą, ypač infrastruktūros, energetikos, maisto ir technologijų srityse. </w:t>
      </w:r>
    </w:p>
    <w:p w14:paraId="1260CA9A" w14:textId="77777777" w:rsidR="00A400BB" w:rsidRPr="00562129" w:rsidRDefault="00A400BB" w:rsidP="00A400BB">
      <w:pPr>
        <w:spacing w:after="0" w:line="240" w:lineRule="auto"/>
        <w:rPr>
          <w:rFonts w:ascii="Times New Roman" w:hAnsi="Times New Roman" w:cs="Times New Roman"/>
          <w:sz w:val="24"/>
          <w:szCs w:val="24"/>
        </w:rPr>
      </w:pPr>
      <w:r w:rsidRPr="00562129">
        <w:rPr>
          <w:rFonts w:ascii="Times New Roman" w:hAnsi="Times New Roman" w:cs="Times New Roman"/>
          <w:sz w:val="24"/>
          <w:szCs w:val="24"/>
        </w:rPr>
        <w:t>pati Brazilija, kuri yra daug labiau išsivysčiusi šalis, palyginti su Afrikos šalimis, nedalyvauja veiksmingiau. Šiai raidai didelę įtaką turėjo politiniai klausimai Brazilijoje, kurie šiame kontekste yra gana strateginiai ir svarbūs.</w:t>
      </w:r>
    </w:p>
    <w:p w14:paraId="264937D0" w14:textId="77777777" w:rsidR="00A400BB" w:rsidRPr="00562129" w:rsidRDefault="00A400BB" w:rsidP="00A400BB">
      <w:pPr>
        <w:spacing w:after="0" w:line="240" w:lineRule="auto"/>
        <w:rPr>
          <w:rFonts w:ascii="Times New Roman" w:hAnsi="Times New Roman" w:cs="Times New Roman"/>
          <w:sz w:val="24"/>
          <w:szCs w:val="24"/>
        </w:rPr>
      </w:pPr>
      <w:r w:rsidRPr="00562129">
        <w:rPr>
          <w:rFonts w:ascii="Times New Roman" w:hAnsi="Times New Roman" w:cs="Times New Roman"/>
          <w:b/>
          <w:bCs/>
          <w:sz w:val="24"/>
          <w:szCs w:val="24"/>
        </w:rPr>
        <w:t xml:space="preserve">Brazilija turi tapti jungtimi su likusia Lotynų Amerika. Daugelis verslo sandorių tarp Lotynų Amerikos ir Afrikos šalių vyksta per Braziliją, kuri yra strateginė šių prekybinių santykių dalis tiek su Lotynų Amerikos kaimynėmis, tiek su Jungtinėmis Valstijomis ir Šiaurės Amerika. </w:t>
      </w:r>
      <w:r w:rsidRPr="00562129">
        <w:rPr>
          <w:rFonts w:ascii="Times New Roman" w:hAnsi="Times New Roman" w:cs="Times New Roman"/>
          <w:sz w:val="24"/>
          <w:szCs w:val="24"/>
        </w:rPr>
        <w:t>Yra visos sąlygos, kad Afrika būtų stipri ir strateginė Brazilijos partnerė. Brazilija turi daug ką gauti ne tik iš eksporto, bet ir iš investicijų. Tačiau Brazilija dar neturi atitinkamo investuotojo profilio Afrikos žemyne, ir tai turi pasikeisti, kad šalis galėtų vėl įsitvirtinti už eksporto darbotvarkės ribų. Santykiai su Afrika yra saugesni nei su kitomis šalimis. Afrikos vyriausybės ir jų žmonės taip pat labai nori, kad Brazilija dar labiau sustiprintų šiuos santykius.</w:t>
      </w:r>
    </w:p>
    <w:p w14:paraId="61EEE414" w14:textId="77777777" w:rsidR="00A400BB" w:rsidRPr="00562129" w:rsidRDefault="00A400BB" w:rsidP="00A400BB">
      <w:pPr>
        <w:spacing w:after="0" w:line="240" w:lineRule="auto"/>
        <w:rPr>
          <w:rFonts w:ascii="Times New Roman" w:hAnsi="Times New Roman" w:cs="Times New Roman"/>
          <w:b/>
          <w:bCs/>
          <w:sz w:val="24"/>
          <w:szCs w:val="24"/>
        </w:rPr>
      </w:pPr>
      <w:r w:rsidRPr="00562129">
        <w:rPr>
          <w:rFonts w:ascii="Times New Roman" w:hAnsi="Times New Roman" w:cs="Times New Roman"/>
          <w:sz w:val="24"/>
          <w:szCs w:val="24"/>
        </w:rPr>
        <w:t xml:space="preserve">Dėmesio Afrikai trūksta ne tik iš Brazilijos įmonių, bet ir iš bankų įstaigų. BNDES kitais metais atliks svarbias investicijas Afrikos šalyse. </w:t>
      </w:r>
      <w:proofErr w:type="spellStart"/>
      <w:r w:rsidRPr="00562129">
        <w:rPr>
          <w:rFonts w:ascii="Times New Roman" w:hAnsi="Times New Roman" w:cs="Times New Roman"/>
          <w:sz w:val="24"/>
          <w:szCs w:val="24"/>
        </w:rPr>
        <w:t>Banco</w:t>
      </w:r>
      <w:proofErr w:type="spellEnd"/>
      <w:r w:rsidRPr="00562129">
        <w:rPr>
          <w:rFonts w:ascii="Times New Roman" w:hAnsi="Times New Roman" w:cs="Times New Roman"/>
          <w:sz w:val="24"/>
          <w:szCs w:val="24"/>
        </w:rPr>
        <w:t xml:space="preserve"> do Brasil ir kitos institucijos turi ketinimų, tačiau būtina šiuos ketinimus paversti konkrečiais veiksmais. Brazilija yra stipri pramonės sektoriuje, tačiau vis dar neturi Brazilijos pramonės atstovybės Afrikoje. </w:t>
      </w:r>
      <w:r w:rsidRPr="00562129">
        <w:rPr>
          <w:rFonts w:ascii="Times New Roman" w:hAnsi="Times New Roman" w:cs="Times New Roman"/>
          <w:b/>
          <w:bCs/>
          <w:sz w:val="24"/>
          <w:szCs w:val="24"/>
        </w:rPr>
        <w:t xml:space="preserve">Afrikos vyriausybės siekia tvarios industrializacijos, o Brazilija turi patirties šioje srityje, plėtoja svarbius atsinaujinančiosios energijos projektus, kurie yra tiesiogiai svarbūs Afrikos šalims, be to, sprendžia maisto saugumo klausimą, kuriame Afrika gali atlikti strateginį vaidmenį. Atėjo laikas Brazilijai </w:t>
      </w:r>
      <w:r w:rsidRPr="00562129">
        <w:rPr>
          <w:rFonts w:ascii="Times New Roman" w:hAnsi="Times New Roman" w:cs="Times New Roman"/>
          <w:b/>
          <w:bCs/>
          <w:sz w:val="24"/>
          <w:szCs w:val="24"/>
        </w:rPr>
        <w:lastRenderedPageBreak/>
        <w:t>žiūrėti į Afriką ne tik kaip į eksporto, bet ir kaip į investicijų vietą. Vis dar labai trūksta supratimo apie Afrikos potencialą Brazilijos įmonių augimui ir konsolidacijai.</w:t>
      </w:r>
    </w:p>
    <w:p w14:paraId="24B0B1FA" w14:textId="77777777" w:rsidR="00A400BB" w:rsidRPr="00562129" w:rsidRDefault="00A400BB" w:rsidP="00A400BB">
      <w:pPr>
        <w:spacing w:after="0" w:line="240" w:lineRule="auto"/>
        <w:rPr>
          <w:rFonts w:ascii="Times New Roman" w:hAnsi="Times New Roman" w:cs="Times New Roman"/>
          <w:sz w:val="24"/>
          <w:szCs w:val="24"/>
        </w:rPr>
      </w:pPr>
      <w:r w:rsidRPr="00562129">
        <w:rPr>
          <w:rFonts w:ascii="Times New Roman" w:hAnsi="Times New Roman" w:cs="Times New Roman"/>
          <w:sz w:val="24"/>
          <w:szCs w:val="24"/>
        </w:rPr>
        <w:t>Nustatyta daug galimybių, įskaitant žemės ūkio verslą, žemės ūkio pramonę, energetiką ir energetikos pertvarką, infrastruktūrą, kasybą, sveikatos apsaugą, švietimą, technologijas, logistiką, civilinę statybą ir finansines paslaugas, kur Brazilijos įmonės yra konkurencingumą ir turi patirtį.</w:t>
      </w:r>
    </w:p>
    <w:p w14:paraId="29A88E13" w14:textId="77777777" w:rsidR="00A400BB" w:rsidRPr="00562129" w:rsidRDefault="00A400BB" w:rsidP="00A400BB">
      <w:pPr>
        <w:spacing w:after="0" w:line="240" w:lineRule="auto"/>
        <w:rPr>
          <w:rFonts w:ascii="Times New Roman" w:hAnsi="Times New Roman" w:cs="Times New Roman"/>
          <w:sz w:val="24"/>
          <w:szCs w:val="24"/>
        </w:rPr>
      </w:pPr>
      <w:r w:rsidRPr="00562129">
        <w:rPr>
          <w:rFonts w:ascii="Times New Roman" w:hAnsi="Times New Roman" w:cs="Times New Roman"/>
          <w:sz w:val="24"/>
          <w:szCs w:val="24"/>
        </w:rPr>
        <w:t>Brazilijoje vykdomos vyriausybės iniciatyvos, rengiami verslo forumai, aukšto lygio susitikimai ir verslo misijos. Vis daugiau afrikiečių atvyksta į Braziliją, kad sužinotų apie sistemą ir galimybes.</w:t>
      </w:r>
    </w:p>
    <w:p w14:paraId="425F48F7" w14:textId="77777777" w:rsidR="00A400BB" w:rsidRPr="00562129" w:rsidRDefault="00A400BB" w:rsidP="00A400BB">
      <w:pPr>
        <w:spacing w:after="0" w:line="240" w:lineRule="auto"/>
        <w:rPr>
          <w:rFonts w:ascii="Times New Roman" w:hAnsi="Times New Roman" w:cs="Times New Roman"/>
          <w:sz w:val="24"/>
          <w:szCs w:val="24"/>
        </w:rPr>
      </w:pPr>
      <w:r w:rsidRPr="00562129">
        <w:rPr>
          <w:rFonts w:ascii="Times New Roman" w:hAnsi="Times New Roman" w:cs="Times New Roman"/>
          <w:sz w:val="24"/>
          <w:szCs w:val="24"/>
        </w:rPr>
        <w:t xml:space="preserve">Brazilai vis dar nelaiko Afrikos prioritetine turizmo kryptimi. Afrika brazilams vis dar nežinoma. </w:t>
      </w:r>
    </w:p>
    <w:p w14:paraId="5C7F124E" w14:textId="77777777" w:rsidR="00A400BB" w:rsidRPr="00562129" w:rsidRDefault="00A400BB" w:rsidP="00A400BB">
      <w:pPr>
        <w:spacing w:after="0" w:line="240" w:lineRule="auto"/>
        <w:rPr>
          <w:rFonts w:ascii="Times New Roman" w:hAnsi="Times New Roman" w:cs="Times New Roman"/>
          <w:b/>
          <w:bCs/>
          <w:sz w:val="24"/>
          <w:szCs w:val="24"/>
        </w:rPr>
      </w:pPr>
      <w:r w:rsidRPr="00562129">
        <w:rPr>
          <w:rFonts w:ascii="Times New Roman" w:hAnsi="Times New Roman" w:cs="Times New Roman"/>
          <w:b/>
          <w:bCs/>
          <w:sz w:val="24"/>
          <w:szCs w:val="24"/>
        </w:rPr>
        <w:t xml:space="preserve">Buvo Afrikos investuotojų, kurie domėjosi Brazilija, bet atsitraukė dėl didelių mokesčių ir muitų, sudėtingos teisinės sistemos. Mokesčių reforma gali padėti Brazilijai tapti patrauklesne. </w:t>
      </w:r>
    </w:p>
    <w:p w14:paraId="11EE2DBB" w14:textId="77777777" w:rsidR="00A400BB" w:rsidRPr="00562129" w:rsidRDefault="00A400BB" w:rsidP="00A400BB">
      <w:pPr>
        <w:spacing w:after="0" w:line="240" w:lineRule="auto"/>
        <w:rPr>
          <w:rFonts w:ascii="Times New Roman" w:hAnsi="Times New Roman" w:cs="Times New Roman"/>
          <w:sz w:val="24"/>
          <w:szCs w:val="24"/>
        </w:rPr>
      </w:pPr>
    </w:p>
    <w:p w14:paraId="00C8744D" w14:textId="5959DAC5" w:rsidR="00EC089C" w:rsidRPr="00562129" w:rsidRDefault="008C7B87" w:rsidP="005069B1">
      <w:pPr>
        <w:spacing w:after="0" w:line="240" w:lineRule="auto"/>
        <w:jc w:val="both"/>
        <w:rPr>
          <w:rFonts w:ascii="Times New Roman" w:hAnsi="Times New Roman" w:cs="Times New Roman"/>
          <w:sz w:val="24"/>
          <w:szCs w:val="24"/>
        </w:rPr>
      </w:pPr>
      <w:r w:rsidRPr="00562129">
        <w:rPr>
          <w:rFonts w:ascii="Times New Roman" w:hAnsi="Times New Roman" w:cs="Times New Roman"/>
          <w:b/>
          <w:bCs/>
          <w:sz w:val="24"/>
          <w:szCs w:val="24"/>
        </w:rPr>
        <w:t>2026 m. sausio 30 d. Brazilijos Centrinio banko duomenimis, bendroji valdžios sektoriaus skola 2025 m. išaugo iki 78,7 % BVP ir pasiekė 10 trilijonų realų</w:t>
      </w:r>
      <w:r w:rsidRPr="00562129">
        <w:rPr>
          <w:rFonts w:ascii="Times New Roman" w:hAnsi="Times New Roman" w:cs="Times New Roman"/>
          <w:sz w:val="24"/>
          <w:szCs w:val="24"/>
        </w:rPr>
        <w:t>. 2024 m. pabaigoje šis rodiklis siekė 76,3 % BVP. Bendroji valdžios sektoriaus skola apima federalinę vyriausybę, Nacionalinį socialinės apsaugos institutą ir valstijų bei savivaldybių valdžios institucijas.</w:t>
      </w:r>
    </w:p>
    <w:p w14:paraId="403A9A4A" w14:textId="77777777" w:rsidR="00E165B5" w:rsidRPr="00562129" w:rsidRDefault="00E165B5" w:rsidP="005069B1">
      <w:pPr>
        <w:spacing w:after="0" w:line="240" w:lineRule="auto"/>
        <w:jc w:val="both"/>
        <w:rPr>
          <w:rFonts w:ascii="Times New Roman" w:hAnsi="Times New Roman" w:cs="Times New Roman"/>
          <w:b/>
          <w:bCs/>
          <w:sz w:val="24"/>
          <w:szCs w:val="24"/>
        </w:rPr>
      </w:pPr>
    </w:p>
    <w:p w14:paraId="07D9E8ED" w14:textId="67A01B90" w:rsidR="00E165B5" w:rsidRPr="00562129" w:rsidRDefault="00E165B5" w:rsidP="005069B1">
      <w:pPr>
        <w:spacing w:after="0" w:line="240" w:lineRule="auto"/>
        <w:jc w:val="both"/>
        <w:rPr>
          <w:rFonts w:ascii="Times New Roman" w:hAnsi="Times New Roman" w:cs="Times New Roman"/>
          <w:sz w:val="24"/>
          <w:szCs w:val="24"/>
        </w:rPr>
      </w:pPr>
      <w:r w:rsidRPr="00562129">
        <w:rPr>
          <w:rFonts w:ascii="Times New Roman" w:hAnsi="Times New Roman" w:cs="Times New Roman"/>
          <w:b/>
          <w:bCs/>
          <w:sz w:val="24"/>
          <w:szCs w:val="24"/>
        </w:rPr>
        <w:t>100 Brazilijos savivaldybių, gaunančių didžiausias pajamas iš mokesčių, surenka 77,6 % visų šalyje surenkamų mokesčių, nors jose gyvena kiek daugiau nei trečdalis (36,4 %) Brazilijos gyventojų.</w:t>
      </w:r>
      <w:r w:rsidR="00A400BB" w:rsidRPr="00562129">
        <w:rPr>
          <w:rFonts w:ascii="Times New Roman" w:hAnsi="Times New Roman" w:cs="Times New Roman"/>
          <w:b/>
          <w:bCs/>
          <w:sz w:val="24"/>
          <w:szCs w:val="24"/>
        </w:rPr>
        <w:t xml:space="preserve"> </w:t>
      </w:r>
      <w:r w:rsidRPr="00562129">
        <w:rPr>
          <w:rFonts w:ascii="Times New Roman" w:hAnsi="Times New Roman" w:cs="Times New Roman"/>
          <w:b/>
          <w:bCs/>
          <w:sz w:val="24"/>
          <w:szCs w:val="24"/>
        </w:rPr>
        <w:t>Šios savivaldybės per 2024 metus surinko daugiau nei 1,9 trilijono realų. Svarbiausia buvo San Paulo savivaldybė, kuri vien surinko 581,2 mlrd. realų – tai atitinka 23,1 % visų nacionalinių pajamų</w:t>
      </w:r>
      <w:r w:rsidRPr="00562129">
        <w:rPr>
          <w:rFonts w:ascii="Times New Roman" w:hAnsi="Times New Roman" w:cs="Times New Roman"/>
          <w:sz w:val="24"/>
          <w:szCs w:val="24"/>
        </w:rPr>
        <w:t>. Toliau seka Rio de Žaneiras (</w:t>
      </w:r>
      <w:r w:rsidRPr="00562129">
        <w:rPr>
          <w:rFonts w:ascii="Times New Roman" w:hAnsi="Times New Roman" w:cs="Times New Roman"/>
          <w:sz w:val="24"/>
          <w:szCs w:val="24"/>
          <w:lang w:val="pt-BR"/>
        </w:rPr>
        <w:t>306,9 mlrd. R$)</w:t>
      </w:r>
      <w:r w:rsidRPr="00562129">
        <w:rPr>
          <w:rFonts w:ascii="Times New Roman" w:hAnsi="Times New Roman" w:cs="Times New Roman"/>
          <w:sz w:val="24"/>
          <w:szCs w:val="24"/>
        </w:rPr>
        <w:t>, Brasilia (</w:t>
      </w:r>
      <w:r w:rsidRPr="00562129">
        <w:rPr>
          <w:rFonts w:ascii="Times New Roman" w:hAnsi="Times New Roman" w:cs="Times New Roman"/>
          <w:sz w:val="24"/>
          <w:szCs w:val="24"/>
          <w:lang w:val="pt-BR"/>
        </w:rPr>
        <w:t>180,1 mlrd. R$)</w:t>
      </w:r>
      <w:r w:rsidRPr="00562129">
        <w:rPr>
          <w:rFonts w:ascii="Times New Roman" w:hAnsi="Times New Roman" w:cs="Times New Roman"/>
          <w:sz w:val="24"/>
          <w:szCs w:val="24"/>
        </w:rPr>
        <w:t xml:space="preserve">, Belo Horizonte ir </w:t>
      </w:r>
      <w:proofErr w:type="spellStart"/>
      <w:r w:rsidRPr="00562129">
        <w:rPr>
          <w:rFonts w:ascii="Times New Roman" w:hAnsi="Times New Roman" w:cs="Times New Roman"/>
          <w:sz w:val="24"/>
          <w:szCs w:val="24"/>
        </w:rPr>
        <w:t>Osasco</w:t>
      </w:r>
      <w:proofErr w:type="spellEnd"/>
      <w:r w:rsidRPr="00562129">
        <w:rPr>
          <w:rFonts w:ascii="Times New Roman" w:hAnsi="Times New Roman" w:cs="Times New Roman"/>
          <w:sz w:val="24"/>
          <w:szCs w:val="24"/>
        </w:rPr>
        <w:t xml:space="preserve">. </w:t>
      </w:r>
    </w:p>
    <w:p w14:paraId="31AA8077" w14:textId="23B80A64" w:rsidR="00E165B5" w:rsidRPr="00562129" w:rsidRDefault="00E165B5" w:rsidP="005069B1">
      <w:pPr>
        <w:spacing w:after="0" w:line="240" w:lineRule="auto"/>
        <w:jc w:val="both"/>
        <w:rPr>
          <w:rFonts w:ascii="Times New Roman" w:hAnsi="Times New Roman" w:cs="Times New Roman"/>
          <w:sz w:val="24"/>
          <w:szCs w:val="24"/>
        </w:rPr>
      </w:pPr>
      <w:r w:rsidRPr="00562129">
        <w:rPr>
          <w:rFonts w:ascii="Times New Roman" w:hAnsi="Times New Roman" w:cs="Times New Roman"/>
          <w:sz w:val="24"/>
          <w:szCs w:val="24"/>
        </w:rPr>
        <w:t>Didelę pajamų koncentraciją pietuose ir pietryčiuose daugiausia lemia didesnė pramonės ir komercinės veiklos koncentracija šiuose regionuose.</w:t>
      </w:r>
    </w:p>
    <w:p w14:paraId="04002625" w14:textId="46512C07" w:rsidR="00E165B5" w:rsidRPr="00562129" w:rsidRDefault="00E165B5" w:rsidP="005069B1">
      <w:pPr>
        <w:spacing w:after="0" w:line="240" w:lineRule="auto"/>
        <w:jc w:val="both"/>
        <w:rPr>
          <w:rFonts w:ascii="Times New Roman" w:hAnsi="Times New Roman" w:cs="Times New Roman"/>
          <w:b/>
          <w:bCs/>
          <w:sz w:val="24"/>
          <w:szCs w:val="24"/>
        </w:rPr>
      </w:pPr>
      <w:r w:rsidRPr="00562129">
        <w:rPr>
          <w:rFonts w:ascii="Times New Roman" w:hAnsi="Times New Roman" w:cs="Times New Roman"/>
          <w:sz w:val="24"/>
          <w:szCs w:val="24"/>
        </w:rPr>
        <w:t xml:space="preserve">Kalbant apie pajamas vienam gyventojui, svarbiausia yra </w:t>
      </w:r>
      <w:proofErr w:type="spellStart"/>
      <w:r w:rsidRPr="00562129">
        <w:rPr>
          <w:rFonts w:ascii="Times New Roman" w:hAnsi="Times New Roman" w:cs="Times New Roman"/>
          <w:sz w:val="24"/>
          <w:szCs w:val="24"/>
        </w:rPr>
        <w:t>Barueri</w:t>
      </w:r>
      <w:proofErr w:type="spellEnd"/>
      <w:r w:rsidRPr="00562129">
        <w:rPr>
          <w:rFonts w:ascii="Times New Roman" w:hAnsi="Times New Roman" w:cs="Times New Roman"/>
          <w:sz w:val="24"/>
          <w:szCs w:val="24"/>
        </w:rPr>
        <w:t xml:space="preserve"> (IS), kuri per metus surinko 110 400 R$ vienam gyventojui. </w:t>
      </w:r>
      <w:r w:rsidRPr="00562129">
        <w:rPr>
          <w:rFonts w:ascii="Times New Roman" w:hAnsi="Times New Roman" w:cs="Times New Roman"/>
          <w:b/>
          <w:bCs/>
          <w:sz w:val="24"/>
          <w:szCs w:val="24"/>
        </w:rPr>
        <w:t>San Paulas, kuris pirmauja pagal bendrą pajamų reitingą, užėmė 12 vietą tarp savivaldybių, turinčių didžiausias pajamas vienam gyventojui, su 48 854,61 R$.</w:t>
      </w:r>
    </w:p>
    <w:p w14:paraId="25AF42DE" w14:textId="79672048" w:rsidR="00E165B5" w:rsidRPr="00562129" w:rsidRDefault="00E165B5" w:rsidP="005069B1">
      <w:pPr>
        <w:spacing w:after="0" w:line="240" w:lineRule="auto"/>
        <w:jc w:val="both"/>
        <w:rPr>
          <w:rFonts w:ascii="Times New Roman" w:hAnsi="Times New Roman" w:cs="Times New Roman"/>
          <w:sz w:val="24"/>
          <w:szCs w:val="24"/>
          <w:lang w:val="pt-BR"/>
        </w:rPr>
      </w:pPr>
      <w:r w:rsidRPr="00562129">
        <w:rPr>
          <w:rFonts w:ascii="Times New Roman" w:hAnsi="Times New Roman" w:cs="Times New Roman"/>
          <w:sz w:val="24"/>
          <w:szCs w:val="24"/>
        </w:rPr>
        <w:t xml:space="preserve">Įgyvendinus mokesčių reformą Brazilijoje turėtų pasikeisti savivaldybių eiliškumas gaunančių didžiausias pajamas reitinge, nes reforma pakeis mokesčių surinkimo tvarką. </w:t>
      </w:r>
      <w:r w:rsidRPr="00562129">
        <w:rPr>
          <w:rFonts w:ascii="Times New Roman" w:hAnsi="Times New Roman" w:cs="Times New Roman"/>
          <w:sz w:val="24"/>
          <w:szCs w:val="24"/>
          <w:lang w:val="fi-FI"/>
        </w:rPr>
        <w:t xml:space="preserve">Pagal dabartines taisykles mokestis surenkamas kilmės vietoje, t. y. ten, kur prekės gaminamos. Tai palankiau savivaldybėms, turinčioms pramonės ir prekybos centrus. Įsigaliojus reformai, mokesčiai bus renkami paskirties vietoje, kur vyksta vartojimas. </w:t>
      </w:r>
      <w:r w:rsidRPr="00562129">
        <w:rPr>
          <w:rFonts w:ascii="Times New Roman" w:hAnsi="Times New Roman" w:cs="Times New Roman"/>
          <w:sz w:val="24"/>
          <w:szCs w:val="24"/>
          <w:lang w:val="pt-BR"/>
        </w:rPr>
        <w:t>Tai paprastai naudinga didesnėms savivaldybėms.</w:t>
      </w:r>
    </w:p>
    <w:p w14:paraId="4FA5048E" w14:textId="77777777" w:rsidR="00E165B5" w:rsidRPr="00562129" w:rsidRDefault="00E165B5" w:rsidP="005069B1">
      <w:pPr>
        <w:spacing w:after="0" w:line="240" w:lineRule="auto"/>
        <w:jc w:val="both"/>
        <w:rPr>
          <w:rFonts w:ascii="Times New Roman" w:hAnsi="Times New Roman" w:cs="Times New Roman"/>
          <w:b/>
          <w:bCs/>
          <w:sz w:val="24"/>
          <w:szCs w:val="24"/>
          <w:lang w:val="pt-BR"/>
        </w:rPr>
      </w:pPr>
    </w:p>
    <w:p w14:paraId="5405A7B6" w14:textId="40CD75A7" w:rsidR="008C7B87" w:rsidRPr="00562129" w:rsidRDefault="008C7B87" w:rsidP="005069B1">
      <w:pPr>
        <w:spacing w:after="0" w:line="240" w:lineRule="auto"/>
        <w:rPr>
          <w:rFonts w:ascii="Times New Roman" w:eastAsia="Times New Roman" w:hAnsi="Times New Roman" w:cs="Times New Roman"/>
          <w:color w:val="1E1E21"/>
          <w:kern w:val="0"/>
          <w:sz w:val="24"/>
          <w:szCs w:val="24"/>
          <w:lang w:eastAsia="lt-LT"/>
          <w14:ligatures w14:val="none"/>
        </w:rPr>
      </w:pPr>
      <w:r w:rsidRPr="00562129">
        <w:rPr>
          <w:rFonts w:ascii="Times New Roman" w:eastAsia="Times New Roman" w:hAnsi="Times New Roman" w:cs="Times New Roman"/>
          <w:b/>
          <w:bCs/>
          <w:color w:val="1E1E21"/>
          <w:kern w:val="0"/>
          <w:sz w:val="24"/>
          <w:szCs w:val="24"/>
          <w:lang w:eastAsia="lt-LT"/>
          <w14:ligatures w14:val="none"/>
        </w:rPr>
        <w:t xml:space="preserve">Brazilijos federalinė valstybės skola 2025 m., palyginti su ankstesniais metais, padidėjo 18 % ir pasiekė 8,635 trilijono </w:t>
      </w:r>
      <w:r w:rsidR="00435499" w:rsidRPr="00562129">
        <w:rPr>
          <w:rFonts w:ascii="Times New Roman" w:eastAsia="Times New Roman" w:hAnsi="Times New Roman" w:cs="Times New Roman"/>
          <w:b/>
          <w:bCs/>
          <w:color w:val="1E1E21"/>
          <w:kern w:val="0"/>
          <w:sz w:val="24"/>
          <w:szCs w:val="24"/>
          <w:lang w:eastAsia="lt-LT"/>
          <w14:ligatures w14:val="none"/>
        </w:rPr>
        <w:t>BRL</w:t>
      </w:r>
      <w:r w:rsidR="00435499" w:rsidRPr="00562129">
        <w:rPr>
          <w:rFonts w:ascii="Times New Roman" w:eastAsia="Times New Roman" w:hAnsi="Times New Roman" w:cs="Times New Roman"/>
          <w:color w:val="1E1E21"/>
          <w:kern w:val="0"/>
          <w:sz w:val="24"/>
          <w:szCs w:val="24"/>
          <w:lang w:eastAsia="lt-LT"/>
          <w14:ligatures w14:val="none"/>
        </w:rPr>
        <w:t xml:space="preserve">. Tai didžiausias padidėjimas per pastaruosius 10 metų. </w:t>
      </w:r>
      <w:r w:rsidRPr="00562129">
        <w:rPr>
          <w:rFonts w:ascii="Times New Roman" w:eastAsia="Times New Roman" w:hAnsi="Times New Roman" w:cs="Times New Roman"/>
          <w:color w:val="1E1E21"/>
          <w:kern w:val="0"/>
          <w:sz w:val="24"/>
          <w:szCs w:val="24"/>
          <w:lang w:eastAsia="lt-LT"/>
          <w14:ligatures w14:val="none"/>
        </w:rPr>
        <w:t>Šį augimą</w:t>
      </w:r>
      <w:r w:rsidR="00435499" w:rsidRPr="00562129">
        <w:rPr>
          <w:rFonts w:ascii="Times New Roman" w:eastAsia="Times New Roman" w:hAnsi="Times New Roman" w:cs="Times New Roman"/>
          <w:color w:val="1E1E21"/>
          <w:kern w:val="0"/>
          <w:sz w:val="24"/>
          <w:szCs w:val="24"/>
          <w:lang w:eastAsia="lt-LT"/>
          <w14:ligatures w14:val="none"/>
        </w:rPr>
        <w:t xml:space="preserve"> </w:t>
      </w:r>
      <w:r w:rsidRPr="00562129">
        <w:rPr>
          <w:rFonts w:ascii="Times New Roman" w:eastAsia="Times New Roman" w:hAnsi="Times New Roman" w:cs="Times New Roman"/>
          <w:color w:val="1E1E21"/>
          <w:kern w:val="0"/>
          <w:sz w:val="24"/>
          <w:szCs w:val="24"/>
          <w:lang w:eastAsia="lt-LT"/>
          <w14:ligatures w14:val="none"/>
        </w:rPr>
        <w:t xml:space="preserve">daugiausia lėmė palūkanų normų lygis ekonomikoje, kuris praėjusių metų viduryje pasiekė 15 %. </w:t>
      </w:r>
      <w:r w:rsidR="00435499" w:rsidRPr="00562129">
        <w:rPr>
          <w:rFonts w:ascii="Times New Roman" w:eastAsia="Times New Roman" w:hAnsi="Times New Roman" w:cs="Times New Roman"/>
          <w:color w:val="1E1E21"/>
          <w:kern w:val="0"/>
          <w:sz w:val="24"/>
          <w:szCs w:val="24"/>
          <w:lang w:eastAsia="lt-LT"/>
          <w14:ligatures w14:val="none"/>
        </w:rPr>
        <w:t xml:space="preserve">Pasak </w:t>
      </w:r>
      <w:r w:rsidRPr="00562129">
        <w:rPr>
          <w:rFonts w:ascii="Times New Roman" w:eastAsia="Times New Roman" w:hAnsi="Times New Roman" w:cs="Times New Roman"/>
          <w:color w:val="1E1E21"/>
          <w:kern w:val="0"/>
          <w:sz w:val="24"/>
          <w:szCs w:val="24"/>
          <w:lang w:eastAsia="lt-LT"/>
          <w14:ligatures w14:val="none"/>
        </w:rPr>
        <w:t xml:space="preserve">Nacionalinio iždo </w:t>
      </w:r>
      <w:r w:rsidR="00435499" w:rsidRPr="00562129">
        <w:rPr>
          <w:rFonts w:ascii="Times New Roman" w:eastAsia="Times New Roman" w:hAnsi="Times New Roman" w:cs="Times New Roman"/>
          <w:color w:val="1E1E21"/>
          <w:kern w:val="0"/>
          <w:sz w:val="24"/>
          <w:szCs w:val="24"/>
          <w:lang w:eastAsia="lt-LT"/>
          <w14:ligatures w14:val="none"/>
        </w:rPr>
        <w:t>vadovo,</w:t>
      </w:r>
      <w:r w:rsidRPr="00562129">
        <w:rPr>
          <w:rFonts w:ascii="Times New Roman" w:eastAsia="Times New Roman" w:hAnsi="Times New Roman" w:cs="Times New Roman"/>
          <w:color w:val="1E1E21"/>
          <w:kern w:val="0"/>
          <w:sz w:val="24"/>
          <w:szCs w:val="24"/>
          <w:lang w:eastAsia="lt-LT"/>
          <w14:ligatures w14:val="none"/>
        </w:rPr>
        <w:t xml:space="preserve"> skolos padidėjimas 2025 m. yra susijęs su likvidumo atsargos padidėjimu.</w:t>
      </w:r>
    </w:p>
    <w:p w14:paraId="34B64A91" w14:textId="2B7851F4" w:rsidR="002948AD" w:rsidRPr="00562129" w:rsidRDefault="002948AD" w:rsidP="005069B1">
      <w:pPr>
        <w:spacing w:after="0" w:line="240" w:lineRule="auto"/>
        <w:rPr>
          <w:rFonts w:ascii="Times New Roman" w:eastAsia="Times New Roman" w:hAnsi="Times New Roman" w:cs="Times New Roman"/>
          <w:color w:val="1E1E21"/>
          <w:kern w:val="0"/>
          <w:sz w:val="24"/>
          <w:szCs w:val="24"/>
          <w:lang w:eastAsia="lt-LT"/>
          <w14:ligatures w14:val="none"/>
        </w:rPr>
      </w:pPr>
      <w:r w:rsidRPr="00562129">
        <w:rPr>
          <w:rFonts w:ascii="Times New Roman" w:eastAsia="Times New Roman" w:hAnsi="Times New Roman" w:cs="Times New Roman"/>
          <w:color w:val="1E1E21"/>
          <w:kern w:val="0"/>
          <w:sz w:val="24"/>
          <w:szCs w:val="24"/>
          <w:lang w:eastAsia="lt-LT"/>
          <w14:ligatures w14:val="none"/>
        </w:rPr>
        <w:t xml:space="preserve">Brazilijos Nacionalinis iždas, remdamasis 2026 m. metiniu finansavimo planu (PAF), nori dažniau dalyvauti tarptautinėje rinkoje, leisdamas naujas emisijas užsienio valiuta. Idėja yra ta, kad šios emisijos daugiausia bus </w:t>
      </w:r>
    </w:p>
    <w:p w14:paraId="472B0EF6" w14:textId="1A3BF4BE" w:rsidR="002948AD" w:rsidRPr="00562129" w:rsidRDefault="002948AD" w:rsidP="005069B1">
      <w:pPr>
        <w:spacing w:after="0" w:line="240" w:lineRule="auto"/>
        <w:rPr>
          <w:rFonts w:ascii="Times New Roman" w:eastAsia="Times New Roman" w:hAnsi="Times New Roman" w:cs="Times New Roman"/>
          <w:color w:val="1E1E21"/>
          <w:kern w:val="0"/>
          <w:sz w:val="24"/>
          <w:szCs w:val="24"/>
          <w:lang w:eastAsia="lt-LT"/>
          <w14:ligatures w14:val="none"/>
        </w:rPr>
      </w:pPr>
      <w:r w:rsidRPr="00562129">
        <w:rPr>
          <w:rFonts w:ascii="Times New Roman" w:eastAsia="Times New Roman" w:hAnsi="Times New Roman" w:cs="Times New Roman"/>
          <w:color w:val="1E1E21"/>
          <w:kern w:val="0"/>
          <w:sz w:val="24"/>
          <w:szCs w:val="24"/>
          <w:lang w:eastAsia="lt-LT"/>
          <w14:ligatures w14:val="none"/>
        </w:rPr>
        <w:t>Šiandien su valiutos kursu susietos obligacijos sudaro kiek mažiau nei 4 % federalinės valstybės skolos, o ilgalaikis tikslas numato šios dalies augimą iki 7 % lygio. Šis procesas turėtų vykti palaipsniui.</w:t>
      </w:r>
    </w:p>
    <w:p w14:paraId="783EA9C3" w14:textId="10F894FC" w:rsidR="002948AD" w:rsidRPr="00562129" w:rsidRDefault="002948AD" w:rsidP="005069B1">
      <w:pPr>
        <w:spacing w:after="0" w:line="240" w:lineRule="auto"/>
        <w:rPr>
          <w:rFonts w:ascii="Times New Roman" w:eastAsia="Times New Roman" w:hAnsi="Times New Roman" w:cs="Times New Roman"/>
          <w:b/>
          <w:bCs/>
          <w:color w:val="1E1E21"/>
          <w:kern w:val="0"/>
          <w:sz w:val="24"/>
          <w:szCs w:val="24"/>
          <w:lang w:eastAsia="lt-LT"/>
          <w14:ligatures w14:val="none"/>
        </w:rPr>
      </w:pPr>
      <w:r w:rsidRPr="00562129">
        <w:rPr>
          <w:rFonts w:ascii="Times New Roman" w:eastAsia="Times New Roman" w:hAnsi="Times New Roman" w:cs="Times New Roman"/>
          <w:b/>
          <w:bCs/>
          <w:color w:val="1E1E21"/>
          <w:kern w:val="0"/>
          <w:sz w:val="24"/>
          <w:szCs w:val="24"/>
          <w:lang w:eastAsia="lt-LT"/>
          <w14:ligatures w14:val="none"/>
        </w:rPr>
        <w:t xml:space="preserve">Šalies strategijoje numatytas tolesnis doleriais denominuotų obligacijų išleidimas, siekiant sustiprinti valstybės obligacijų pajamingumo kreivę, </w:t>
      </w:r>
    </w:p>
    <w:p w14:paraId="7DD92016" w14:textId="108962E9" w:rsidR="002948AD" w:rsidRPr="00562129" w:rsidRDefault="002948AD" w:rsidP="005069B1">
      <w:pPr>
        <w:spacing w:after="0" w:line="240" w:lineRule="auto"/>
        <w:rPr>
          <w:rFonts w:ascii="Times New Roman" w:eastAsia="Times New Roman" w:hAnsi="Times New Roman" w:cs="Times New Roman"/>
          <w:b/>
          <w:bCs/>
          <w:color w:val="1E1E21"/>
          <w:kern w:val="0"/>
          <w:sz w:val="24"/>
          <w:szCs w:val="24"/>
          <w:lang w:eastAsia="lt-LT"/>
          <w14:ligatures w14:val="none"/>
        </w:rPr>
      </w:pPr>
      <w:r w:rsidRPr="00562129">
        <w:rPr>
          <w:rFonts w:ascii="Times New Roman" w:eastAsia="Times New Roman" w:hAnsi="Times New Roman" w:cs="Times New Roman"/>
          <w:b/>
          <w:bCs/>
          <w:color w:val="1E1E21"/>
          <w:kern w:val="0"/>
          <w:sz w:val="24"/>
          <w:szCs w:val="24"/>
          <w:lang w:eastAsia="lt-LT"/>
          <w14:ligatures w14:val="none"/>
        </w:rPr>
        <w:t>Tačiau Iždas taip pat nori grįžti į Europos rinką. Be to, jau vertinamos rinkos sąlygos pirmajai emisijai juaniais.</w:t>
      </w:r>
    </w:p>
    <w:p w14:paraId="57DE320A" w14:textId="726C2FB8" w:rsidR="002948AD" w:rsidRPr="00562129" w:rsidRDefault="002948AD" w:rsidP="005069B1">
      <w:pPr>
        <w:spacing w:after="0" w:line="240" w:lineRule="auto"/>
        <w:rPr>
          <w:rFonts w:ascii="Times New Roman" w:eastAsia="Times New Roman" w:hAnsi="Times New Roman" w:cs="Times New Roman"/>
          <w:color w:val="1E1E21"/>
          <w:kern w:val="0"/>
          <w:sz w:val="24"/>
          <w:szCs w:val="24"/>
          <w:lang w:eastAsia="lt-LT"/>
          <w14:ligatures w14:val="none"/>
        </w:rPr>
      </w:pPr>
      <w:r w:rsidRPr="00562129">
        <w:rPr>
          <w:rFonts w:ascii="Times New Roman" w:eastAsia="Times New Roman" w:hAnsi="Times New Roman" w:cs="Times New Roman"/>
          <w:color w:val="1E1E21"/>
          <w:kern w:val="0"/>
          <w:sz w:val="24"/>
          <w:szCs w:val="24"/>
          <w:lang w:eastAsia="lt-LT"/>
          <w14:ligatures w14:val="none"/>
        </w:rPr>
        <w:lastRenderedPageBreak/>
        <w:t>Iždas 2026 m. aukcionuose pasiūlys dvi naujas obligacijas: nacionalinį iždo vekselį (LTN) – fiksuotos palūkanų normos obligacija, kurios terminas yra 36 mėnesiai, - ir nacionalinį F serijos (NTN-F) vekselį– fiksuotos palūkanų normos obligaciją su pusmetiniais palūkanų mokėjimais, kurios terminas yra penkeri metai.</w:t>
      </w:r>
    </w:p>
    <w:p w14:paraId="5D3EEB73" w14:textId="77777777" w:rsidR="00A400BB" w:rsidRPr="00562129" w:rsidRDefault="00A400BB" w:rsidP="00A400BB">
      <w:pPr>
        <w:spacing w:after="0" w:line="240" w:lineRule="auto"/>
        <w:rPr>
          <w:rFonts w:ascii="Times New Roman" w:hAnsi="Times New Roman" w:cs="Times New Roman"/>
          <w:b/>
          <w:bCs/>
          <w:sz w:val="24"/>
          <w:szCs w:val="24"/>
          <w:lang w:val="pt-BR"/>
        </w:rPr>
      </w:pPr>
    </w:p>
    <w:p w14:paraId="22BCD4AE" w14:textId="298B3A0E" w:rsidR="00A400BB" w:rsidRPr="00562129" w:rsidRDefault="00A400BB" w:rsidP="00A400BB">
      <w:pPr>
        <w:spacing w:after="0" w:line="240" w:lineRule="auto"/>
        <w:rPr>
          <w:rFonts w:ascii="Times New Roman" w:hAnsi="Times New Roman" w:cs="Times New Roman"/>
          <w:b/>
          <w:bCs/>
          <w:sz w:val="24"/>
          <w:szCs w:val="24"/>
          <w:lang w:val="pt-BR"/>
        </w:rPr>
      </w:pPr>
      <w:r w:rsidRPr="00562129">
        <w:rPr>
          <w:rFonts w:ascii="Times New Roman" w:hAnsi="Times New Roman" w:cs="Times New Roman"/>
          <w:b/>
          <w:bCs/>
          <w:sz w:val="24"/>
          <w:szCs w:val="24"/>
          <w:lang w:val="pt-BR"/>
        </w:rPr>
        <w:t xml:space="preserve">Atsižvelgiant į Jungtinių Valstijų nustatytų tarifų naštą ir neapibrėžtumą pasaulinėje situacijoje, Brazilijos Plėtros, pramonės, prekybos ir paslaugų ministerija džiaugiasi šalies atsparumu. Nepaisant sunkumų, kurie prisidėjo prie 7,9 % prekybos pertekliaus sumažėjimo per metus, Brazilija užfiksavo trečią pagal dydį perteklių istorijoje ir kad eksporto į kitas šalis augimas daugiau nei kompensavo Brazilijos produktų pardavimo amerikiečiams sumažėjimą. </w:t>
      </w:r>
    </w:p>
    <w:p w14:paraId="4137EB95" w14:textId="77777777" w:rsidR="00A400BB" w:rsidRPr="00562129" w:rsidRDefault="00A400BB" w:rsidP="00A400BB">
      <w:pPr>
        <w:spacing w:after="0" w:line="240" w:lineRule="auto"/>
        <w:rPr>
          <w:rFonts w:ascii="Times New Roman" w:hAnsi="Times New Roman" w:cs="Times New Roman"/>
          <w:b/>
          <w:bCs/>
          <w:sz w:val="24"/>
          <w:szCs w:val="24"/>
          <w:lang w:val="pt-BR"/>
        </w:rPr>
      </w:pPr>
    </w:p>
    <w:p w14:paraId="19557AD7" w14:textId="77777777" w:rsidR="00A400BB" w:rsidRPr="00562129" w:rsidRDefault="00A400BB" w:rsidP="00A400BB">
      <w:pPr>
        <w:spacing w:after="0" w:line="240" w:lineRule="auto"/>
        <w:rPr>
          <w:rFonts w:ascii="Times New Roman" w:hAnsi="Times New Roman" w:cs="Times New Roman"/>
          <w:sz w:val="24"/>
          <w:szCs w:val="24"/>
        </w:rPr>
      </w:pPr>
      <w:r w:rsidRPr="00562129">
        <w:rPr>
          <w:rFonts w:ascii="Times New Roman" w:hAnsi="Times New Roman" w:cs="Times New Roman"/>
          <w:b/>
          <w:bCs/>
          <w:sz w:val="24"/>
          <w:szCs w:val="24"/>
        </w:rPr>
        <w:t>Tyrimo duomenys rodo, kad vidutinis atlyginimas Brazilijoje  2026 m. turėtų pasiekti 3 548 realus, o regioniniai skirtumai yra dideli</w:t>
      </w:r>
      <w:r w:rsidRPr="00562129">
        <w:rPr>
          <w:rFonts w:ascii="Times New Roman" w:hAnsi="Times New Roman" w:cs="Times New Roman"/>
          <w:sz w:val="24"/>
          <w:szCs w:val="24"/>
        </w:rPr>
        <w:t xml:space="preserve">. Brazilijos sostinė pirmauja su 5 547 realų vidurkiu, po jos seka San Paulas - 4 298 realai. </w:t>
      </w:r>
      <w:proofErr w:type="spellStart"/>
      <w:r w:rsidRPr="00562129">
        <w:rPr>
          <w:rFonts w:ascii="Times New Roman" w:hAnsi="Times New Roman" w:cs="Times New Roman"/>
          <w:sz w:val="24"/>
          <w:szCs w:val="24"/>
        </w:rPr>
        <w:t>Maranhão</w:t>
      </w:r>
      <w:proofErr w:type="spellEnd"/>
      <w:r w:rsidRPr="00562129">
        <w:rPr>
          <w:rFonts w:ascii="Times New Roman" w:hAnsi="Times New Roman" w:cs="Times New Roman"/>
          <w:sz w:val="24"/>
          <w:szCs w:val="24"/>
        </w:rPr>
        <w:t xml:space="preserve"> ir </w:t>
      </w:r>
      <w:proofErr w:type="spellStart"/>
      <w:r w:rsidRPr="00562129">
        <w:rPr>
          <w:rFonts w:ascii="Times New Roman" w:hAnsi="Times New Roman" w:cs="Times New Roman"/>
          <w:sz w:val="24"/>
          <w:szCs w:val="24"/>
        </w:rPr>
        <w:t>Ceará</w:t>
      </w:r>
      <w:proofErr w:type="spellEnd"/>
      <w:r w:rsidRPr="00562129">
        <w:rPr>
          <w:rFonts w:ascii="Times New Roman" w:hAnsi="Times New Roman" w:cs="Times New Roman"/>
          <w:sz w:val="24"/>
          <w:szCs w:val="24"/>
        </w:rPr>
        <w:t xml:space="preserve"> valstijos išlieka tarp mažiausius atlyginimus mokančių.</w:t>
      </w:r>
    </w:p>
    <w:p w14:paraId="59E3DF8C" w14:textId="77777777" w:rsidR="005069B1" w:rsidRPr="00562129" w:rsidRDefault="005069B1" w:rsidP="005069B1">
      <w:pPr>
        <w:spacing w:after="0" w:line="240" w:lineRule="auto"/>
        <w:rPr>
          <w:rFonts w:ascii="Times New Roman" w:eastAsia="Times New Roman" w:hAnsi="Times New Roman" w:cs="Times New Roman"/>
          <w:color w:val="1E1E21"/>
          <w:kern w:val="0"/>
          <w:sz w:val="24"/>
          <w:szCs w:val="24"/>
          <w:lang w:eastAsia="lt-LT"/>
          <w14:ligatures w14:val="none"/>
        </w:rPr>
      </w:pPr>
    </w:p>
    <w:p w14:paraId="02B7A857" w14:textId="16F897CA" w:rsidR="008002EF" w:rsidRPr="00562129" w:rsidRDefault="002F5F0D" w:rsidP="005069B1">
      <w:pPr>
        <w:spacing w:after="0" w:line="240" w:lineRule="auto"/>
        <w:rPr>
          <w:rFonts w:ascii="Times New Roman" w:eastAsia="Times New Roman" w:hAnsi="Times New Roman" w:cs="Times New Roman"/>
          <w:color w:val="1E1E21"/>
          <w:kern w:val="0"/>
          <w:sz w:val="24"/>
          <w:szCs w:val="24"/>
          <w:lang w:eastAsia="lt-LT"/>
          <w14:ligatures w14:val="none"/>
        </w:rPr>
      </w:pPr>
      <w:r w:rsidRPr="00562129">
        <w:rPr>
          <w:rFonts w:ascii="Times New Roman" w:eastAsia="Times New Roman" w:hAnsi="Times New Roman" w:cs="Times New Roman"/>
          <w:b/>
          <w:bCs/>
          <w:color w:val="1E1E21"/>
          <w:kern w:val="0"/>
          <w:sz w:val="24"/>
          <w:szCs w:val="24"/>
          <w:lang w:eastAsia="lt-LT"/>
          <w14:ligatures w14:val="none"/>
        </w:rPr>
        <w:t>„</w:t>
      </w:r>
      <w:proofErr w:type="spellStart"/>
      <w:r w:rsidRPr="00562129">
        <w:rPr>
          <w:rFonts w:ascii="Times New Roman" w:eastAsia="Times New Roman" w:hAnsi="Times New Roman" w:cs="Times New Roman"/>
          <w:b/>
          <w:bCs/>
          <w:color w:val="1E1E21"/>
          <w:kern w:val="0"/>
          <w:sz w:val="24"/>
          <w:szCs w:val="24"/>
          <w:lang w:eastAsia="lt-LT"/>
          <w14:ligatures w14:val="none"/>
        </w:rPr>
        <w:t>Embraer</w:t>
      </w:r>
      <w:proofErr w:type="spellEnd"/>
      <w:r w:rsidRPr="00562129">
        <w:rPr>
          <w:rFonts w:ascii="Times New Roman" w:eastAsia="Times New Roman" w:hAnsi="Times New Roman" w:cs="Times New Roman"/>
          <w:b/>
          <w:bCs/>
          <w:color w:val="1E1E21"/>
          <w:kern w:val="0"/>
          <w:sz w:val="24"/>
          <w:szCs w:val="24"/>
          <w:lang w:eastAsia="lt-LT"/>
          <w14:ligatures w14:val="none"/>
        </w:rPr>
        <w:t>“ bendrovė paskelbė, kad jos užsakymų portfelis 2025 m. ketvirtąjį ketvirtį pasiekė rekordinį 31,6 mlrd. JAV dolerių lygį – 20 % daugiau nei tuo pačiu laikotarpiu 2024 m</w:t>
      </w:r>
      <w:r w:rsidRPr="00562129">
        <w:rPr>
          <w:rFonts w:ascii="Times New Roman" w:eastAsia="Times New Roman" w:hAnsi="Times New Roman" w:cs="Times New Roman"/>
          <w:color w:val="1E1E21"/>
          <w:kern w:val="0"/>
          <w:sz w:val="24"/>
          <w:szCs w:val="24"/>
          <w:lang w:eastAsia="lt-LT"/>
          <w14:ligatures w14:val="none"/>
        </w:rPr>
        <w:t>. Komercinės aviacijos, pelningiausio segmento, užsakymų portfelis nuo 2025 m. spalio iki gruodžio mėn. sudarė 14,5 mlrd. JAV dolerių ir buvo 42 % didesnis nei tuo pačiu laikotarpiu praėjusiais metais. V</w:t>
      </w:r>
      <w:r w:rsidR="008002EF" w:rsidRPr="00562129">
        <w:rPr>
          <w:rFonts w:ascii="Times New Roman" w:eastAsia="Times New Roman" w:hAnsi="Times New Roman" w:cs="Times New Roman"/>
          <w:color w:val="1E1E21"/>
          <w:kern w:val="0"/>
          <w:sz w:val="24"/>
          <w:szCs w:val="24"/>
          <w:lang w:eastAsia="lt-LT"/>
          <w14:ligatures w14:val="none"/>
        </w:rPr>
        <w:t>erslo lėktuvų užsa</w:t>
      </w:r>
      <w:r w:rsidRPr="00562129">
        <w:rPr>
          <w:rFonts w:ascii="Times New Roman" w:eastAsia="Times New Roman" w:hAnsi="Times New Roman" w:cs="Times New Roman"/>
          <w:color w:val="1E1E21"/>
          <w:kern w:val="0"/>
          <w:sz w:val="24"/>
          <w:szCs w:val="24"/>
          <w:lang w:eastAsia="lt-LT"/>
          <w14:ligatures w14:val="none"/>
        </w:rPr>
        <w:t xml:space="preserve">kymų portfelis praėjusių metų ketvirtąjį ketvirtį siekė 7,6 mlrd. JAV dolerių – 3 % daugiau nei tuo pačiu laikotarpiu 2024 m.. </w:t>
      </w:r>
    </w:p>
    <w:p w14:paraId="6F495ED7" w14:textId="5AC1CFDF" w:rsidR="002F5F0D" w:rsidRPr="00562129" w:rsidRDefault="002F5F0D" w:rsidP="005069B1">
      <w:pPr>
        <w:spacing w:after="0" w:line="240" w:lineRule="auto"/>
        <w:rPr>
          <w:rFonts w:ascii="Times New Roman" w:eastAsia="Times New Roman" w:hAnsi="Times New Roman" w:cs="Times New Roman"/>
          <w:color w:val="1E1E21"/>
          <w:kern w:val="0"/>
          <w:sz w:val="24"/>
          <w:szCs w:val="24"/>
          <w:lang w:eastAsia="lt-LT"/>
          <w14:ligatures w14:val="none"/>
        </w:rPr>
      </w:pPr>
      <w:r w:rsidRPr="00562129">
        <w:rPr>
          <w:rFonts w:ascii="Times New Roman" w:eastAsia="Times New Roman" w:hAnsi="Times New Roman" w:cs="Times New Roman"/>
          <w:color w:val="1E1E21"/>
          <w:kern w:val="0"/>
          <w:sz w:val="24"/>
          <w:szCs w:val="24"/>
          <w:lang w:eastAsia="lt-LT"/>
          <w14:ligatures w14:val="none"/>
        </w:rPr>
        <w:t>2025 m. ketvirtąjį ketvirtį visuose verslo padaliniuose buvo pristatytas 91 orlaivis</w:t>
      </w:r>
      <w:r w:rsidR="008002EF" w:rsidRPr="00562129">
        <w:rPr>
          <w:rFonts w:ascii="Times New Roman" w:eastAsia="Times New Roman" w:hAnsi="Times New Roman" w:cs="Times New Roman"/>
          <w:color w:val="1E1E21"/>
          <w:kern w:val="0"/>
          <w:sz w:val="24"/>
          <w:szCs w:val="24"/>
          <w:lang w:eastAsia="lt-LT"/>
          <w14:ligatures w14:val="none"/>
        </w:rPr>
        <w:t xml:space="preserve">, </w:t>
      </w:r>
      <w:proofErr w:type="spellStart"/>
      <w:r w:rsidR="008002EF" w:rsidRPr="00562129">
        <w:rPr>
          <w:rFonts w:ascii="Times New Roman" w:eastAsia="Times New Roman" w:hAnsi="Times New Roman" w:cs="Times New Roman"/>
          <w:color w:val="1E1E21"/>
          <w:kern w:val="0"/>
          <w:sz w:val="24"/>
          <w:szCs w:val="24"/>
          <w:lang w:eastAsia="lt-LT"/>
          <w14:ligatures w14:val="none"/>
        </w:rPr>
        <w:t>t.y</w:t>
      </w:r>
      <w:proofErr w:type="spellEnd"/>
      <w:r w:rsidR="008002EF" w:rsidRPr="00562129">
        <w:rPr>
          <w:rFonts w:ascii="Times New Roman" w:eastAsia="Times New Roman" w:hAnsi="Times New Roman" w:cs="Times New Roman"/>
          <w:color w:val="1E1E21"/>
          <w:kern w:val="0"/>
          <w:sz w:val="24"/>
          <w:szCs w:val="24"/>
          <w:lang w:eastAsia="lt-LT"/>
          <w14:ligatures w14:val="none"/>
        </w:rPr>
        <w:t xml:space="preserve">. </w:t>
      </w:r>
      <w:r w:rsidRPr="00562129">
        <w:rPr>
          <w:rFonts w:ascii="Times New Roman" w:eastAsia="Times New Roman" w:hAnsi="Times New Roman" w:cs="Times New Roman"/>
          <w:color w:val="1E1E21"/>
          <w:kern w:val="0"/>
          <w:sz w:val="24"/>
          <w:szCs w:val="24"/>
          <w:lang w:eastAsia="lt-LT"/>
          <w14:ligatures w14:val="none"/>
        </w:rPr>
        <w:t>21 % d</w:t>
      </w:r>
      <w:r w:rsidR="008002EF" w:rsidRPr="00562129">
        <w:rPr>
          <w:rFonts w:ascii="Times New Roman" w:eastAsia="Times New Roman" w:hAnsi="Times New Roman" w:cs="Times New Roman"/>
          <w:color w:val="1E1E21"/>
          <w:kern w:val="0"/>
          <w:sz w:val="24"/>
          <w:szCs w:val="24"/>
          <w:lang w:eastAsia="lt-LT"/>
          <w14:ligatures w14:val="none"/>
        </w:rPr>
        <w:t xml:space="preserve">augiau </w:t>
      </w:r>
      <w:r w:rsidRPr="00562129">
        <w:rPr>
          <w:rFonts w:ascii="Times New Roman" w:eastAsia="Times New Roman" w:hAnsi="Times New Roman" w:cs="Times New Roman"/>
          <w:color w:val="1E1E21"/>
          <w:kern w:val="0"/>
          <w:sz w:val="24"/>
          <w:szCs w:val="24"/>
          <w:lang w:eastAsia="lt-LT"/>
          <w14:ligatures w14:val="none"/>
        </w:rPr>
        <w:t xml:space="preserve">palyginti su 75 </w:t>
      </w:r>
      <w:r w:rsidR="008002EF" w:rsidRPr="00562129">
        <w:rPr>
          <w:rFonts w:ascii="Times New Roman" w:eastAsia="Times New Roman" w:hAnsi="Times New Roman" w:cs="Times New Roman"/>
          <w:color w:val="1E1E21"/>
          <w:kern w:val="0"/>
          <w:sz w:val="24"/>
          <w:szCs w:val="24"/>
          <w:lang w:eastAsia="lt-LT"/>
          <w14:ligatures w14:val="none"/>
        </w:rPr>
        <w:t>orlaiviais</w:t>
      </w:r>
      <w:r w:rsidRPr="00562129">
        <w:rPr>
          <w:rFonts w:ascii="Times New Roman" w:eastAsia="Times New Roman" w:hAnsi="Times New Roman" w:cs="Times New Roman"/>
          <w:color w:val="1E1E21"/>
          <w:kern w:val="0"/>
          <w:sz w:val="24"/>
          <w:szCs w:val="24"/>
          <w:lang w:eastAsia="lt-LT"/>
          <w14:ligatures w14:val="none"/>
        </w:rPr>
        <w:t xml:space="preserve"> 2024 m. ketvirtąjį ketvirtį</w:t>
      </w:r>
      <w:r w:rsidR="008002EF" w:rsidRPr="00562129">
        <w:rPr>
          <w:rFonts w:ascii="Times New Roman" w:eastAsia="Times New Roman" w:hAnsi="Times New Roman" w:cs="Times New Roman"/>
          <w:color w:val="1E1E21"/>
          <w:kern w:val="0"/>
          <w:sz w:val="24"/>
          <w:szCs w:val="24"/>
          <w:lang w:eastAsia="lt-LT"/>
          <w14:ligatures w14:val="none"/>
        </w:rPr>
        <w:t xml:space="preserve">. </w:t>
      </w:r>
      <w:r w:rsidRPr="00562129">
        <w:rPr>
          <w:rFonts w:ascii="Times New Roman" w:eastAsia="Times New Roman" w:hAnsi="Times New Roman" w:cs="Times New Roman"/>
          <w:color w:val="1E1E21"/>
          <w:kern w:val="0"/>
          <w:sz w:val="24"/>
          <w:szCs w:val="24"/>
          <w:lang w:eastAsia="lt-LT"/>
          <w14:ligatures w14:val="none"/>
        </w:rPr>
        <w:t>Per visus 2025 metus „</w:t>
      </w:r>
      <w:proofErr w:type="spellStart"/>
      <w:r w:rsidRPr="00562129">
        <w:rPr>
          <w:rFonts w:ascii="Times New Roman" w:eastAsia="Times New Roman" w:hAnsi="Times New Roman" w:cs="Times New Roman"/>
          <w:color w:val="1E1E21"/>
          <w:kern w:val="0"/>
          <w:sz w:val="24"/>
          <w:szCs w:val="24"/>
          <w:lang w:eastAsia="lt-LT"/>
          <w14:ligatures w14:val="none"/>
        </w:rPr>
        <w:t>Embraer</w:t>
      </w:r>
      <w:proofErr w:type="spellEnd"/>
      <w:r w:rsidRPr="00562129">
        <w:rPr>
          <w:rFonts w:ascii="Times New Roman" w:eastAsia="Times New Roman" w:hAnsi="Times New Roman" w:cs="Times New Roman"/>
          <w:color w:val="1E1E21"/>
          <w:kern w:val="0"/>
          <w:sz w:val="24"/>
          <w:szCs w:val="24"/>
          <w:lang w:eastAsia="lt-LT"/>
          <w14:ligatures w14:val="none"/>
        </w:rPr>
        <w:t xml:space="preserve">“ pristatė 244 orlaivius – 18 % daugiau, palyginti su 206 orlaiviais 2024 m. </w:t>
      </w:r>
    </w:p>
    <w:p w14:paraId="6C9BCBAC" w14:textId="77777777" w:rsidR="008002EF" w:rsidRPr="00562129" w:rsidRDefault="008002EF" w:rsidP="005069B1">
      <w:pPr>
        <w:spacing w:after="0" w:line="240" w:lineRule="auto"/>
        <w:rPr>
          <w:rFonts w:ascii="Times New Roman" w:eastAsia="Times New Roman" w:hAnsi="Times New Roman" w:cs="Times New Roman"/>
          <w:color w:val="1E1E21"/>
          <w:kern w:val="0"/>
          <w:sz w:val="24"/>
          <w:szCs w:val="24"/>
          <w:lang w:eastAsia="lt-LT"/>
          <w14:ligatures w14:val="none"/>
        </w:rPr>
      </w:pPr>
    </w:p>
    <w:p w14:paraId="08E13BB4" w14:textId="10F187F2" w:rsidR="00DF4004" w:rsidRPr="00562129" w:rsidRDefault="00DF4004" w:rsidP="005069B1">
      <w:pPr>
        <w:spacing w:after="0" w:line="240" w:lineRule="auto"/>
        <w:rPr>
          <w:rFonts w:ascii="Times New Roman" w:hAnsi="Times New Roman" w:cs="Times New Roman"/>
          <w:sz w:val="24"/>
          <w:szCs w:val="24"/>
        </w:rPr>
      </w:pPr>
      <w:r w:rsidRPr="00562129">
        <w:rPr>
          <w:rFonts w:ascii="Times New Roman" w:hAnsi="Times New Roman" w:cs="Times New Roman"/>
          <w:b/>
          <w:bCs/>
          <w:sz w:val="24"/>
          <w:szCs w:val="24"/>
        </w:rPr>
        <w:t xml:space="preserve">6,7 km pratęsta </w:t>
      </w:r>
      <w:r w:rsidR="00D25331" w:rsidRPr="00562129">
        <w:rPr>
          <w:rFonts w:ascii="Times New Roman" w:hAnsi="Times New Roman" w:cs="Times New Roman"/>
          <w:b/>
          <w:bCs/>
          <w:sz w:val="24"/>
          <w:szCs w:val="24"/>
        </w:rPr>
        <w:t>metro linija</w:t>
      </w:r>
      <w:r w:rsidRPr="00562129">
        <w:rPr>
          <w:rFonts w:ascii="Times New Roman" w:hAnsi="Times New Roman" w:cs="Times New Roman"/>
          <w:b/>
          <w:bCs/>
          <w:sz w:val="24"/>
          <w:szCs w:val="24"/>
        </w:rPr>
        <w:t xml:space="preserve"> sujungs </w:t>
      </w:r>
      <w:r w:rsidR="00D25331" w:rsidRPr="00562129">
        <w:rPr>
          <w:rFonts w:ascii="Times New Roman" w:hAnsi="Times New Roman" w:cs="Times New Roman"/>
          <w:b/>
          <w:bCs/>
          <w:sz w:val="24"/>
          <w:szCs w:val="24"/>
        </w:rPr>
        <w:t xml:space="preserve">tarptautinį </w:t>
      </w:r>
      <w:proofErr w:type="spellStart"/>
      <w:r w:rsidR="00D25331" w:rsidRPr="00562129">
        <w:rPr>
          <w:rFonts w:ascii="Times New Roman" w:hAnsi="Times New Roman" w:cs="Times New Roman"/>
          <w:b/>
          <w:bCs/>
          <w:sz w:val="24"/>
          <w:szCs w:val="24"/>
        </w:rPr>
        <w:t>Congonhas</w:t>
      </w:r>
      <w:proofErr w:type="spellEnd"/>
      <w:r w:rsidR="00D25331" w:rsidRPr="00562129">
        <w:rPr>
          <w:rFonts w:ascii="Times New Roman" w:hAnsi="Times New Roman" w:cs="Times New Roman"/>
          <w:b/>
          <w:bCs/>
          <w:sz w:val="24"/>
          <w:szCs w:val="24"/>
        </w:rPr>
        <w:t xml:space="preserve"> oro uostą su likusia San Paulo miesto metro sistema</w:t>
      </w:r>
      <w:r w:rsidRPr="00562129">
        <w:rPr>
          <w:rFonts w:ascii="Times New Roman" w:hAnsi="Times New Roman" w:cs="Times New Roman"/>
          <w:b/>
          <w:bCs/>
          <w:sz w:val="24"/>
          <w:szCs w:val="24"/>
        </w:rPr>
        <w:t>.</w:t>
      </w:r>
      <w:r w:rsidR="00D25331" w:rsidRPr="00562129">
        <w:rPr>
          <w:rFonts w:ascii="Times New Roman" w:hAnsi="Times New Roman" w:cs="Times New Roman"/>
          <w:b/>
          <w:bCs/>
          <w:sz w:val="24"/>
          <w:szCs w:val="24"/>
        </w:rPr>
        <w:t xml:space="preserve"> </w:t>
      </w:r>
      <w:r w:rsidRPr="00562129">
        <w:rPr>
          <w:rFonts w:ascii="Times New Roman" w:hAnsi="Times New Roman" w:cs="Times New Roman"/>
          <w:b/>
          <w:bCs/>
          <w:sz w:val="24"/>
          <w:szCs w:val="24"/>
        </w:rPr>
        <w:t>Pirmą kartą BYD „</w:t>
      </w:r>
      <w:proofErr w:type="spellStart"/>
      <w:r w:rsidRPr="00562129">
        <w:rPr>
          <w:rFonts w:ascii="Times New Roman" w:hAnsi="Times New Roman" w:cs="Times New Roman"/>
          <w:b/>
          <w:bCs/>
          <w:sz w:val="24"/>
          <w:szCs w:val="24"/>
        </w:rPr>
        <w:t>SkyRail</w:t>
      </w:r>
      <w:proofErr w:type="spellEnd"/>
      <w:r w:rsidRPr="00562129">
        <w:rPr>
          <w:rFonts w:ascii="Times New Roman" w:hAnsi="Times New Roman" w:cs="Times New Roman"/>
          <w:b/>
          <w:bCs/>
          <w:sz w:val="24"/>
          <w:szCs w:val="24"/>
        </w:rPr>
        <w:t xml:space="preserve">“ sistemos traukinys nuvažiavo visą maršrutą iki </w:t>
      </w:r>
      <w:proofErr w:type="spellStart"/>
      <w:r w:rsidR="00D25331" w:rsidRPr="00562129">
        <w:rPr>
          <w:rFonts w:ascii="Times New Roman" w:hAnsi="Times New Roman" w:cs="Times New Roman"/>
          <w:b/>
          <w:bCs/>
          <w:sz w:val="24"/>
          <w:szCs w:val="24"/>
        </w:rPr>
        <w:t>Congonhas</w:t>
      </w:r>
      <w:proofErr w:type="spellEnd"/>
      <w:r w:rsidRPr="00562129">
        <w:rPr>
          <w:rFonts w:ascii="Times New Roman" w:hAnsi="Times New Roman" w:cs="Times New Roman"/>
          <w:b/>
          <w:bCs/>
          <w:sz w:val="24"/>
          <w:szCs w:val="24"/>
        </w:rPr>
        <w:t xml:space="preserve"> oro uosto </w:t>
      </w:r>
      <w:r w:rsidR="00D25331" w:rsidRPr="00562129">
        <w:rPr>
          <w:rFonts w:ascii="Times New Roman" w:hAnsi="Times New Roman" w:cs="Times New Roman"/>
          <w:b/>
          <w:bCs/>
          <w:sz w:val="24"/>
          <w:szCs w:val="24"/>
        </w:rPr>
        <w:t>- tai viena strat</w:t>
      </w:r>
      <w:r w:rsidRPr="00562129">
        <w:rPr>
          <w:rFonts w:ascii="Times New Roman" w:hAnsi="Times New Roman" w:cs="Times New Roman"/>
          <w:b/>
          <w:bCs/>
          <w:sz w:val="24"/>
          <w:szCs w:val="24"/>
        </w:rPr>
        <w:t xml:space="preserve">egiškiausių sostinės viešojo transporto jungčių. Kelionė buvo atlikta naudojant tik akumuliatoriuose sukauptą energiją, be jokio išorinio maitinimo iš elektrifikuoto </w:t>
      </w:r>
      <w:proofErr w:type="spellStart"/>
      <w:r w:rsidR="00BC6069" w:rsidRPr="00562129">
        <w:rPr>
          <w:rFonts w:ascii="Times New Roman" w:hAnsi="Times New Roman" w:cs="Times New Roman"/>
          <w:b/>
          <w:bCs/>
          <w:sz w:val="24"/>
          <w:szCs w:val="24"/>
        </w:rPr>
        <w:t>vien</w:t>
      </w:r>
      <w:r w:rsidRPr="00562129">
        <w:rPr>
          <w:rFonts w:ascii="Times New Roman" w:hAnsi="Times New Roman" w:cs="Times New Roman"/>
          <w:b/>
          <w:bCs/>
          <w:sz w:val="24"/>
          <w:szCs w:val="24"/>
        </w:rPr>
        <w:t>bėgio</w:t>
      </w:r>
      <w:proofErr w:type="spellEnd"/>
      <w:r w:rsidRPr="00562129">
        <w:rPr>
          <w:rFonts w:ascii="Times New Roman" w:hAnsi="Times New Roman" w:cs="Times New Roman"/>
          <w:sz w:val="24"/>
          <w:szCs w:val="24"/>
        </w:rPr>
        <w:t xml:space="preserve">. </w:t>
      </w:r>
      <w:r w:rsidR="00BC6069" w:rsidRPr="00562129">
        <w:rPr>
          <w:rFonts w:ascii="Times New Roman" w:hAnsi="Times New Roman" w:cs="Times New Roman"/>
          <w:sz w:val="24"/>
          <w:szCs w:val="24"/>
        </w:rPr>
        <w:t>Sistema pasižymi</w:t>
      </w:r>
      <w:r w:rsidRPr="00562129">
        <w:rPr>
          <w:rFonts w:ascii="Times New Roman" w:hAnsi="Times New Roman" w:cs="Times New Roman"/>
          <w:sz w:val="24"/>
          <w:szCs w:val="24"/>
        </w:rPr>
        <w:t xml:space="preserve"> energijos vartojimo efektyvumu, mažesni</w:t>
      </w:r>
      <w:r w:rsidR="00E459B4" w:rsidRPr="00562129">
        <w:rPr>
          <w:rFonts w:ascii="Times New Roman" w:hAnsi="Times New Roman" w:cs="Times New Roman"/>
          <w:sz w:val="24"/>
          <w:szCs w:val="24"/>
        </w:rPr>
        <w:t>ai</w:t>
      </w:r>
      <w:r w:rsidRPr="00562129">
        <w:rPr>
          <w:rFonts w:ascii="Times New Roman" w:hAnsi="Times New Roman" w:cs="Times New Roman"/>
          <w:sz w:val="24"/>
          <w:szCs w:val="24"/>
        </w:rPr>
        <w:t>s miesto trukdžia</w:t>
      </w:r>
      <w:r w:rsidR="00E459B4" w:rsidRPr="00562129">
        <w:rPr>
          <w:rFonts w:ascii="Times New Roman" w:hAnsi="Times New Roman" w:cs="Times New Roman"/>
          <w:sz w:val="24"/>
          <w:szCs w:val="24"/>
        </w:rPr>
        <w:t>i</w:t>
      </w:r>
      <w:r w:rsidRPr="00562129">
        <w:rPr>
          <w:rFonts w:ascii="Times New Roman" w:hAnsi="Times New Roman" w:cs="Times New Roman"/>
          <w:sz w:val="24"/>
          <w:szCs w:val="24"/>
        </w:rPr>
        <w:t>s ir tyli</w:t>
      </w:r>
      <w:r w:rsidR="00E459B4" w:rsidRPr="00562129">
        <w:rPr>
          <w:rFonts w:ascii="Times New Roman" w:hAnsi="Times New Roman" w:cs="Times New Roman"/>
          <w:sz w:val="24"/>
          <w:szCs w:val="24"/>
        </w:rPr>
        <w:t xml:space="preserve">u </w:t>
      </w:r>
      <w:r w:rsidRPr="00562129">
        <w:rPr>
          <w:rFonts w:ascii="Times New Roman" w:hAnsi="Times New Roman" w:cs="Times New Roman"/>
          <w:sz w:val="24"/>
          <w:szCs w:val="24"/>
        </w:rPr>
        <w:t xml:space="preserve">veikimu. </w:t>
      </w:r>
      <w:r w:rsidR="00E459B4" w:rsidRPr="00562129">
        <w:rPr>
          <w:rFonts w:ascii="Times New Roman" w:hAnsi="Times New Roman" w:cs="Times New Roman"/>
          <w:sz w:val="24"/>
          <w:szCs w:val="24"/>
        </w:rPr>
        <w:t>V</w:t>
      </w:r>
      <w:r w:rsidRPr="00562129">
        <w:rPr>
          <w:rFonts w:ascii="Times New Roman" w:hAnsi="Times New Roman" w:cs="Times New Roman"/>
          <w:sz w:val="24"/>
          <w:szCs w:val="24"/>
        </w:rPr>
        <w:t>isiškai automatizuoti traukiniai su įkraunamomis baterijomis leidžia autonomiškai važiuoti net kritinėse situacijose, todėl San Paulas yra vienas iš Lotynų Amerikos miestų, diegiančių tokio tipo sistemas.</w:t>
      </w:r>
    </w:p>
    <w:p w14:paraId="16A1E6CD" w14:textId="59FAFCBD" w:rsidR="001C22CB" w:rsidRPr="00562129" w:rsidRDefault="00DF4004" w:rsidP="005069B1">
      <w:pPr>
        <w:spacing w:after="0" w:line="240" w:lineRule="auto"/>
        <w:rPr>
          <w:rFonts w:ascii="Times New Roman" w:hAnsi="Times New Roman" w:cs="Times New Roman"/>
          <w:sz w:val="24"/>
          <w:szCs w:val="24"/>
        </w:rPr>
      </w:pPr>
      <w:r w:rsidRPr="00562129">
        <w:rPr>
          <w:rFonts w:ascii="Times New Roman" w:hAnsi="Times New Roman" w:cs="Times New Roman"/>
          <w:sz w:val="24"/>
          <w:szCs w:val="24"/>
        </w:rPr>
        <w:t>Šiuo metu aštuoni „</w:t>
      </w:r>
      <w:proofErr w:type="spellStart"/>
      <w:r w:rsidRPr="00562129">
        <w:rPr>
          <w:rFonts w:ascii="Times New Roman" w:hAnsi="Times New Roman" w:cs="Times New Roman"/>
          <w:sz w:val="24"/>
          <w:szCs w:val="24"/>
        </w:rPr>
        <w:t>SkyRail</w:t>
      </w:r>
      <w:proofErr w:type="spellEnd"/>
      <w:r w:rsidRPr="00562129">
        <w:rPr>
          <w:rFonts w:ascii="Times New Roman" w:hAnsi="Times New Roman" w:cs="Times New Roman"/>
          <w:sz w:val="24"/>
          <w:szCs w:val="24"/>
        </w:rPr>
        <w:t>“ traukiniai jau yra Brazilijo</w:t>
      </w:r>
      <w:r w:rsidR="00E459B4" w:rsidRPr="00562129">
        <w:rPr>
          <w:rFonts w:ascii="Times New Roman" w:hAnsi="Times New Roman" w:cs="Times New Roman"/>
          <w:sz w:val="24"/>
          <w:szCs w:val="24"/>
        </w:rPr>
        <w:t>je</w:t>
      </w:r>
      <w:r w:rsidRPr="00562129">
        <w:rPr>
          <w:rFonts w:ascii="Times New Roman" w:hAnsi="Times New Roman" w:cs="Times New Roman"/>
          <w:sz w:val="24"/>
          <w:szCs w:val="24"/>
        </w:rPr>
        <w:t xml:space="preserve">, </w:t>
      </w:r>
      <w:r w:rsidR="00E459B4" w:rsidRPr="00562129">
        <w:rPr>
          <w:rFonts w:ascii="Times New Roman" w:hAnsi="Times New Roman" w:cs="Times New Roman"/>
          <w:sz w:val="24"/>
          <w:szCs w:val="24"/>
        </w:rPr>
        <w:t>dar vienas</w:t>
      </w:r>
      <w:r w:rsidRPr="00562129">
        <w:rPr>
          <w:rFonts w:ascii="Times New Roman" w:hAnsi="Times New Roman" w:cs="Times New Roman"/>
          <w:sz w:val="24"/>
          <w:szCs w:val="24"/>
        </w:rPr>
        <w:t xml:space="preserve"> naujas traukinys keliauja iš Kinijos. Kiti yra paskutiniuose gamybos etapuose. Projekte numatytas iš viso 14 traukinių, kurių kiekviename yra penki vagonai, parką, galintį pervežti iki 100 000 keleivių per dieną. </w:t>
      </w:r>
    </w:p>
    <w:p w14:paraId="7A55111C" w14:textId="77777777" w:rsidR="00E01C2E" w:rsidRPr="00562129" w:rsidRDefault="00E01C2E" w:rsidP="005069B1">
      <w:pPr>
        <w:spacing w:after="0" w:line="240" w:lineRule="auto"/>
        <w:rPr>
          <w:rFonts w:ascii="Times New Roman" w:hAnsi="Times New Roman" w:cs="Times New Roman"/>
          <w:sz w:val="24"/>
          <w:szCs w:val="24"/>
        </w:rPr>
      </w:pPr>
    </w:p>
    <w:p w14:paraId="33ED8979" w14:textId="50FF1A77" w:rsidR="00F13CCE" w:rsidRPr="00562129" w:rsidRDefault="00144FAF" w:rsidP="005069B1">
      <w:pPr>
        <w:spacing w:after="0" w:line="240" w:lineRule="auto"/>
        <w:rPr>
          <w:rFonts w:ascii="Times New Roman" w:hAnsi="Times New Roman" w:cs="Times New Roman"/>
          <w:b/>
          <w:bCs/>
          <w:sz w:val="24"/>
          <w:szCs w:val="24"/>
        </w:rPr>
      </w:pPr>
      <w:r w:rsidRPr="00562129">
        <w:rPr>
          <w:rFonts w:ascii="Times New Roman" w:hAnsi="Times New Roman" w:cs="Times New Roman"/>
          <w:b/>
          <w:bCs/>
          <w:sz w:val="24"/>
          <w:szCs w:val="24"/>
        </w:rPr>
        <w:t xml:space="preserve">Brazilijos </w:t>
      </w:r>
      <w:r w:rsidR="00E01C2E" w:rsidRPr="00562129">
        <w:rPr>
          <w:rFonts w:ascii="Times New Roman" w:hAnsi="Times New Roman" w:cs="Times New Roman"/>
          <w:b/>
          <w:bCs/>
          <w:sz w:val="24"/>
          <w:szCs w:val="24"/>
        </w:rPr>
        <w:t xml:space="preserve">Rio Grande do </w:t>
      </w:r>
      <w:proofErr w:type="spellStart"/>
      <w:r w:rsidR="00E01C2E" w:rsidRPr="00562129">
        <w:rPr>
          <w:rFonts w:ascii="Times New Roman" w:hAnsi="Times New Roman" w:cs="Times New Roman"/>
          <w:b/>
          <w:bCs/>
          <w:sz w:val="24"/>
          <w:szCs w:val="24"/>
        </w:rPr>
        <w:t>Sul</w:t>
      </w:r>
      <w:proofErr w:type="spellEnd"/>
      <w:r w:rsidR="00E01C2E" w:rsidRPr="00562129">
        <w:rPr>
          <w:rFonts w:ascii="Times New Roman" w:hAnsi="Times New Roman" w:cs="Times New Roman"/>
          <w:b/>
          <w:bCs/>
          <w:sz w:val="24"/>
          <w:szCs w:val="24"/>
        </w:rPr>
        <w:t xml:space="preserve"> </w:t>
      </w:r>
      <w:r w:rsidRPr="00562129">
        <w:rPr>
          <w:rFonts w:ascii="Times New Roman" w:hAnsi="Times New Roman" w:cs="Times New Roman"/>
          <w:b/>
          <w:bCs/>
          <w:sz w:val="24"/>
          <w:szCs w:val="24"/>
        </w:rPr>
        <w:t xml:space="preserve">valstijoje </w:t>
      </w:r>
      <w:r w:rsidR="00E01C2E" w:rsidRPr="00562129">
        <w:rPr>
          <w:rFonts w:ascii="Times New Roman" w:hAnsi="Times New Roman" w:cs="Times New Roman"/>
          <w:b/>
          <w:bCs/>
          <w:sz w:val="24"/>
          <w:szCs w:val="24"/>
        </w:rPr>
        <w:t>įsikūrusios internetinių mokėjimų platformos „</w:t>
      </w:r>
      <w:proofErr w:type="spellStart"/>
      <w:r w:rsidR="00E01C2E" w:rsidRPr="00562129">
        <w:rPr>
          <w:rFonts w:ascii="Times New Roman" w:hAnsi="Times New Roman" w:cs="Times New Roman"/>
          <w:b/>
          <w:bCs/>
          <w:sz w:val="24"/>
          <w:szCs w:val="24"/>
        </w:rPr>
        <w:t>PagBrasil</w:t>
      </w:r>
      <w:proofErr w:type="spellEnd"/>
      <w:r w:rsidR="00E01C2E" w:rsidRPr="00562129">
        <w:rPr>
          <w:rFonts w:ascii="Times New Roman" w:hAnsi="Times New Roman" w:cs="Times New Roman"/>
          <w:b/>
          <w:bCs/>
          <w:sz w:val="24"/>
          <w:szCs w:val="24"/>
        </w:rPr>
        <w:t xml:space="preserve">“ </w:t>
      </w:r>
      <w:r w:rsidR="00F13CCE" w:rsidRPr="00562129">
        <w:rPr>
          <w:rFonts w:ascii="Times New Roman" w:hAnsi="Times New Roman" w:cs="Times New Roman"/>
          <w:b/>
          <w:bCs/>
          <w:sz w:val="24"/>
          <w:szCs w:val="24"/>
        </w:rPr>
        <w:t xml:space="preserve">gavo Brazilijos </w:t>
      </w:r>
      <w:r w:rsidR="00E01C2E" w:rsidRPr="00562129">
        <w:rPr>
          <w:rFonts w:ascii="Times New Roman" w:hAnsi="Times New Roman" w:cs="Times New Roman"/>
          <w:b/>
          <w:bCs/>
          <w:sz w:val="24"/>
          <w:szCs w:val="24"/>
        </w:rPr>
        <w:t>centrinio banko leidim</w:t>
      </w:r>
      <w:r w:rsidR="00F13CCE" w:rsidRPr="00562129">
        <w:rPr>
          <w:rFonts w:ascii="Times New Roman" w:hAnsi="Times New Roman" w:cs="Times New Roman"/>
          <w:b/>
          <w:bCs/>
          <w:sz w:val="24"/>
          <w:szCs w:val="24"/>
        </w:rPr>
        <w:t>ą</w:t>
      </w:r>
      <w:r w:rsidR="00E01C2E" w:rsidRPr="00562129">
        <w:rPr>
          <w:rFonts w:ascii="Times New Roman" w:hAnsi="Times New Roman" w:cs="Times New Roman"/>
          <w:b/>
          <w:bCs/>
          <w:sz w:val="24"/>
          <w:szCs w:val="24"/>
        </w:rPr>
        <w:t xml:space="preserve"> bendrovei veikti užsienio valiutų rinkoje, kuris padėjo „</w:t>
      </w:r>
      <w:proofErr w:type="spellStart"/>
      <w:r w:rsidR="00E01C2E" w:rsidRPr="00562129">
        <w:rPr>
          <w:rFonts w:ascii="Times New Roman" w:hAnsi="Times New Roman" w:cs="Times New Roman"/>
          <w:b/>
          <w:bCs/>
          <w:sz w:val="24"/>
          <w:szCs w:val="24"/>
        </w:rPr>
        <w:t>Pix</w:t>
      </w:r>
      <w:proofErr w:type="spellEnd"/>
      <w:r w:rsidR="00E01C2E" w:rsidRPr="00562129">
        <w:rPr>
          <w:rFonts w:ascii="Times New Roman" w:hAnsi="Times New Roman" w:cs="Times New Roman"/>
          <w:b/>
          <w:bCs/>
          <w:sz w:val="24"/>
          <w:szCs w:val="24"/>
        </w:rPr>
        <w:t>“</w:t>
      </w:r>
      <w:r w:rsidR="00F13CCE" w:rsidRPr="00562129">
        <w:rPr>
          <w:rFonts w:ascii="Times New Roman" w:hAnsi="Times New Roman" w:cs="Times New Roman"/>
          <w:b/>
          <w:bCs/>
          <w:sz w:val="24"/>
          <w:szCs w:val="24"/>
        </w:rPr>
        <w:t xml:space="preserve"> atsiskaitymo sistemos</w:t>
      </w:r>
      <w:r w:rsidR="00E01C2E" w:rsidRPr="00562129">
        <w:rPr>
          <w:rFonts w:ascii="Times New Roman" w:hAnsi="Times New Roman" w:cs="Times New Roman"/>
          <w:b/>
          <w:bCs/>
          <w:sz w:val="24"/>
          <w:szCs w:val="24"/>
        </w:rPr>
        <w:t xml:space="preserve"> internacionalizavimo procese</w:t>
      </w:r>
      <w:r w:rsidR="00F13CCE" w:rsidRPr="00562129">
        <w:rPr>
          <w:rFonts w:ascii="Times New Roman" w:hAnsi="Times New Roman" w:cs="Times New Roman"/>
          <w:b/>
          <w:bCs/>
          <w:sz w:val="24"/>
          <w:szCs w:val="24"/>
        </w:rPr>
        <w:t>.</w:t>
      </w:r>
    </w:p>
    <w:p w14:paraId="3ABFA838" w14:textId="19C63D99" w:rsidR="00E01C2E" w:rsidRPr="00562129" w:rsidRDefault="00144FAF" w:rsidP="005069B1">
      <w:pPr>
        <w:spacing w:after="0" w:line="240" w:lineRule="auto"/>
        <w:rPr>
          <w:rFonts w:ascii="Times New Roman" w:hAnsi="Times New Roman" w:cs="Times New Roman"/>
          <w:sz w:val="24"/>
          <w:szCs w:val="24"/>
        </w:rPr>
      </w:pPr>
      <w:proofErr w:type="spellStart"/>
      <w:r w:rsidRPr="00562129">
        <w:rPr>
          <w:rFonts w:ascii="Times New Roman" w:hAnsi="Times New Roman" w:cs="Times New Roman"/>
          <w:sz w:val="24"/>
          <w:szCs w:val="24"/>
        </w:rPr>
        <w:t>PagBrasil</w:t>
      </w:r>
      <w:proofErr w:type="spellEnd"/>
      <w:r w:rsidRPr="00562129">
        <w:rPr>
          <w:rFonts w:ascii="Times New Roman" w:hAnsi="Times New Roman" w:cs="Times New Roman"/>
          <w:sz w:val="24"/>
          <w:szCs w:val="24"/>
        </w:rPr>
        <w:t xml:space="preserve"> sudarė bendradarbiavimo sutartis su JAV</w:t>
      </w:r>
      <w:r w:rsidR="00E01C2E" w:rsidRPr="00562129">
        <w:rPr>
          <w:rFonts w:ascii="Times New Roman" w:hAnsi="Times New Roman" w:cs="Times New Roman"/>
          <w:sz w:val="24"/>
          <w:szCs w:val="24"/>
        </w:rPr>
        <w:t xml:space="preserve"> „</w:t>
      </w:r>
      <w:proofErr w:type="spellStart"/>
      <w:r w:rsidR="00E01C2E" w:rsidRPr="00562129">
        <w:rPr>
          <w:rFonts w:ascii="Times New Roman" w:hAnsi="Times New Roman" w:cs="Times New Roman"/>
          <w:sz w:val="24"/>
          <w:szCs w:val="24"/>
        </w:rPr>
        <w:t>Verifone</w:t>
      </w:r>
      <w:proofErr w:type="spellEnd"/>
      <w:r w:rsidR="00E01C2E" w:rsidRPr="00562129">
        <w:rPr>
          <w:rFonts w:ascii="Times New Roman" w:hAnsi="Times New Roman" w:cs="Times New Roman"/>
          <w:sz w:val="24"/>
          <w:szCs w:val="24"/>
        </w:rPr>
        <w:t>“, su Pietryčių Azijos mokėjimų centru „</w:t>
      </w:r>
      <w:proofErr w:type="spellStart"/>
      <w:r w:rsidR="00E01C2E" w:rsidRPr="00562129">
        <w:rPr>
          <w:rFonts w:ascii="Times New Roman" w:hAnsi="Times New Roman" w:cs="Times New Roman"/>
          <w:sz w:val="24"/>
          <w:szCs w:val="24"/>
        </w:rPr>
        <w:t>Liquid</w:t>
      </w:r>
      <w:proofErr w:type="spellEnd"/>
      <w:r w:rsidR="00E01C2E" w:rsidRPr="00562129">
        <w:rPr>
          <w:rFonts w:ascii="Times New Roman" w:hAnsi="Times New Roman" w:cs="Times New Roman"/>
          <w:sz w:val="24"/>
          <w:szCs w:val="24"/>
        </w:rPr>
        <w:t xml:space="preserve"> Group“, kad </w:t>
      </w:r>
      <w:r w:rsidRPr="00562129">
        <w:rPr>
          <w:rFonts w:ascii="Times New Roman" w:hAnsi="Times New Roman" w:cs="Times New Roman"/>
          <w:sz w:val="24"/>
          <w:szCs w:val="24"/>
        </w:rPr>
        <w:t xml:space="preserve">tų šalių </w:t>
      </w:r>
      <w:r w:rsidR="00E01C2E" w:rsidRPr="00562129">
        <w:rPr>
          <w:rFonts w:ascii="Times New Roman" w:hAnsi="Times New Roman" w:cs="Times New Roman"/>
          <w:sz w:val="24"/>
          <w:szCs w:val="24"/>
        </w:rPr>
        <w:t>vartotojai galėtų atlikti mokėjimus per „</w:t>
      </w:r>
      <w:proofErr w:type="spellStart"/>
      <w:r w:rsidR="00E01C2E" w:rsidRPr="00562129">
        <w:rPr>
          <w:rFonts w:ascii="Times New Roman" w:hAnsi="Times New Roman" w:cs="Times New Roman"/>
          <w:sz w:val="24"/>
          <w:szCs w:val="24"/>
        </w:rPr>
        <w:t>Pix</w:t>
      </w:r>
      <w:proofErr w:type="spellEnd"/>
      <w:r w:rsidR="00E01C2E" w:rsidRPr="00562129">
        <w:rPr>
          <w:rFonts w:ascii="Times New Roman" w:hAnsi="Times New Roman" w:cs="Times New Roman"/>
          <w:sz w:val="24"/>
          <w:szCs w:val="24"/>
        </w:rPr>
        <w:t xml:space="preserve"> </w:t>
      </w:r>
      <w:proofErr w:type="spellStart"/>
      <w:r w:rsidR="00E01C2E" w:rsidRPr="00562129">
        <w:rPr>
          <w:rFonts w:ascii="Times New Roman" w:hAnsi="Times New Roman" w:cs="Times New Roman"/>
          <w:sz w:val="24"/>
          <w:szCs w:val="24"/>
        </w:rPr>
        <w:t>Roaming</w:t>
      </w:r>
      <w:proofErr w:type="spellEnd"/>
      <w:r w:rsidR="00E01C2E" w:rsidRPr="00562129">
        <w:rPr>
          <w:rFonts w:ascii="Times New Roman" w:hAnsi="Times New Roman" w:cs="Times New Roman"/>
          <w:sz w:val="24"/>
          <w:szCs w:val="24"/>
        </w:rPr>
        <w:t>“ produktą, kuris leidžia užsienio bankų ir skaitmeninių piniginių klientams naudoti „</w:t>
      </w:r>
      <w:proofErr w:type="spellStart"/>
      <w:r w:rsidR="00E01C2E" w:rsidRPr="00562129">
        <w:rPr>
          <w:rFonts w:ascii="Times New Roman" w:hAnsi="Times New Roman" w:cs="Times New Roman"/>
          <w:sz w:val="24"/>
          <w:szCs w:val="24"/>
        </w:rPr>
        <w:t>Pix</w:t>
      </w:r>
      <w:proofErr w:type="spellEnd"/>
      <w:r w:rsidR="00E01C2E" w:rsidRPr="00562129">
        <w:rPr>
          <w:rFonts w:ascii="Times New Roman" w:hAnsi="Times New Roman" w:cs="Times New Roman"/>
          <w:sz w:val="24"/>
          <w:szCs w:val="24"/>
        </w:rPr>
        <w:t>“</w:t>
      </w:r>
      <w:r w:rsidRPr="00562129">
        <w:rPr>
          <w:rFonts w:ascii="Times New Roman" w:hAnsi="Times New Roman" w:cs="Times New Roman"/>
          <w:sz w:val="24"/>
          <w:szCs w:val="24"/>
        </w:rPr>
        <w:t xml:space="preserve"> greitojo atsiskaitymo įrankį.</w:t>
      </w:r>
    </w:p>
    <w:p w14:paraId="2F34B709" w14:textId="24C4B7F3" w:rsidR="00E01C2E" w:rsidRPr="00562129" w:rsidRDefault="00E01C2E" w:rsidP="005069B1">
      <w:pPr>
        <w:spacing w:after="0" w:line="240" w:lineRule="auto"/>
        <w:rPr>
          <w:rFonts w:ascii="Times New Roman" w:hAnsi="Times New Roman" w:cs="Times New Roman"/>
          <w:sz w:val="24"/>
          <w:szCs w:val="24"/>
        </w:rPr>
      </w:pPr>
      <w:r w:rsidRPr="00562129">
        <w:rPr>
          <w:rFonts w:ascii="Times New Roman" w:hAnsi="Times New Roman" w:cs="Times New Roman"/>
          <w:sz w:val="24"/>
          <w:szCs w:val="24"/>
        </w:rPr>
        <w:t xml:space="preserve"> „</w:t>
      </w:r>
      <w:proofErr w:type="spellStart"/>
      <w:r w:rsidRPr="00562129">
        <w:rPr>
          <w:rFonts w:ascii="Times New Roman" w:hAnsi="Times New Roman" w:cs="Times New Roman"/>
          <w:sz w:val="24"/>
          <w:szCs w:val="24"/>
        </w:rPr>
        <w:t>PagBrasil</w:t>
      </w:r>
      <w:proofErr w:type="spellEnd"/>
      <w:r w:rsidRPr="00562129">
        <w:rPr>
          <w:rFonts w:ascii="Times New Roman" w:hAnsi="Times New Roman" w:cs="Times New Roman"/>
          <w:sz w:val="24"/>
          <w:szCs w:val="24"/>
        </w:rPr>
        <w:t xml:space="preserve">“ </w:t>
      </w:r>
      <w:r w:rsidR="00144FAF" w:rsidRPr="00562129">
        <w:rPr>
          <w:rFonts w:ascii="Times New Roman" w:hAnsi="Times New Roman" w:cs="Times New Roman"/>
          <w:sz w:val="24"/>
          <w:szCs w:val="24"/>
        </w:rPr>
        <w:t>taip pat s</w:t>
      </w:r>
      <w:r w:rsidRPr="00562129">
        <w:rPr>
          <w:rFonts w:ascii="Times New Roman" w:hAnsi="Times New Roman" w:cs="Times New Roman"/>
          <w:sz w:val="24"/>
          <w:szCs w:val="24"/>
        </w:rPr>
        <w:t>usira</w:t>
      </w:r>
      <w:r w:rsidR="00144FAF" w:rsidRPr="00562129">
        <w:rPr>
          <w:rFonts w:ascii="Times New Roman" w:hAnsi="Times New Roman" w:cs="Times New Roman"/>
          <w:sz w:val="24"/>
          <w:szCs w:val="24"/>
        </w:rPr>
        <w:t>do</w:t>
      </w:r>
      <w:r w:rsidRPr="00562129">
        <w:rPr>
          <w:rFonts w:ascii="Times New Roman" w:hAnsi="Times New Roman" w:cs="Times New Roman"/>
          <w:sz w:val="24"/>
          <w:szCs w:val="24"/>
        </w:rPr>
        <w:t xml:space="preserve"> partner</w:t>
      </w:r>
      <w:r w:rsidR="00144FAF" w:rsidRPr="00562129">
        <w:rPr>
          <w:rFonts w:ascii="Times New Roman" w:hAnsi="Times New Roman" w:cs="Times New Roman"/>
          <w:sz w:val="24"/>
          <w:szCs w:val="24"/>
        </w:rPr>
        <w:t xml:space="preserve">ius Urugvajuje, </w:t>
      </w:r>
      <w:r w:rsidRPr="00562129">
        <w:rPr>
          <w:rFonts w:ascii="Times New Roman" w:hAnsi="Times New Roman" w:cs="Times New Roman"/>
          <w:sz w:val="24"/>
          <w:szCs w:val="24"/>
        </w:rPr>
        <w:t>Meksik</w:t>
      </w:r>
      <w:r w:rsidR="00144FAF" w:rsidRPr="00562129">
        <w:rPr>
          <w:rFonts w:ascii="Times New Roman" w:hAnsi="Times New Roman" w:cs="Times New Roman"/>
          <w:sz w:val="24"/>
          <w:szCs w:val="24"/>
        </w:rPr>
        <w:t>oje</w:t>
      </w:r>
      <w:r w:rsidRPr="00562129">
        <w:rPr>
          <w:rFonts w:ascii="Times New Roman" w:hAnsi="Times New Roman" w:cs="Times New Roman"/>
          <w:sz w:val="24"/>
          <w:szCs w:val="24"/>
        </w:rPr>
        <w:t>, Čilė</w:t>
      </w:r>
      <w:r w:rsidR="00144FAF" w:rsidRPr="00562129">
        <w:rPr>
          <w:rFonts w:ascii="Times New Roman" w:hAnsi="Times New Roman" w:cs="Times New Roman"/>
          <w:sz w:val="24"/>
          <w:szCs w:val="24"/>
        </w:rPr>
        <w:t>je</w:t>
      </w:r>
      <w:r w:rsidRPr="00562129">
        <w:rPr>
          <w:rFonts w:ascii="Times New Roman" w:hAnsi="Times New Roman" w:cs="Times New Roman"/>
          <w:sz w:val="24"/>
          <w:szCs w:val="24"/>
        </w:rPr>
        <w:t>, Ispanij</w:t>
      </w:r>
      <w:r w:rsidR="00144FAF" w:rsidRPr="00562129">
        <w:rPr>
          <w:rFonts w:ascii="Times New Roman" w:hAnsi="Times New Roman" w:cs="Times New Roman"/>
          <w:sz w:val="24"/>
          <w:szCs w:val="24"/>
        </w:rPr>
        <w:t>oje</w:t>
      </w:r>
      <w:r w:rsidRPr="00562129">
        <w:rPr>
          <w:rFonts w:ascii="Times New Roman" w:hAnsi="Times New Roman" w:cs="Times New Roman"/>
          <w:sz w:val="24"/>
          <w:szCs w:val="24"/>
        </w:rPr>
        <w:t>, Portugalij</w:t>
      </w:r>
      <w:r w:rsidR="00144FAF" w:rsidRPr="00562129">
        <w:rPr>
          <w:rFonts w:ascii="Times New Roman" w:hAnsi="Times New Roman" w:cs="Times New Roman"/>
          <w:sz w:val="24"/>
          <w:szCs w:val="24"/>
        </w:rPr>
        <w:t>oje</w:t>
      </w:r>
      <w:r w:rsidRPr="00562129">
        <w:rPr>
          <w:rFonts w:ascii="Times New Roman" w:hAnsi="Times New Roman" w:cs="Times New Roman"/>
          <w:sz w:val="24"/>
          <w:szCs w:val="24"/>
        </w:rPr>
        <w:t>, Nyderland</w:t>
      </w:r>
      <w:r w:rsidR="00144FAF" w:rsidRPr="00562129">
        <w:rPr>
          <w:rFonts w:ascii="Times New Roman" w:hAnsi="Times New Roman" w:cs="Times New Roman"/>
          <w:sz w:val="24"/>
          <w:szCs w:val="24"/>
        </w:rPr>
        <w:t>uose</w:t>
      </w:r>
      <w:r w:rsidRPr="00562129">
        <w:rPr>
          <w:rFonts w:ascii="Times New Roman" w:hAnsi="Times New Roman" w:cs="Times New Roman"/>
          <w:sz w:val="24"/>
          <w:szCs w:val="24"/>
        </w:rPr>
        <w:t>, Argentin</w:t>
      </w:r>
      <w:r w:rsidR="00144FAF" w:rsidRPr="00562129">
        <w:rPr>
          <w:rFonts w:ascii="Times New Roman" w:hAnsi="Times New Roman" w:cs="Times New Roman"/>
          <w:sz w:val="24"/>
          <w:szCs w:val="24"/>
        </w:rPr>
        <w:t>oje</w:t>
      </w:r>
      <w:r w:rsidRPr="00562129">
        <w:rPr>
          <w:rFonts w:ascii="Times New Roman" w:hAnsi="Times New Roman" w:cs="Times New Roman"/>
          <w:sz w:val="24"/>
          <w:szCs w:val="24"/>
        </w:rPr>
        <w:t>, o 2025 m.</w:t>
      </w:r>
      <w:r w:rsidR="00144FAF" w:rsidRPr="00562129">
        <w:rPr>
          <w:rFonts w:ascii="Times New Roman" w:hAnsi="Times New Roman" w:cs="Times New Roman"/>
          <w:sz w:val="24"/>
          <w:szCs w:val="24"/>
        </w:rPr>
        <w:t xml:space="preserve"> – ir JAV</w:t>
      </w:r>
      <w:r w:rsidRPr="00562129">
        <w:rPr>
          <w:rFonts w:ascii="Times New Roman" w:hAnsi="Times New Roman" w:cs="Times New Roman"/>
          <w:sz w:val="24"/>
          <w:szCs w:val="24"/>
        </w:rPr>
        <w:t xml:space="preserve">, </w:t>
      </w:r>
      <w:r w:rsidR="00144FAF" w:rsidRPr="00562129">
        <w:rPr>
          <w:rFonts w:ascii="Times New Roman" w:hAnsi="Times New Roman" w:cs="Times New Roman"/>
          <w:sz w:val="24"/>
          <w:szCs w:val="24"/>
        </w:rPr>
        <w:t xml:space="preserve">nepaisant </w:t>
      </w:r>
      <w:r w:rsidRPr="00562129">
        <w:rPr>
          <w:rFonts w:ascii="Times New Roman" w:hAnsi="Times New Roman" w:cs="Times New Roman"/>
          <w:sz w:val="24"/>
          <w:szCs w:val="24"/>
        </w:rPr>
        <w:t>Donaldo Trumpo</w:t>
      </w:r>
      <w:r w:rsidR="00144FAF" w:rsidRPr="00562129">
        <w:rPr>
          <w:rFonts w:ascii="Times New Roman" w:hAnsi="Times New Roman" w:cs="Times New Roman"/>
          <w:sz w:val="24"/>
          <w:szCs w:val="24"/>
        </w:rPr>
        <w:t xml:space="preserve"> spaudimo</w:t>
      </w:r>
      <w:r w:rsidRPr="00562129">
        <w:rPr>
          <w:rFonts w:ascii="Times New Roman" w:hAnsi="Times New Roman" w:cs="Times New Roman"/>
          <w:sz w:val="24"/>
          <w:szCs w:val="24"/>
        </w:rPr>
        <w:t>, kuris „</w:t>
      </w:r>
      <w:proofErr w:type="spellStart"/>
      <w:r w:rsidRPr="00562129">
        <w:rPr>
          <w:rFonts w:ascii="Times New Roman" w:hAnsi="Times New Roman" w:cs="Times New Roman"/>
          <w:sz w:val="24"/>
          <w:szCs w:val="24"/>
        </w:rPr>
        <w:t>Pix</w:t>
      </w:r>
      <w:proofErr w:type="spellEnd"/>
      <w:r w:rsidRPr="00562129">
        <w:rPr>
          <w:rFonts w:ascii="Times New Roman" w:hAnsi="Times New Roman" w:cs="Times New Roman"/>
          <w:sz w:val="24"/>
          <w:szCs w:val="24"/>
        </w:rPr>
        <w:t xml:space="preserve">“ laikė grėsme garsiems </w:t>
      </w:r>
      <w:r w:rsidR="00144FAF" w:rsidRPr="00562129">
        <w:rPr>
          <w:rFonts w:ascii="Times New Roman" w:hAnsi="Times New Roman" w:cs="Times New Roman"/>
          <w:sz w:val="24"/>
          <w:szCs w:val="24"/>
        </w:rPr>
        <w:t>JAV</w:t>
      </w:r>
      <w:r w:rsidRPr="00562129">
        <w:rPr>
          <w:rFonts w:ascii="Times New Roman" w:hAnsi="Times New Roman" w:cs="Times New Roman"/>
          <w:sz w:val="24"/>
          <w:szCs w:val="24"/>
        </w:rPr>
        <w:t xml:space="preserve"> kortelių prekių ženklams, tokiems kaip „</w:t>
      </w:r>
      <w:proofErr w:type="spellStart"/>
      <w:r w:rsidRPr="00562129">
        <w:rPr>
          <w:rFonts w:ascii="Times New Roman" w:hAnsi="Times New Roman" w:cs="Times New Roman"/>
          <w:sz w:val="24"/>
          <w:szCs w:val="24"/>
        </w:rPr>
        <w:t>Mastercard</w:t>
      </w:r>
      <w:proofErr w:type="spellEnd"/>
      <w:r w:rsidRPr="00562129">
        <w:rPr>
          <w:rFonts w:ascii="Times New Roman" w:hAnsi="Times New Roman" w:cs="Times New Roman"/>
          <w:sz w:val="24"/>
          <w:szCs w:val="24"/>
        </w:rPr>
        <w:t>“.</w:t>
      </w:r>
    </w:p>
    <w:p w14:paraId="0CA0F87F" w14:textId="7D0B1778" w:rsidR="00E01C2E" w:rsidRPr="00562129" w:rsidRDefault="00E01C2E" w:rsidP="005069B1">
      <w:pPr>
        <w:spacing w:after="0" w:line="240" w:lineRule="auto"/>
        <w:rPr>
          <w:rFonts w:ascii="Times New Roman" w:hAnsi="Times New Roman" w:cs="Times New Roman"/>
          <w:sz w:val="24"/>
          <w:szCs w:val="24"/>
        </w:rPr>
      </w:pPr>
      <w:r w:rsidRPr="00562129">
        <w:rPr>
          <w:rFonts w:ascii="Times New Roman" w:hAnsi="Times New Roman" w:cs="Times New Roman"/>
          <w:sz w:val="24"/>
          <w:szCs w:val="24"/>
        </w:rPr>
        <w:t>„</w:t>
      </w:r>
      <w:proofErr w:type="spellStart"/>
      <w:r w:rsidRPr="00562129">
        <w:rPr>
          <w:rFonts w:ascii="Times New Roman" w:hAnsi="Times New Roman" w:cs="Times New Roman"/>
          <w:sz w:val="24"/>
          <w:szCs w:val="24"/>
        </w:rPr>
        <w:t>Pix</w:t>
      </w:r>
      <w:proofErr w:type="spellEnd"/>
      <w:r w:rsidRPr="00562129">
        <w:rPr>
          <w:rFonts w:ascii="Times New Roman" w:hAnsi="Times New Roman" w:cs="Times New Roman"/>
          <w:sz w:val="24"/>
          <w:szCs w:val="24"/>
        </w:rPr>
        <w:t xml:space="preserve">“ išskirtinumas, palyginti su kitomis momentinių mokėjimų sistemomis kitose šalyse, yra tas, kad tai yra viešoji infrastruktūra, kuri ne tik nuolat vystosi, o pagrindines kryptis nustato Centrinio </w:t>
      </w:r>
      <w:r w:rsidRPr="00562129">
        <w:rPr>
          <w:rFonts w:ascii="Times New Roman" w:hAnsi="Times New Roman" w:cs="Times New Roman"/>
          <w:sz w:val="24"/>
          <w:szCs w:val="24"/>
        </w:rPr>
        <w:lastRenderedPageBreak/>
        <w:t>banko darbotvarkė, bet ir leidžia privatiems žaidėjams prisijungti prie šios infrastruktūros ir kurti nevietinius sprendimus.</w:t>
      </w:r>
    </w:p>
    <w:p w14:paraId="5BC5EEB5" w14:textId="77777777" w:rsidR="001E6954" w:rsidRPr="00562129" w:rsidRDefault="001E6954" w:rsidP="005069B1">
      <w:pPr>
        <w:spacing w:after="0" w:line="240" w:lineRule="auto"/>
        <w:rPr>
          <w:rFonts w:ascii="Times New Roman" w:hAnsi="Times New Roman" w:cs="Times New Roman"/>
          <w:sz w:val="24"/>
          <w:szCs w:val="24"/>
        </w:rPr>
      </w:pPr>
    </w:p>
    <w:p w14:paraId="0C6A492C" w14:textId="5DF6DA37" w:rsidR="00C97A72" w:rsidRPr="00562129" w:rsidRDefault="00C97A72" w:rsidP="005069B1">
      <w:pPr>
        <w:spacing w:after="0" w:line="240" w:lineRule="auto"/>
        <w:rPr>
          <w:rFonts w:ascii="Times New Roman" w:hAnsi="Times New Roman" w:cs="Times New Roman"/>
          <w:sz w:val="24"/>
          <w:szCs w:val="24"/>
        </w:rPr>
      </w:pPr>
      <w:proofErr w:type="spellStart"/>
      <w:r w:rsidRPr="00562129">
        <w:rPr>
          <w:rFonts w:ascii="Times New Roman" w:hAnsi="Times New Roman" w:cs="Times New Roman"/>
          <w:b/>
          <w:bCs/>
          <w:sz w:val="24"/>
          <w:szCs w:val="24"/>
        </w:rPr>
        <w:t>Kriptovaliutų</w:t>
      </w:r>
      <w:proofErr w:type="spellEnd"/>
      <w:r w:rsidRPr="00562129">
        <w:rPr>
          <w:rFonts w:ascii="Times New Roman" w:hAnsi="Times New Roman" w:cs="Times New Roman"/>
          <w:b/>
          <w:bCs/>
          <w:sz w:val="24"/>
          <w:szCs w:val="24"/>
        </w:rPr>
        <w:t xml:space="preserve"> rinka Brazilijoje toliau plečiasi</w:t>
      </w:r>
      <w:r w:rsidR="00FD1226" w:rsidRPr="00562129">
        <w:rPr>
          <w:rFonts w:ascii="Times New Roman" w:hAnsi="Times New Roman" w:cs="Times New Roman"/>
          <w:b/>
          <w:bCs/>
          <w:sz w:val="24"/>
          <w:szCs w:val="24"/>
        </w:rPr>
        <w:t>. Ją</w:t>
      </w:r>
      <w:r w:rsidRPr="00562129">
        <w:rPr>
          <w:rFonts w:ascii="Times New Roman" w:hAnsi="Times New Roman" w:cs="Times New Roman"/>
          <w:b/>
          <w:bCs/>
          <w:sz w:val="24"/>
          <w:szCs w:val="24"/>
        </w:rPr>
        <w:t xml:space="preserve"> skatina investuotojų susidomėjimas investicijų diversifikavimu ir reguliavimo sistemos tobulėjimas</w:t>
      </w:r>
      <w:r w:rsidRPr="00562129">
        <w:rPr>
          <w:rFonts w:ascii="Times New Roman" w:hAnsi="Times New Roman" w:cs="Times New Roman"/>
          <w:sz w:val="24"/>
          <w:szCs w:val="24"/>
        </w:rPr>
        <w:t xml:space="preserve">. Tarp labiausiai šalyje prekiaujamų skaitmeninių aktyvų yra </w:t>
      </w:r>
      <w:proofErr w:type="spellStart"/>
      <w:r w:rsidRPr="00562129">
        <w:rPr>
          <w:rFonts w:ascii="Times New Roman" w:hAnsi="Times New Roman" w:cs="Times New Roman"/>
          <w:sz w:val="24"/>
          <w:szCs w:val="24"/>
        </w:rPr>
        <w:t>Bitcoin</w:t>
      </w:r>
      <w:proofErr w:type="spellEnd"/>
      <w:r w:rsidRPr="00562129">
        <w:rPr>
          <w:rFonts w:ascii="Times New Roman" w:hAnsi="Times New Roman" w:cs="Times New Roman"/>
          <w:sz w:val="24"/>
          <w:szCs w:val="24"/>
        </w:rPr>
        <w:t xml:space="preserve">, </w:t>
      </w:r>
      <w:proofErr w:type="spellStart"/>
      <w:r w:rsidRPr="00562129">
        <w:rPr>
          <w:rFonts w:ascii="Times New Roman" w:hAnsi="Times New Roman" w:cs="Times New Roman"/>
          <w:sz w:val="24"/>
          <w:szCs w:val="24"/>
        </w:rPr>
        <w:t>Ethereum</w:t>
      </w:r>
      <w:proofErr w:type="spellEnd"/>
      <w:r w:rsidRPr="00562129">
        <w:rPr>
          <w:rFonts w:ascii="Times New Roman" w:hAnsi="Times New Roman" w:cs="Times New Roman"/>
          <w:sz w:val="24"/>
          <w:szCs w:val="24"/>
        </w:rPr>
        <w:t>, su doleriu susietos stabilios monetos ir besiformuojantys tinklai, tokie kaip „Solana“, „</w:t>
      </w:r>
      <w:proofErr w:type="spellStart"/>
      <w:r w:rsidRPr="00562129">
        <w:rPr>
          <w:rFonts w:ascii="Times New Roman" w:hAnsi="Times New Roman" w:cs="Times New Roman"/>
          <w:sz w:val="24"/>
          <w:szCs w:val="24"/>
        </w:rPr>
        <w:t>Polygon</w:t>
      </w:r>
      <w:proofErr w:type="spellEnd"/>
      <w:r w:rsidRPr="00562129">
        <w:rPr>
          <w:rFonts w:ascii="Times New Roman" w:hAnsi="Times New Roman" w:cs="Times New Roman"/>
          <w:sz w:val="24"/>
          <w:szCs w:val="24"/>
        </w:rPr>
        <w:t>“ ir „</w:t>
      </w:r>
      <w:proofErr w:type="spellStart"/>
      <w:r w:rsidRPr="00562129">
        <w:rPr>
          <w:rFonts w:ascii="Times New Roman" w:hAnsi="Times New Roman" w:cs="Times New Roman"/>
          <w:sz w:val="24"/>
          <w:szCs w:val="24"/>
        </w:rPr>
        <w:t>Avalanche</w:t>
      </w:r>
      <w:proofErr w:type="spellEnd"/>
      <w:r w:rsidRPr="00562129">
        <w:rPr>
          <w:rFonts w:ascii="Times New Roman" w:hAnsi="Times New Roman" w:cs="Times New Roman"/>
          <w:sz w:val="24"/>
          <w:szCs w:val="24"/>
        </w:rPr>
        <w:t xml:space="preserve">“. </w:t>
      </w:r>
    </w:p>
    <w:p w14:paraId="4DFAE87E" w14:textId="1A8AF622" w:rsidR="00C97A72" w:rsidRPr="00562129" w:rsidRDefault="00C97A72" w:rsidP="005069B1">
      <w:pPr>
        <w:spacing w:after="0" w:line="240" w:lineRule="auto"/>
        <w:rPr>
          <w:rFonts w:ascii="Times New Roman" w:hAnsi="Times New Roman" w:cs="Times New Roman"/>
          <w:sz w:val="24"/>
          <w:szCs w:val="24"/>
        </w:rPr>
      </w:pPr>
      <w:r w:rsidRPr="00562129">
        <w:rPr>
          <w:rFonts w:ascii="Times New Roman" w:hAnsi="Times New Roman" w:cs="Times New Roman"/>
          <w:sz w:val="24"/>
          <w:szCs w:val="24"/>
        </w:rPr>
        <w:t>Brazilijoje</w:t>
      </w:r>
      <w:r w:rsidR="003658E5" w:rsidRPr="00562129">
        <w:rPr>
          <w:rFonts w:ascii="Times New Roman" w:hAnsi="Times New Roman" w:cs="Times New Roman"/>
          <w:sz w:val="24"/>
          <w:szCs w:val="24"/>
        </w:rPr>
        <w:t xml:space="preserve"> </w:t>
      </w:r>
      <w:r w:rsidRPr="00562129">
        <w:rPr>
          <w:rFonts w:ascii="Times New Roman" w:hAnsi="Times New Roman" w:cs="Times New Roman"/>
          <w:sz w:val="24"/>
          <w:szCs w:val="24"/>
        </w:rPr>
        <w:t xml:space="preserve">Federalinė pajamų tarnyba reikalauja deklaruoti </w:t>
      </w:r>
      <w:r w:rsidR="003658E5" w:rsidRPr="00562129">
        <w:rPr>
          <w:rFonts w:ascii="Times New Roman" w:hAnsi="Times New Roman" w:cs="Times New Roman"/>
          <w:sz w:val="24"/>
          <w:szCs w:val="24"/>
        </w:rPr>
        <w:t xml:space="preserve">pajamų mokestį už </w:t>
      </w:r>
      <w:proofErr w:type="spellStart"/>
      <w:r w:rsidRPr="00562129">
        <w:rPr>
          <w:rFonts w:ascii="Times New Roman" w:hAnsi="Times New Roman" w:cs="Times New Roman"/>
          <w:sz w:val="24"/>
          <w:szCs w:val="24"/>
        </w:rPr>
        <w:t>kriptovaliutų</w:t>
      </w:r>
      <w:proofErr w:type="spellEnd"/>
      <w:r w:rsidRPr="00562129">
        <w:rPr>
          <w:rFonts w:ascii="Times New Roman" w:hAnsi="Times New Roman" w:cs="Times New Roman"/>
          <w:sz w:val="24"/>
          <w:szCs w:val="24"/>
        </w:rPr>
        <w:t xml:space="preserve"> turtą, o </w:t>
      </w:r>
      <w:r w:rsidRPr="00562129">
        <w:rPr>
          <w:rFonts w:ascii="Times New Roman" w:hAnsi="Times New Roman" w:cs="Times New Roman"/>
          <w:b/>
          <w:bCs/>
          <w:sz w:val="24"/>
          <w:szCs w:val="24"/>
        </w:rPr>
        <w:t xml:space="preserve">Nacionalinis kongresas svarsto konkrečias stabilių monetų ir skaitmeninių biržų taisykles. Ekspertai mano, kad pastaraisiais metais šalis padarė didelę pažangą, tačiau vis dar vyksta reguliavimo konsolidavimo procesas. 2025 m. Brazilija užėmė penktą vietą pasaulyje pagal </w:t>
      </w:r>
      <w:proofErr w:type="spellStart"/>
      <w:r w:rsidRPr="00562129">
        <w:rPr>
          <w:rFonts w:ascii="Times New Roman" w:hAnsi="Times New Roman" w:cs="Times New Roman"/>
          <w:b/>
          <w:bCs/>
          <w:sz w:val="24"/>
          <w:szCs w:val="24"/>
        </w:rPr>
        <w:t>kriptovaliutų</w:t>
      </w:r>
      <w:proofErr w:type="spellEnd"/>
      <w:r w:rsidRPr="00562129">
        <w:rPr>
          <w:rFonts w:ascii="Times New Roman" w:hAnsi="Times New Roman" w:cs="Times New Roman"/>
          <w:b/>
          <w:bCs/>
          <w:sz w:val="24"/>
          <w:szCs w:val="24"/>
        </w:rPr>
        <w:t xml:space="preserve"> naudojimą, teigiama metinėje „</w:t>
      </w:r>
      <w:proofErr w:type="spellStart"/>
      <w:r w:rsidRPr="00562129">
        <w:rPr>
          <w:rFonts w:ascii="Times New Roman" w:hAnsi="Times New Roman" w:cs="Times New Roman"/>
          <w:b/>
          <w:bCs/>
          <w:sz w:val="24"/>
          <w:szCs w:val="24"/>
        </w:rPr>
        <w:t>Chainalysis</w:t>
      </w:r>
      <w:proofErr w:type="spellEnd"/>
      <w:r w:rsidRPr="00562129">
        <w:rPr>
          <w:rFonts w:ascii="Times New Roman" w:hAnsi="Times New Roman" w:cs="Times New Roman"/>
          <w:b/>
          <w:bCs/>
          <w:sz w:val="24"/>
          <w:szCs w:val="24"/>
        </w:rPr>
        <w:t>“ ataskaitoje</w:t>
      </w:r>
      <w:r w:rsidRPr="00562129">
        <w:rPr>
          <w:rFonts w:ascii="Times New Roman" w:hAnsi="Times New Roman" w:cs="Times New Roman"/>
          <w:sz w:val="24"/>
          <w:szCs w:val="24"/>
        </w:rPr>
        <w:t xml:space="preserve">, kurioje analizuojama 151 šalis. Reitinge atsižvelgiama ne tik į prekybos apimtį, bet ir į </w:t>
      </w:r>
      <w:proofErr w:type="spellStart"/>
      <w:r w:rsidRPr="00562129">
        <w:rPr>
          <w:rFonts w:ascii="Times New Roman" w:hAnsi="Times New Roman" w:cs="Times New Roman"/>
          <w:sz w:val="24"/>
          <w:szCs w:val="24"/>
        </w:rPr>
        <w:t>kriptovaliutų</w:t>
      </w:r>
      <w:proofErr w:type="spellEnd"/>
      <w:r w:rsidRPr="00562129">
        <w:rPr>
          <w:rFonts w:ascii="Times New Roman" w:hAnsi="Times New Roman" w:cs="Times New Roman"/>
          <w:sz w:val="24"/>
          <w:szCs w:val="24"/>
        </w:rPr>
        <w:t xml:space="preserve"> poveikį kasdieniam gyventojų gyvenimui. Šalis nusileidžia tik Indijai, J</w:t>
      </w:r>
      <w:r w:rsidR="003658E5" w:rsidRPr="00562129">
        <w:rPr>
          <w:rFonts w:ascii="Times New Roman" w:hAnsi="Times New Roman" w:cs="Times New Roman"/>
          <w:sz w:val="24"/>
          <w:szCs w:val="24"/>
        </w:rPr>
        <w:t>AV</w:t>
      </w:r>
      <w:r w:rsidRPr="00562129">
        <w:rPr>
          <w:rFonts w:ascii="Times New Roman" w:hAnsi="Times New Roman" w:cs="Times New Roman"/>
          <w:sz w:val="24"/>
          <w:szCs w:val="24"/>
        </w:rPr>
        <w:t>, Pakistanui ir Vietnamui, o aplenkia tokias rinkas kaip Nigerija, Indonezija, Ukraina ir Jungtinė Karalystė.</w:t>
      </w:r>
    </w:p>
    <w:p w14:paraId="04EAC6DC" w14:textId="48803233" w:rsidR="001E6954" w:rsidRPr="005069B1" w:rsidRDefault="00C97A72" w:rsidP="005069B1">
      <w:pPr>
        <w:spacing w:after="0" w:line="240" w:lineRule="auto"/>
        <w:rPr>
          <w:rFonts w:ascii="Times New Roman" w:hAnsi="Times New Roman" w:cs="Times New Roman"/>
          <w:sz w:val="24"/>
          <w:szCs w:val="24"/>
        </w:rPr>
      </w:pPr>
      <w:r w:rsidRPr="00562129">
        <w:rPr>
          <w:rFonts w:ascii="Times New Roman" w:hAnsi="Times New Roman" w:cs="Times New Roman"/>
          <w:sz w:val="24"/>
          <w:szCs w:val="24"/>
        </w:rPr>
        <w:t xml:space="preserve">Tyrime taip pat pabrėžiamas institucinio dalyvavimo Brazilijos rinkoje augimas. Investiciniai fondai, turto valdytojai ir bankai plečia su </w:t>
      </w:r>
      <w:proofErr w:type="spellStart"/>
      <w:r w:rsidRPr="00562129">
        <w:rPr>
          <w:rFonts w:ascii="Times New Roman" w:hAnsi="Times New Roman" w:cs="Times New Roman"/>
          <w:sz w:val="24"/>
          <w:szCs w:val="24"/>
        </w:rPr>
        <w:t>kriptovaliutomis</w:t>
      </w:r>
      <w:proofErr w:type="spellEnd"/>
      <w:r w:rsidRPr="00562129">
        <w:rPr>
          <w:rFonts w:ascii="Times New Roman" w:hAnsi="Times New Roman" w:cs="Times New Roman"/>
          <w:sz w:val="24"/>
          <w:szCs w:val="24"/>
        </w:rPr>
        <w:t xml:space="preserve"> susijusių produktų pasiūlą, o tai stiprina ekosistemą ir didina jos teisėtumą. Šis judėjimas vyksta lygiagrečiai su reguliavimo pažanga: 2023 ir 2024 m. p</w:t>
      </w:r>
      <w:r w:rsidR="003658E5" w:rsidRPr="00562129">
        <w:rPr>
          <w:rFonts w:ascii="Times New Roman" w:hAnsi="Times New Roman" w:cs="Times New Roman"/>
          <w:sz w:val="24"/>
          <w:szCs w:val="24"/>
        </w:rPr>
        <w:t>riimti teisiniai instrumentai</w:t>
      </w:r>
      <w:r w:rsidRPr="00562129">
        <w:rPr>
          <w:rFonts w:ascii="Times New Roman" w:hAnsi="Times New Roman" w:cs="Times New Roman"/>
          <w:sz w:val="24"/>
          <w:szCs w:val="24"/>
        </w:rPr>
        <w:t xml:space="preserve"> nustato virtual</w:t>
      </w:r>
      <w:r w:rsidR="003658E5" w:rsidRPr="00562129">
        <w:rPr>
          <w:rFonts w:ascii="Times New Roman" w:hAnsi="Times New Roman" w:cs="Times New Roman"/>
          <w:sz w:val="24"/>
          <w:szCs w:val="24"/>
        </w:rPr>
        <w:t xml:space="preserve">ių aktyvų </w:t>
      </w:r>
      <w:r w:rsidRPr="00562129">
        <w:rPr>
          <w:rFonts w:ascii="Times New Roman" w:hAnsi="Times New Roman" w:cs="Times New Roman"/>
          <w:sz w:val="24"/>
          <w:szCs w:val="24"/>
        </w:rPr>
        <w:t>paslaugų teikėjų taisykl</w:t>
      </w:r>
      <w:r w:rsidR="003658E5" w:rsidRPr="00562129">
        <w:rPr>
          <w:rFonts w:ascii="Times New Roman" w:hAnsi="Times New Roman" w:cs="Times New Roman"/>
          <w:sz w:val="24"/>
          <w:szCs w:val="24"/>
        </w:rPr>
        <w:t>e</w:t>
      </w:r>
      <w:r w:rsidRPr="00562129">
        <w:rPr>
          <w:rFonts w:ascii="Times New Roman" w:hAnsi="Times New Roman" w:cs="Times New Roman"/>
          <w:sz w:val="24"/>
          <w:szCs w:val="24"/>
        </w:rPr>
        <w:t>s, kurios užtikrina didesnį nuspėjamumą ir pritraukia į šalį pasaulines bendroves.</w:t>
      </w:r>
    </w:p>
    <w:sectPr w:rsidR="001E6954" w:rsidRPr="005069B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61D"/>
    <w:multiLevelType w:val="multilevel"/>
    <w:tmpl w:val="66C29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C50B2"/>
    <w:multiLevelType w:val="multilevel"/>
    <w:tmpl w:val="0FAA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C7F3F"/>
    <w:multiLevelType w:val="multilevel"/>
    <w:tmpl w:val="AFD89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916056"/>
    <w:multiLevelType w:val="multilevel"/>
    <w:tmpl w:val="070CA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DD37B2"/>
    <w:multiLevelType w:val="multilevel"/>
    <w:tmpl w:val="AB90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625C70"/>
    <w:multiLevelType w:val="multilevel"/>
    <w:tmpl w:val="06D6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3628A3"/>
    <w:multiLevelType w:val="multilevel"/>
    <w:tmpl w:val="6862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64138E"/>
    <w:multiLevelType w:val="multilevel"/>
    <w:tmpl w:val="E6EA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7A6247"/>
    <w:multiLevelType w:val="multilevel"/>
    <w:tmpl w:val="2AC0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7B74E1"/>
    <w:multiLevelType w:val="multilevel"/>
    <w:tmpl w:val="42A0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B83198"/>
    <w:multiLevelType w:val="multilevel"/>
    <w:tmpl w:val="8B7C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BA4F7B"/>
    <w:multiLevelType w:val="multilevel"/>
    <w:tmpl w:val="CADE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E12F3B"/>
    <w:multiLevelType w:val="multilevel"/>
    <w:tmpl w:val="3820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A3730F"/>
    <w:multiLevelType w:val="multilevel"/>
    <w:tmpl w:val="B8DE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AA646B"/>
    <w:multiLevelType w:val="multilevel"/>
    <w:tmpl w:val="4040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8C4710"/>
    <w:multiLevelType w:val="multilevel"/>
    <w:tmpl w:val="F2E8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6E0FF1"/>
    <w:multiLevelType w:val="multilevel"/>
    <w:tmpl w:val="7146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BE3F11"/>
    <w:multiLevelType w:val="multilevel"/>
    <w:tmpl w:val="70E2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9978D2"/>
    <w:multiLevelType w:val="multilevel"/>
    <w:tmpl w:val="B47C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A54E6A"/>
    <w:multiLevelType w:val="multilevel"/>
    <w:tmpl w:val="0F48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117ECE"/>
    <w:multiLevelType w:val="multilevel"/>
    <w:tmpl w:val="187E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430353"/>
    <w:multiLevelType w:val="multilevel"/>
    <w:tmpl w:val="5A840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A959C5"/>
    <w:multiLevelType w:val="multilevel"/>
    <w:tmpl w:val="57B8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50C1EFE"/>
    <w:multiLevelType w:val="multilevel"/>
    <w:tmpl w:val="7412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6CE1E3A"/>
    <w:multiLevelType w:val="multilevel"/>
    <w:tmpl w:val="A124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3D325F"/>
    <w:multiLevelType w:val="multilevel"/>
    <w:tmpl w:val="48B48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78F02D6"/>
    <w:multiLevelType w:val="multilevel"/>
    <w:tmpl w:val="1478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8EF4C4B"/>
    <w:multiLevelType w:val="multilevel"/>
    <w:tmpl w:val="3BE66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94F217C"/>
    <w:multiLevelType w:val="multilevel"/>
    <w:tmpl w:val="B2D8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9591A14"/>
    <w:multiLevelType w:val="multilevel"/>
    <w:tmpl w:val="3DB8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9947FAA"/>
    <w:multiLevelType w:val="multilevel"/>
    <w:tmpl w:val="D132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9DE2080"/>
    <w:multiLevelType w:val="multilevel"/>
    <w:tmpl w:val="0FDE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BFF4134"/>
    <w:multiLevelType w:val="multilevel"/>
    <w:tmpl w:val="322C2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C7F5DA4"/>
    <w:multiLevelType w:val="multilevel"/>
    <w:tmpl w:val="2A36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D07587A"/>
    <w:multiLevelType w:val="multilevel"/>
    <w:tmpl w:val="1F5E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DDA76F4"/>
    <w:multiLevelType w:val="multilevel"/>
    <w:tmpl w:val="6958D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F692AC9"/>
    <w:multiLevelType w:val="multilevel"/>
    <w:tmpl w:val="365C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042492E"/>
    <w:multiLevelType w:val="multilevel"/>
    <w:tmpl w:val="4CC23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0713692"/>
    <w:multiLevelType w:val="multilevel"/>
    <w:tmpl w:val="785C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1CC3DAA"/>
    <w:multiLevelType w:val="multilevel"/>
    <w:tmpl w:val="D9FE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4144469"/>
    <w:multiLevelType w:val="multilevel"/>
    <w:tmpl w:val="42F0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5626B7E"/>
    <w:multiLevelType w:val="multilevel"/>
    <w:tmpl w:val="192E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993284E"/>
    <w:multiLevelType w:val="multilevel"/>
    <w:tmpl w:val="EFF8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BC67BEF"/>
    <w:multiLevelType w:val="multilevel"/>
    <w:tmpl w:val="A3543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C4504C1"/>
    <w:multiLevelType w:val="multilevel"/>
    <w:tmpl w:val="1FE8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DCC365B"/>
    <w:multiLevelType w:val="multilevel"/>
    <w:tmpl w:val="16366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E45535C"/>
    <w:multiLevelType w:val="multilevel"/>
    <w:tmpl w:val="7D00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F4C3058"/>
    <w:multiLevelType w:val="multilevel"/>
    <w:tmpl w:val="B57E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0B30490"/>
    <w:multiLevelType w:val="multilevel"/>
    <w:tmpl w:val="5A643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0D87A54"/>
    <w:multiLevelType w:val="multilevel"/>
    <w:tmpl w:val="5D421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1AB1DF0"/>
    <w:multiLevelType w:val="multilevel"/>
    <w:tmpl w:val="66C4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2F52DD3"/>
    <w:multiLevelType w:val="multilevel"/>
    <w:tmpl w:val="75D4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34C37C4"/>
    <w:multiLevelType w:val="multilevel"/>
    <w:tmpl w:val="4192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39A55EE"/>
    <w:multiLevelType w:val="multilevel"/>
    <w:tmpl w:val="8F8E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39C16A5"/>
    <w:multiLevelType w:val="multilevel"/>
    <w:tmpl w:val="F932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3C956EE"/>
    <w:multiLevelType w:val="multilevel"/>
    <w:tmpl w:val="68FA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41969A8"/>
    <w:multiLevelType w:val="multilevel"/>
    <w:tmpl w:val="2A46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4490489"/>
    <w:multiLevelType w:val="multilevel"/>
    <w:tmpl w:val="5126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6046F86"/>
    <w:multiLevelType w:val="multilevel"/>
    <w:tmpl w:val="56E6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6B9031D"/>
    <w:multiLevelType w:val="multilevel"/>
    <w:tmpl w:val="4F6C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7FC7B2E"/>
    <w:multiLevelType w:val="multilevel"/>
    <w:tmpl w:val="E260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87B74DB"/>
    <w:multiLevelType w:val="multilevel"/>
    <w:tmpl w:val="7FDED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8EC7225"/>
    <w:multiLevelType w:val="multilevel"/>
    <w:tmpl w:val="A7DE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B917147"/>
    <w:multiLevelType w:val="multilevel"/>
    <w:tmpl w:val="FEF8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CB41675"/>
    <w:multiLevelType w:val="multilevel"/>
    <w:tmpl w:val="5FB66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D3A2A2E"/>
    <w:multiLevelType w:val="multilevel"/>
    <w:tmpl w:val="B310D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D9C46C3"/>
    <w:multiLevelType w:val="multilevel"/>
    <w:tmpl w:val="AE72D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DC6061D"/>
    <w:multiLevelType w:val="multilevel"/>
    <w:tmpl w:val="4918A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DD306E6"/>
    <w:multiLevelType w:val="multilevel"/>
    <w:tmpl w:val="C8E2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E1436B7"/>
    <w:multiLevelType w:val="multilevel"/>
    <w:tmpl w:val="8054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E342154"/>
    <w:multiLevelType w:val="multilevel"/>
    <w:tmpl w:val="9FF4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E7A1033"/>
    <w:multiLevelType w:val="multilevel"/>
    <w:tmpl w:val="6720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FCA70AD"/>
    <w:multiLevelType w:val="multilevel"/>
    <w:tmpl w:val="B8E6B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00A711E"/>
    <w:multiLevelType w:val="multilevel"/>
    <w:tmpl w:val="DD46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03315DB"/>
    <w:multiLevelType w:val="multilevel"/>
    <w:tmpl w:val="652E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04E248C"/>
    <w:multiLevelType w:val="multilevel"/>
    <w:tmpl w:val="8170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0747175"/>
    <w:multiLevelType w:val="multilevel"/>
    <w:tmpl w:val="ED36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1924BDE"/>
    <w:multiLevelType w:val="multilevel"/>
    <w:tmpl w:val="7B58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1B62621"/>
    <w:multiLevelType w:val="multilevel"/>
    <w:tmpl w:val="F25E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2155D59"/>
    <w:multiLevelType w:val="multilevel"/>
    <w:tmpl w:val="EA76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2C25E11"/>
    <w:multiLevelType w:val="multilevel"/>
    <w:tmpl w:val="0CA8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368227D"/>
    <w:multiLevelType w:val="multilevel"/>
    <w:tmpl w:val="ADA6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4250A7B"/>
    <w:multiLevelType w:val="multilevel"/>
    <w:tmpl w:val="7F6CC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617132F"/>
    <w:multiLevelType w:val="multilevel"/>
    <w:tmpl w:val="4DE22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73A35D1"/>
    <w:multiLevelType w:val="multilevel"/>
    <w:tmpl w:val="9E78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B2340F0"/>
    <w:multiLevelType w:val="multilevel"/>
    <w:tmpl w:val="E9A0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C9076B5"/>
    <w:multiLevelType w:val="multilevel"/>
    <w:tmpl w:val="963C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D272045"/>
    <w:multiLevelType w:val="multilevel"/>
    <w:tmpl w:val="5FA6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EAC62CE"/>
    <w:multiLevelType w:val="multilevel"/>
    <w:tmpl w:val="9416B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F2A45C1"/>
    <w:multiLevelType w:val="multilevel"/>
    <w:tmpl w:val="802C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04D6DAD"/>
    <w:multiLevelType w:val="multilevel"/>
    <w:tmpl w:val="B776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18C1E54"/>
    <w:multiLevelType w:val="multilevel"/>
    <w:tmpl w:val="58F0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1CC4B84"/>
    <w:multiLevelType w:val="multilevel"/>
    <w:tmpl w:val="AC5C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25265BE"/>
    <w:multiLevelType w:val="multilevel"/>
    <w:tmpl w:val="0A361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2C64E30"/>
    <w:multiLevelType w:val="multilevel"/>
    <w:tmpl w:val="A948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35701BA"/>
    <w:multiLevelType w:val="multilevel"/>
    <w:tmpl w:val="F61E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3F06EAC"/>
    <w:multiLevelType w:val="multilevel"/>
    <w:tmpl w:val="19367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4C12907"/>
    <w:multiLevelType w:val="multilevel"/>
    <w:tmpl w:val="3ABC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500297E"/>
    <w:multiLevelType w:val="multilevel"/>
    <w:tmpl w:val="2862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5F30FDB"/>
    <w:multiLevelType w:val="multilevel"/>
    <w:tmpl w:val="000E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80B79B8"/>
    <w:multiLevelType w:val="multilevel"/>
    <w:tmpl w:val="CC30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80E515A"/>
    <w:multiLevelType w:val="multilevel"/>
    <w:tmpl w:val="5758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9F00C10"/>
    <w:multiLevelType w:val="multilevel"/>
    <w:tmpl w:val="F938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B4A76A4"/>
    <w:multiLevelType w:val="multilevel"/>
    <w:tmpl w:val="9DFC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CF86B4B"/>
    <w:multiLevelType w:val="multilevel"/>
    <w:tmpl w:val="D7F8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D166A1A"/>
    <w:multiLevelType w:val="multilevel"/>
    <w:tmpl w:val="6BECB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D623EDB"/>
    <w:multiLevelType w:val="multilevel"/>
    <w:tmpl w:val="3BC2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E6C2499"/>
    <w:multiLevelType w:val="multilevel"/>
    <w:tmpl w:val="762E4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F7E425E"/>
    <w:multiLevelType w:val="multilevel"/>
    <w:tmpl w:val="C54C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4623F70"/>
    <w:multiLevelType w:val="multilevel"/>
    <w:tmpl w:val="FCEA6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49450B3"/>
    <w:multiLevelType w:val="multilevel"/>
    <w:tmpl w:val="3046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5EA1E8E"/>
    <w:multiLevelType w:val="multilevel"/>
    <w:tmpl w:val="C9CE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65759A0"/>
    <w:multiLevelType w:val="multilevel"/>
    <w:tmpl w:val="39E42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8EA2F6C"/>
    <w:multiLevelType w:val="multilevel"/>
    <w:tmpl w:val="1CEE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AFA345B"/>
    <w:multiLevelType w:val="multilevel"/>
    <w:tmpl w:val="8C08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BA56EF5"/>
    <w:multiLevelType w:val="multilevel"/>
    <w:tmpl w:val="FF00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E561D47"/>
    <w:multiLevelType w:val="multilevel"/>
    <w:tmpl w:val="C746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E98073B"/>
    <w:multiLevelType w:val="multilevel"/>
    <w:tmpl w:val="0C601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EF87B92"/>
    <w:multiLevelType w:val="multilevel"/>
    <w:tmpl w:val="D400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F8B7458"/>
    <w:multiLevelType w:val="multilevel"/>
    <w:tmpl w:val="422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FB9604E"/>
    <w:multiLevelType w:val="multilevel"/>
    <w:tmpl w:val="C908B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0D31FA5"/>
    <w:multiLevelType w:val="multilevel"/>
    <w:tmpl w:val="72E4E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3443F66"/>
    <w:multiLevelType w:val="multilevel"/>
    <w:tmpl w:val="C0F0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4727FFC"/>
    <w:multiLevelType w:val="multilevel"/>
    <w:tmpl w:val="5A2C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53D7A74"/>
    <w:multiLevelType w:val="multilevel"/>
    <w:tmpl w:val="1F84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80A6D08"/>
    <w:multiLevelType w:val="multilevel"/>
    <w:tmpl w:val="4984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C5C3B7B"/>
    <w:multiLevelType w:val="multilevel"/>
    <w:tmpl w:val="5A3E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CD83211"/>
    <w:multiLevelType w:val="multilevel"/>
    <w:tmpl w:val="E576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7D9F18F8"/>
    <w:multiLevelType w:val="multilevel"/>
    <w:tmpl w:val="3392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F4F49F0"/>
    <w:multiLevelType w:val="multilevel"/>
    <w:tmpl w:val="63A89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FCA4E86"/>
    <w:multiLevelType w:val="multilevel"/>
    <w:tmpl w:val="6A68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3787856">
    <w:abstractNumId w:val="102"/>
  </w:num>
  <w:num w:numId="2" w16cid:durableId="2020355193">
    <w:abstractNumId w:val="64"/>
  </w:num>
  <w:num w:numId="3" w16cid:durableId="838690647">
    <w:abstractNumId w:val="99"/>
  </w:num>
  <w:num w:numId="4" w16cid:durableId="784469348">
    <w:abstractNumId w:val="94"/>
  </w:num>
  <w:num w:numId="5" w16cid:durableId="851917033">
    <w:abstractNumId w:val="51"/>
  </w:num>
  <w:num w:numId="6" w16cid:durableId="618024330">
    <w:abstractNumId w:val="128"/>
  </w:num>
  <w:num w:numId="7" w16cid:durableId="268974916">
    <w:abstractNumId w:val="111"/>
  </w:num>
  <w:num w:numId="8" w16cid:durableId="967396769">
    <w:abstractNumId w:val="113"/>
  </w:num>
  <w:num w:numId="9" w16cid:durableId="1822236564">
    <w:abstractNumId w:val="87"/>
  </w:num>
  <w:num w:numId="10" w16cid:durableId="1298342975">
    <w:abstractNumId w:val="32"/>
  </w:num>
  <w:num w:numId="11" w16cid:durableId="1060324541">
    <w:abstractNumId w:val="76"/>
  </w:num>
  <w:num w:numId="12" w16cid:durableId="1694375679">
    <w:abstractNumId w:val="80"/>
  </w:num>
  <w:num w:numId="13" w16cid:durableId="1335917047">
    <w:abstractNumId w:val="78"/>
  </w:num>
  <w:num w:numId="14" w16cid:durableId="1047140302">
    <w:abstractNumId w:val="63"/>
  </w:num>
  <w:num w:numId="15" w16cid:durableId="1533835973">
    <w:abstractNumId w:val="59"/>
  </w:num>
  <w:num w:numId="16" w16cid:durableId="1196232132">
    <w:abstractNumId w:val="29"/>
  </w:num>
  <w:num w:numId="17" w16cid:durableId="1815103488">
    <w:abstractNumId w:val="70"/>
  </w:num>
  <w:num w:numId="18" w16cid:durableId="334383610">
    <w:abstractNumId w:val="125"/>
  </w:num>
  <w:num w:numId="19" w16cid:durableId="2125463902">
    <w:abstractNumId w:val="46"/>
  </w:num>
  <w:num w:numId="20" w16cid:durableId="469903588">
    <w:abstractNumId w:val="6"/>
  </w:num>
  <w:num w:numId="21" w16cid:durableId="1146122961">
    <w:abstractNumId w:val="107"/>
  </w:num>
  <w:num w:numId="22" w16cid:durableId="817766126">
    <w:abstractNumId w:val="129"/>
  </w:num>
  <w:num w:numId="23" w16cid:durableId="957024101">
    <w:abstractNumId w:val="81"/>
  </w:num>
  <w:num w:numId="24" w16cid:durableId="504906361">
    <w:abstractNumId w:val="55"/>
  </w:num>
  <w:num w:numId="25" w16cid:durableId="2036423455">
    <w:abstractNumId w:val="75"/>
  </w:num>
  <w:num w:numId="26" w16cid:durableId="41294283">
    <w:abstractNumId w:val="121"/>
  </w:num>
  <w:num w:numId="27" w16cid:durableId="1878279249">
    <w:abstractNumId w:val="61"/>
  </w:num>
  <w:num w:numId="28" w16cid:durableId="952132614">
    <w:abstractNumId w:val="19"/>
  </w:num>
  <w:num w:numId="29" w16cid:durableId="276186157">
    <w:abstractNumId w:val="25"/>
  </w:num>
  <w:num w:numId="30" w16cid:durableId="381373130">
    <w:abstractNumId w:val="83"/>
  </w:num>
  <w:num w:numId="31" w16cid:durableId="1499883095">
    <w:abstractNumId w:val="85"/>
  </w:num>
  <w:num w:numId="32" w16cid:durableId="1156803629">
    <w:abstractNumId w:val="72"/>
  </w:num>
  <w:num w:numId="33" w16cid:durableId="1482456061">
    <w:abstractNumId w:val="18"/>
  </w:num>
  <w:num w:numId="34" w16cid:durableId="1719165865">
    <w:abstractNumId w:val="112"/>
  </w:num>
  <w:num w:numId="35" w16cid:durableId="1946185113">
    <w:abstractNumId w:val="0"/>
  </w:num>
  <w:num w:numId="36" w16cid:durableId="964970725">
    <w:abstractNumId w:val="52"/>
  </w:num>
  <w:num w:numId="37" w16cid:durableId="1264260654">
    <w:abstractNumId w:val="73"/>
  </w:num>
  <w:num w:numId="38" w16cid:durableId="1451322883">
    <w:abstractNumId w:val="40"/>
  </w:num>
  <w:num w:numId="39" w16cid:durableId="818883332">
    <w:abstractNumId w:val="82"/>
  </w:num>
  <w:num w:numId="40" w16cid:durableId="1791049544">
    <w:abstractNumId w:val="122"/>
  </w:num>
  <w:num w:numId="41" w16cid:durableId="1064061743">
    <w:abstractNumId w:val="106"/>
  </w:num>
  <w:num w:numId="42" w16cid:durableId="275526358">
    <w:abstractNumId w:val="96"/>
  </w:num>
  <w:num w:numId="43" w16cid:durableId="348530073">
    <w:abstractNumId w:val="48"/>
  </w:num>
  <w:num w:numId="44" w16cid:durableId="1822037905">
    <w:abstractNumId w:val="98"/>
  </w:num>
  <w:num w:numId="45" w16cid:durableId="1839690696">
    <w:abstractNumId w:val="104"/>
  </w:num>
  <w:num w:numId="46" w16cid:durableId="1189105752">
    <w:abstractNumId w:val="36"/>
  </w:num>
  <w:num w:numId="47" w16cid:durableId="402677405">
    <w:abstractNumId w:val="23"/>
  </w:num>
  <w:num w:numId="48" w16cid:durableId="1545479487">
    <w:abstractNumId w:val="114"/>
  </w:num>
  <w:num w:numId="49" w16cid:durableId="491988001">
    <w:abstractNumId w:val="27"/>
  </w:num>
  <w:num w:numId="50" w16cid:durableId="477235560">
    <w:abstractNumId w:val="54"/>
  </w:num>
  <w:num w:numId="51" w16cid:durableId="736633013">
    <w:abstractNumId w:val="14"/>
  </w:num>
  <w:num w:numId="52" w16cid:durableId="218445761">
    <w:abstractNumId w:val="12"/>
  </w:num>
  <w:num w:numId="53" w16cid:durableId="796727799">
    <w:abstractNumId w:val="47"/>
  </w:num>
  <w:num w:numId="54" w16cid:durableId="2069255499">
    <w:abstractNumId w:val="91"/>
  </w:num>
  <w:num w:numId="55" w16cid:durableId="1244487358">
    <w:abstractNumId w:val="123"/>
  </w:num>
  <w:num w:numId="56" w16cid:durableId="1175924049">
    <w:abstractNumId w:val="9"/>
  </w:num>
  <w:num w:numId="57" w16cid:durableId="1593970929">
    <w:abstractNumId w:val="69"/>
  </w:num>
  <w:num w:numId="58" w16cid:durableId="1464038898">
    <w:abstractNumId w:val="24"/>
  </w:num>
  <w:num w:numId="59" w16cid:durableId="1282607678">
    <w:abstractNumId w:val="2"/>
  </w:num>
  <w:num w:numId="60" w16cid:durableId="1799378448">
    <w:abstractNumId w:val="21"/>
  </w:num>
  <w:num w:numId="61" w16cid:durableId="1780491891">
    <w:abstractNumId w:val="109"/>
  </w:num>
  <w:num w:numId="62" w16cid:durableId="1222210222">
    <w:abstractNumId w:val="84"/>
  </w:num>
  <w:num w:numId="63" w16cid:durableId="76830992">
    <w:abstractNumId w:val="86"/>
  </w:num>
  <w:num w:numId="64" w16cid:durableId="1166048273">
    <w:abstractNumId w:val="3"/>
  </w:num>
  <w:num w:numId="65" w16cid:durableId="2127893823">
    <w:abstractNumId w:val="110"/>
  </w:num>
  <w:num w:numId="66" w16cid:durableId="1894778158">
    <w:abstractNumId w:val="67"/>
  </w:num>
  <w:num w:numId="67" w16cid:durableId="548997230">
    <w:abstractNumId w:val="16"/>
  </w:num>
  <w:num w:numId="68" w16cid:durableId="551577513">
    <w:abstractNumId w:val="7"/>
  </w:num>
  <w:num w:numId="69" w16cid:durableId="748775593">
    <w:abstractNumId w:val="26"/>
  </w:num>
  <w:num w:numId="70" w16cid:durableId="1003361862">
    <w:abstractNumId w:val="10"/>
  </w:num>
  <w:num w:numId="71" w16cid:durableId="409624888">
    <w:abstractNumId w:val="38"/>
  </w:num>
  <w:num w:numId="72" w16cid:durableId="463238540">
    <w:abstractNumId w:val="115"/>
  </w:num>
  <w:num w:numId="73" w16cid:durableId="1141272268">
    <w:abstractNumId w:val="101"/>
  </w:num>
  <w:num w:numId="74" w16cid:durableId="1299265228">
    <w:abstractNumId w:val="105"/>
  </w:num>
  <w:num w:numId="75" w16cid:durableId="785004065">
    <w:abstractNumId w:val="118"/>
  </w:num>
  <w:num w:numId="76" w16cid:durableId="1613855560">
    <w:abstractNumId w:val="71"/>
  </w:num>
  <w:num w:numId="77" w16cid:durableId="1729183181">
    <w:abstractNumId w:val="89"/>
  </w:num>
  <w:num w:numId="78" w16cid:durableId="710346772">
    <w:abstractNumId w:val="56"/>
  </w:num>
  <w:num w:numId="79" w16cid:durableId="168984391">
    <w:abstractNumId w:val="11"/>
  </w:num>
  <w:num w:numId="80" w16cid:durableId="930049622">
    <w:abstractNumId w:val="33"/>
  </w:num>
  <w:num w:numId="81" w16cid:durableId="1661884170">
    <w:abstractNumId w:val="58"/>
  </w:num>
  <w:num w:numId="82" w16cid:durableId="1476219347">
    <w:abstractNumId w:val="119"/>
  </w:num>
  <w:num w:numId="83" w16cid:durableId="61103832">
    <w:abstractNumId w:val="77"/>
  </w:num>
  <w:num w:numId="84" w16cid:durableId="1692992727">
    <w:abstractNumId w:val="130"/>
  </w:num>
  <w:num w:numId="85" w16cid:durableId="350104381">
    <w:abstractNumId w:val="42"/>
  </w:num>
  <w:num w:numId="86" w16cid:durableId="1684935986">
    <w:abstractNumId w:val="124"/>
  </w:num>
  <w:num w:numId="87" w16cid:durableId="867841715">
    <w:abstractNumId w:val="103"/>
  </w:num>
  <w:num w:numId="88" w16cid:durableId="1549680638">
    <w:abstractNumId w:val="44"/>
  </w:num>
  <w:num w:numId="89" w16cid:durableId="102458459">
    <w:abstractNumId w:val="45"/>
  </w:num>
  <w:num w:numId="90" w16cid:durableId="872426283">
    <w:abstractNumId w:val="53"/>
  </w:num>
  <w:num w:numId="91" w16cid:durableId="708460493">
    <w:abstractNumId w:val="97"/>
  </w:num>
  <w:num w:numId="92" w16cid:durableId="1888685476">
    <w:abstractNumId w:val="43"/>
  </w:num>
  <w:num w:numId="93" w16cid:durableId="50349178">
    <w:abstractNumId w:val="66"/>
  </w:num>
  <w:num w:numId="94" w16cid:durableId="1408267372">
    <w:abstractNumId w:val="60"/>
  </w:num>
  <w:num w:numId="95" w16cid:durableId="1374764843">
    <w:abstractNumId w:val="49"/>
  </w:num>
  <w:num w:numId="96" w16cid:durableId="1110322946">
    <w:abstractNumId w:val="4"/>
  </w:num>
  <w:num w:numId="97" w16cid:durableId="2023435757">
    <w:abstractNumId w:val="28"/>
  </w:num>
  <w:num w:numId="98" w16cid:durableId="263727159">
    <w:abstractNumId w:val="30"/>
  </w:num>
  <w:num w:numId="99" w16cid:durableId="52700970">
    <w:abstractNumId w:val="13"/>
  </w:num>
  <w:num w:numId="100" w16cid:durableId="1562908393">
    <w:abstractNumId w:val="62"/>
  </w:num>
  <w:num w:numId="101" w16cid:durableId="210001951">
    <w:abstractNumId w:val="34"/>
  </w:num>
  <w:num w:numId="102" w16cid:durableId="1424568152">
    <w:abstractNumId w:val="20"/>
  </w:num>
  <w:num w:numId="103" w16cid:durableId="893157196">
    <w:abstractNumId w:val="117"/>
  </w:num>
  <w:num w:numId="104" w16cid:durableId="194392871">
    <w:abstractNumId w:val="93"/>
  </w:num>
  <w:num w:numId="105" w16cid:durableId="1098526090">
    <w:abstractNumId w:val="17"/>
  </w:num>
  <w:num w:numId="106" w16cid:durableId="1436438413">
    <w:abstractNumId w:val="92"/>
  </w:num>
  <w:num w:numId="107" w16cid:durableId="424155163">
    <w:abstractNumId w:val="88"/>
  </w:num>
  <w:num w:numId="108" w16cid:durableId="943000202">
    <w:abstractNumId w:val="8"/>
  </w:num>
  <w:num w:numId="109" w16cid:durableId="1833133325">
    <w:abstractNumId w:val="5"/>
  </w:num>
  <w:num w:numId="110" w16cid:durableId="2027706054">
    <w:abstractNumId w:val="15"/>
  </w:num>
  <w:num w:numId="111" w16cid:durableId="383065834">
    <w:abstractNumId w:val="79"/>
  </w:num>
  <w:num w:numId="112" w16cid:durableId="1823698102">
    <w:abstractNumId w:val="50"/>
  </w:num>
  <w:num w:numId="113" w16cid:durableId="678853441">
    <w:abstractNumId w:val="100"/>
  </w:num>
  <w:num w:numId="114" w16cid:durableId="844705229">
    <w:abstractNumId w:val="68"/>
  </w:num>
  <w:num w:numId="115" w16cid:durableId="309675128">
    <w:abstractNumId w:val="65"/>
  </w:num>
  <w:num w:numId="116" w16cid:durableId="1024482276">
    <w:abstractNumId w:val="116"/>
  </w:num>
  <w:num w:numId="117" w16cid:durableId="518542143">
    <w:abstractNumId w:val="1"/>
  </w:num>
  <w:num w:numId="118" w16cid:durableId="92016147">
    <w:abstractNumId w:val="95"/>
  </w:num>
  <w:num w:numId="119" w16cid:durableId="58409127">
    <w:abstractNumId w:val="41"/>
  </w:num>
  <w:num w:numId="120" w16cid:durableId="882444226">
    <w:abstractNumId w:val="127"/>
  </w:num>
  <w:num w:numId="121" w16cid:durableId="229193108">
    <w:abstractNumId w:val="126"/>
  </w:num>
  <w:num w:numId="122" w16cid:durableId="870341674">
    <w:abstractNumId w:val="37"/>
  </w:num>
  <w:num w:numId="123" w16cid:durableId="2131051445">
    <w:abstractNumId w:val="39"/>
  </w:num>
  <w:num w:numId="124" w16cid:durableId="1845975034">
    <w:abstractNumId w:val="74"/>
  </w:num>
  <w:num w:numId="125" w16cid:durableId="191653902">
    <w:abstractNumId w:val="108"/>
  </w:num>
  <w:num w:numId="126" w16cid:durableId="1590263271">
    <w:abstractNumId w:val="57"/>
  </w:num>
  <w:num w:numId="127" w16cid:durableId="1804493923">
    <w:abstractNumId w:val="90"/>
  </w:num>
  <w:num w:numId="128" w16cid:durableId="1131291767">
    <w:abstractNumId w:val="120"/>
  </w:num>
  <w:num w:numId="129" w16cid:durableId="431514861">
    <w:abstractNumId w:val="31"/>
  </w:num>
  <w:num w:numId="130" w16cid:durableId="675883207">
    <w:abstractNumId w:val="35"/>
  </w:num>
  <w:num w:numId="131" w16cid:durableId="9348722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BEF"/>
    <w:rsid w:val="00005292"/>
    <w:rsid w:val="00020269"/>
    <w:rsid w:val="000636A8"/>
    <w:rsid w:val="00095A9F"/>
    <w:rsid w:val="000B4EB1"/>
    <w:rsid w:val="000B5AF4"/>
    <w:rsid w:val="000D74BB"/>
    <w:rsid w:val="001347F6"/>
    <w:rsid w:val="00144FAF"/>
    <w:rsid w:val="001A6A41"/>
    <w:rsid w:val="001C22CB"/>
    <w:rsid w:val="001C2927"/>
    <w:rsid w:val="001E6954"/>
    <w:rsid w:val="0025191F"/>
    <w:rsid w:val="002757CA"/>
    <w:rsid w:val="002948AD"/>
    <w:rsid w:val="002B2514"/>
    <w:rsid w:val="002D66D6"/>
    <w:rsid w:val="002F5F0D"/>
    <w:rsid w:val="00317585"/>
    <w:rsid w:val="00322352"/>
    <w:rsid w:val="003536DD"/>
    <w:rsid w:val="003658E5"/>
    <w:rsid w:val="00380371"/>
    <w:rsid w:val="00381F5E"/>
    <w:rsid w:val="003968F4"/>
    <w:rsid w:val="00397F92"/>
    <w:rsid w:val="003C5DD3"/>
    <w:rsid w:val="003F1D1C"/>
    <w:rsid w:val="0043334E"/>
    <w:rsid w:val="00435499"/>
    <w:rsid w:val="00481C6E"/>
    <w:rsid w:val="004B369A"/>
    <w:rsid w:val="004E203A"/>
    <w:rsid w:val="00502C05"/>
    <w:rsid w:val="005069B1"/>
    <w:rsid w:val="00510C65"/>
    <w:rsid w:val="005237B2"/>
    <w:rsid w:val="00555210"/>
    <w:rsid w:val="00561AFF"/>
    <w:rsid w:val="00562129"/>
    <w:rsid w:val="005F18C7"/>
    <w:rsid w:val="00665A4B"/>
    <w:rsid w:val="0068003E"/>
    <w:rsid w:val="00692486"/>
    <w:rsid w:val="006D69F9"/>
    <w:rsid w:val="006E5A3B"/>
    <w:rsid w:val="00776102"/>
    <w:rsid w:val="0078123B"/>
    <w:rsid w:val="007A3177"/>
    <w:rsid w:val="007A5737"/>
    <w:rsid w:val="007A75CF"/>
    <w:rsid w:val="007E1B6F"/>
    <w:rsid w:val="008002EF"/>
    <w:rsid w:val="00806DE8"/>
    <w:rsid w:val="008302C9"/>
    <w:rsid w:val="00893BEF"/>
    <w:rsid w:val="008C69DD"/>
    <w:rsid w:val="008C7B87"/>
    <w:rsid w:val="008C7C68"/>
    <w:rsid w:val="008E0522"/>
    <w:rsid w:val="0095350D"/>
    <w:rsid w:val="00976C0F"/>
    <w:rsid w:val="009C4BD8"/>
    <w:rsid w:val="009E7602"/>
    <w:rsid w:val="00A400BB"/>
    <w:rsid w:val="00A60F12"/>
    <w:rsid w:val="00A8258D"/>
    <w:rsid w:val="00A90D76"/>
    <w:rsid w:val="00A94C66"/>
    <w:rsid w:val="00AA26BE"/>
    <w:rsid w:val="00AC0E3E"/>
    <w:rsid w:val="00B4220B"/>
    <w:rsid w:val="00B554D7"/>
    <w:rsid w:val="00B8456E"/>
    <w:rsid w:val="00BA6803"/>
    <w:rsid w:val="00BC6069"/>
    <w:rsid w:val="00C31C15"/>
    <w:rsid w:val="00C451ED"/>
    <w:rsid w:val="00C57173"/>
    <w:rsid w:val="00C71D05"/>
    <w:rsid w:val="00C768FF"/>
    <w:rsid w:val="00C964FE"/>
    <w:rsid w:val="00C97A72"/>
    <w:rsid w:val="00CA3DEF"/>
    <w:rsid w:val="00CA456F"/>
    <w:rsid w:val="00CE5A83"/>
    <w:rsid w:val="00D25331"/>
    <w:rsid w:val="00D643A0"/>
    <w:rsid w:val="00DF1D2D"/>
    <w:rsid w:val="00DF4004"/>
    <w:rsid w:val="00E01C2E"/>
    <w:rsid w:val="00E165B5"/>
    <w:rsid w:val="00E21106"/>
    <w:rsid w:val="00E459B4"/>
    <w:rsid w:val="00E60832"/>
    <w:rsid w:val="00E77502"/>
    <w:rsid w:val="00EB0587"/>
    <w:rsid w:val="00EB7A0A"/>
    <w:rsid w:val="00EC089C"/>
    <w:rsid w:val="00EE391A"/>
    <w:rsid w:val="00EE3F7E"/>
    <w:rsid w:val="00EF4C05"/>
    <w:rsid w:val="00F0443B"/>
    <w:rsid w:val="00F13CCE"/>
    <w:rsid w:val="00F16693"/>
    <w:rsid w:val="00F403EC"/>
    <w:rsid w:val="00F53F2E"/>
    <w:rsid w:val="00F55D51"/>
    <w:rsid w:val="00F657EB"/>
    <w:rsid w:val="00F71A31"/>
    <w:rsid w:val="00F8612E"/>
    <w:rsid w:val="00F90491"/>
    <w:rsid w:val="00FA32DC"/>
    <w:rsid w:val="00FC0501"/>
    <w:rsid w:val="00FD0F6B"/>
    <w:rsid w:val="00FD12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115F4"/>
  <w15:chartTrackingRefBased/>
  <w15:docId w15:val="{F6167ADC-B0CB-4B2C-BFED-3A37EC894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B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3B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3B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3B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3B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3B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B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B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B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B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3B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3B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3B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3B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3B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B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B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BEF"/>
    <w:rPr>
      <w:rFonts w:eastAsiaTheme="majorEastAsia" w:cstheme="majorBidi"/>
      <w:color w:val="272727" w:themeColor="text1" w:themeTint="D8"/>
    </w:rPr>
  </w:style>
  <w:style w:type="paragraph" w:styleId="Title">
    <w:name w:val="Title"/>
    <w:basedOn w:val="Normal"/>
    <w:next w:val="Normal"/>
    <w:link w:val="TitleChar"/>
    <w:uiPriority w:val="10"/>
    <w:qFormat/>
    <w:rsid w:val="00893B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B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B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B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BEF"/>
    <w:pPr>
      <w:spacing w:before="160"/>
      <w:jc w:val="center"/>
    </w:pPr>
    <w:rPr>
      <w:i/>
      <w:iCs/>
      <w:color w:val="404040" w:themeColor="text1" w:themeTint="BF"/>
    </w:rPr>
  </w:style>
  <w:style w:type="character" w:customStyle="1" w:styleId="QuoteChar">
    <w:name w:val="Quote Char"/>
    <w:basedOn w:val="DefaultParagraphFont"/>
    <w:link w:val="Quote"/>
    <w:uiPriority w:val="29"/>
    <w:rsid w:val="00893BEF"/>
    <w:rPr>
      <w:i/>
      <w:iCs/>
      <w:color w:val="404040" w:themeColor="text1" w:themeTint="BF"/>
    </w:rPr>
  </w:style>
  <w:style w:type="paragraph" w:styleId="ListParagraph">
    <w:name w:val="List Paragraph"/>
    <w:basedOn w:val="Normal"/>
    <w:uiPriority w:val="34"/>
    <w:qFormat/>
    <w:rsid w:val="00893BEF"/>
    <w:pPr>
      <w:ind w:left="720"/>
      <w:contextualSpacing/>
    </w:pPr>
  </w:style>
  <w:style w:type="character" w:styleId="IntenseEmphasis">
    <w:name w:val="Intense Emphasis"/>
    <w:basedOn w:val="DefaultParagraphFont"/>
    <w:uiPriority w:val="21"/>
    <w:qFormat/>
    <w:rsid w:val="00893BEF"/>
    <w:rPr>
      <w:i/>
      <w:iCs/>
      <w:color w:val="2F5496" w:themeColor="accent1" w:themeShade="BF"/>
    </w:rPr>
  </w:style>
  <w:style w:type="paragraph" w:styleId="IntenseQuote">
    <w:name w:val="Intense Quote"/>
    <w:basedOn w:val="Normal"/>
    <w:next w:val="Normal"/>
    <w:link w:val="IntenseQuoteChar"/>
    <w:uiPriority w:val="30"/>
    <w:qFormat/>
    <w:rsid w:val="00893B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3BEF"/>
    <w:rPr>
      <w:i/>
      <w:iCs/>
      <w:color w:val="2F5496" w:themeColor="accent1" w:themeShade="BF"/>
    </w:rPr>
  </w:style>
  <w:style w:type="character" w:styleId="IntenseReference">
    <w:name w:val="Intense Reference"/>
    <w:basedOn w:val="DefaultParagraphFont"/>
    <w:uiPriority w:val="32"/>
    <w:qFormat/>
    <w:rsid w:val="00893BEF"/>
    <w:rPr>
      <w:b/>
      <w:bCs/>
      <w:smallCaps/>
      <w:color w:val="2F5496" w:themeColor="accent1" w:themeShade="BF"/>
      <w:spacing w:val="5"/>
    </w:rPr>
  </w:style>
  <w:style w:type="character" w:styleId="Hyperlink">
    <w:name w:val="Hyperlink"/>
    <w:basedOn w:val="DefaultParagraphFont"/>
    <w:uiPriority w:val="99"/>
    <w:unhideWhenUsed/>
    <w:rsid w:val="00AC0E3E"/>
    <w:rPr>
      <w:color w:val="0563C1" w:themeColor="hyperlink"/>
      <w:u w:val="single"/>
    </w:rPr>
  </w:style>
  <w:style w:type="character" w:styleId="UnresolvedMention">
    <w:name w:val="Unresolved Mention"/>
    <w:basedOn w:val="DefaultParagraphFont"/>
    <w:uiPriority w:val="99"/>
    <w:semiHidden/>
    <w:unhideWhenUsed/>
    <w:rsid w:val="00AC0E3E"/>
    <w:rPr>
      <w:color w:val="605E5C"/>
      <w:shd w:val="clear" w:color="auto" w:fill="E1DFDD"/>
    </w:rPr>
  </w:style>
  <w:style w:type="character" w:styleId="FollowedHyperlink">
    <w:name w:val="FollowedHyperlink"/>
    <w:basedOn w:val="DefaultParagraphFont"/>
    <w:uiPriority w:val="99"/>
    <w:semiHidden/>
    <w:unhideWhenUsed/>
    <w:rsid w:val="00095A9F"/>
    <w:rPr>
      <w:color w:val="954F72" w:themeColor="followedHyperlink"/>
      <w:u w:val="single"/>
    </w:rPr>
  </w:style>
  <w:style w:type="character" w:customStyle="1" w:styleId="rynqvb">
    <w:name w:val="rynqvb"/>
    <w:basedOn w:val="DefaultParagraphFont"/>
    <w:rsid w:val="00481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5846</TotalTime>
  <Pages>9</Pages>
  <Words>20818</Words>
  <Characters>11867</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32620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ČIAPIENĖ</dc:creator>
  <cp:keywords/>
  <dc:description/>
  <cp:lastModifiedBy>Audra ČIAPIENĖ</cp:lastModifiedBy>
  <cp:revision>48</cp:revision>
  <dcterms:created xsi:type="dcterms:W3CDTF">2026-01-20T11:55:00Z</dcterms:created>
  <dcterms:modified xsi:type="dcterms:W3CDTF">2026-03-06T18:30:00Z</dcterms:modified>
</cp:coreProperties>
</file>