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39ED" w14:textId="7A09AD5A" w:rsidR="007F207A" w:rsidRPr="007F207A" w:rsidRDefault="007F207A" w:rsidP="00733885">
      <w:pPr>
        <w:jc w:val="center"/>
        <w:rPr>
          <w:rFonts w:ascii="Times New Roman" w:hAnsi="Times New Roman" w:cs="Times New Roman"/>
          <w:b/>
          <w:bCs/>
          <w:lang w:val="pt-BR" w:eastAsia="lt-LT"/>
        </w:rPr>
      </w:pPr>
      <w:r w:rsidRPr="007F207A">
        <w:rPr>
          <w:rFonts w:ascii="Times New Roman" w:hAnsi="Times New Roman" w:cs="Times New Roman"/>
          <w:b/>
          <w:bCs/>
          <w:lang w:val="pt-BR" w:eastAsia="lt-LT"/>
        </w:rPr>
        <w:t xml:space="preserve">Brazilijos ekonominės aktualijos </w:t>
      </w:r>
      <w:r w:rsidRPr="001B7B64">
        <w:rPr>
          <w:rFonts w:ascii="Times New Roman" w:hAnsi="Times New Roman" w:cs="Times New Roman"/>
          <w:b/>
          <w:bCs/>
          <w:lang w:val="pt-BR" w:eastAsia="lt-LT"/>
        </w:rPr>
        <w:t>gruodžio</w:t>
      </w:r>
      <w:r w:rsidRPr="007F207A">
        <w:rPr>
          <w:rFonts w:ascii="Times New Roman" w:hAnsi="Times New Roman" w:cs="Times New Roman"/>
          <w:b/>
          <w:bCs/>
          <w:lang w:val="pt-BR" w:eastAsia="lt-LT"/>
        </w:rPr>
        <w:t xml:space="preserve"> mėn.</w:t>
      </w:r>
    </w:p>
    <w:p w14:paraId="0D8D041B" w14:textId="77777777" w:rsidR="007F207A" w:rsidRPr="007F207A" w:rsidRDefault="007F207A" w:rsidP="007F207A">
      <w:pPr>
        <w:jc w:val="both"/>
        <w:rPr>
          <w:rFonts w:ascii="Times New Roman" w:hAnsi="Times New Roman" w:cs="Times New Roman"/>
          <w:b/>
          <w:bCs/>
          <w:lang w:val="pt-BR" w:eastAsia="lt-LT"/>
        </w:rPr>
      </w:pPr>
    </w:p>
    <w:p w14:paraId="75E32C77" w14:textId="77777777" w:rsidR="007F207A" w:rsidRPr="007F207A" w:rsidRDefault="007F207A" w:rsidP="007F207A">
      <w:pPr>
        <w:jc w:val="both"/>
        <w:rPr>
          <w:rFonts w:ascii="Times New Roman" w:eastAsia="Times New Roman" w:hAnsi="Times New Roman" w:cs="Times New Roman"/>
          <w:b/>
          <w:bCs/>
          <w:lang w:val="pt-BR" w:eastAsia="lt-LT"/>
        </w:rPr>
      </w:pPr>
      <w:r w:rsidRPr="007F207A">
        <w:rPr>
          <w:rFonts w:ascii="Times New Roman" w:eastAsia="Times New Roman" w:hAnsi="Times New Roman" w:cs="Times New Roman"/>
          <w:b/>
          <w:bCs/>
          <w:lang w:val="pt-BR" w:eastAsia="lt-LT"/>
        </w:rPr>
        <w:t>Lietuvos eksportuotojams aktuali informacija</w:t>
      </w:r>
    </w:p>
    <w:p w14:paraId="394579B7" w14:textId="77777777" w:rsidR="00733885" w:rsidRPr="001B7B64" w:rsidRDefault="00733885" w:rsidP="0094644A">
      <w:pPr>
        <w:rPr>
          <w:rFonts w:ascii="Times New Roman" w:eastAsia="Times New Roman" w:hAnsi="Times New Roman" w:cs="Times New Roman"/>
          <w:b/>
          <w:bCs/>
          <w:color w:val="1E1E21"/>
          <w:lang w:eastAsia="lt-LT"/>
        </w:rPr>
      </w:pPr>
    </w:p>
    <w:p w14:paraId="1F0B6CC3" w14:textId="232ABA9A" w:rsidR="0094644A" w:rsidRPr="001B7B64" w:rsidRDefault="0094644A" w:rsidP="0094644A">
      <w:pPr>
        <w:rPr>
          <w:rFonts w:ascii="Times New Roman" w:eastAsia="Times New Roman" w:hAnsi="Times New Roman" w:cs="Times New Roman"/>
          <w:b/>
          <w:bCs/>
          <w:color w:val="1E1E21"/>
          <w:lang w:eastAsia="lt-LT"/>
        </w:rPr>
      </w:pPr>
      <w:r w:rsidRPr="001B7B64">
        <w:rPr>
          <w:rFonts w:ascii="Times New Roman" w:eastAsia="Times New Roman" w:hAnsi="Times New Roman" w:cs="Times New Roman"/>
          <w:b/>
          <w:bCs/>
          <w:color w:val="1E1E21"/>
          <w:lang w:eastAsia="lt-LT"/>
        </w:rPr>
        <w:t>Spauda analizuoja ES-</w:t>
      </w:r>
      <w:proofErr w:type="spellStart"/>
      <w:r w:rsidRPr="001B7B64">
        <w:rPr>
          <w:rFonts w:ascii="Times New Roman" w:eastAsia="Times New Roman" w:hAnsi="Times New Roman" w:cs="Times New Roman"/>
          <w:b/>
          <w:bCs/>
          <w:color w:val="1E1E21"/>
          <w:lang w:eastAsia="lt-LT"/>
        </w:rPr>
        <w:t>Mercosur</w:t>
      </w:r>
      <w:proofErr w:type="spellEnd"/>
      <w:r w:rsidRPr="001B7B64">
        <w:rPr>
          <w:rFonts w:ascii="Times New Roman" w:eastAsia="Times New Roman" w:hAnsi="Times New Roman" w:cs="Times New Roman"/>
          <w:b/>
          <w:bCs/>
          <w:color w:val="1E1E21"/>
          <w:lang w:eastAsia="lt-LT"/>
        </w:rPr>
        <w:t xml:space="preserve"> susitarimo pasirašymo atidėjimo priežastis ir perspektyvą</w:t>
      </w:r>
    </w:p>
    <w:p w14:paraId="1458320F" w14:textId="77777777" w:rsidR="0094644A" w:rsidRPr="001B7B64" w:rsidRDefault="0094644A" w:rsidP="0094644A">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Be akivaizdaus protekcionistinio Prancūzijos manevro negalima atmesti ir geopolitinių aplinkybių įtakos, nes sprendimas neparemti susitarimo buvo įmanomas tik dėl Europos dešiniųjų šalių, Lenkijos ir Vengrijos, paramos ir Italijos, kurios prezidentė yra artima </w:t>
      </w:r>
      <w:proofErr w:type="spellStart"/>
      <w:r w:rsidRPr="001B7B64">
        <w:rPr>
          <w:rFonts w:ascii="Times New Roman" w:eastAsia="Times New Roman" w:hAnsi="Times New Roman" w:cs="Times New Roman"/>
          <w:color w:val="1E1E21"/>
          <w:lang w:eastAsia="lt-LT"/>
        </w:rPr>
        <w:t>D.Trumpui</w:t>
      </w:r>
      <w:proofErr w:type="spellEnd"/>
      <w:r w:rsidRPr="001B7B64">
        <w:rPr>
          <w:rFonts w:ascii="Times New Roman" w:eastAsia="Times New Roman" w:hAnsi="Times New Roman" w:cs="Times New Roman"/>
          <w:color w:val="1E1E21"/>
          <w:lang w:eastAsia="lt-LT"/>
        </w:rPr>
        <w:t>, postūmio.</w:t>
      </w:r>
    </w:p>
    <w:p w14:paraId="16852C4A" w14:textId="77777777" w:rsidR="0094644A" w:rsidRPr="001B7B64" w:rsidRDefault="0094644A" w:rsidP="0094644A">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Brazilijos pusėje Darbo partijos (</w:t>
      </w:r>
      <w:proofErr w:type="spellStart"/>
      <w:r w:rsidRPr="001B7B64">
        <w:rPr>
          <w:rFonts w:ascii="Times New Roman" w:eastAsia="Times New Roman" w:hAnsi="Times New Roman" w:cs="Times New Roman"/>
          <w:color w:val="1E1E21"/>
          <w:lang w:eastAsia="lt-LT"/>
        </w:rPr>
        <w:t>Lulos</w:t>
      </w:r>
      <w:proofErr w:type="spellEnd"/>
      <w:r w:rsidRPr="001B7B64">
        <w:rPr>
          <w:rFonts w:ascii="Times New Roman" w:eastAsia="Times New Roman" w:hAnsi="Times New Roman" w:cs="Times New Roman"/>
          <w:color w:val="1E1E21"/>
          <w:lang w:eastAsia="lt-LT"/>
        </w:rPr>
        <w:t xml:space="preserve">) vadovaujama vyriausybė pasielgė dviprasmiškai, per anksti paskelbdama apie susitarimo pasirašymą 20 d. ir pareikšdama, kad nesutiks su atidėjimu. Šie pareiškimai privertė atsitraukti ir dabar nepaliko kitos išeities, kaip tik susitaikyti su neapibrėžtu atidėjimu, siekiant išlaikyti bendrą </w:t>
      </w:r>
      <w:proofErr w:type="spellStart"/>
      <w:r w:rsidRPr="001B7B64">
        <w:rPr>
          <w:rFonts w:ascii="Times New Roman" w:eastAsia="Times New Roman" w:hAnsi="Times New Roman" w:cs="Times New Roman"/>
          <w:color w:val="1E1E21"/>
          <w:lang w:eastAsia="lt-LT"/>
        </w:rPr>
        <w:t>Mercosur</w:t>
      </w:r>
      <w:proofErr w:type="spellEnd"/>
      <w:r w:rsidRPr="001B7B64">
        <w:rPr>
          <w:rFonts w:ascii="Times New Roman" w:eastAsia="Times New Roman" w:hAnsi="Times New Roman" w:cs="Times New Roman"/>
          <w:color w:val="1E1E21"/>
          <w:lang w:eastAsia="lt-LT"/>
        </w:rPr>
        <w:t xml:space="preserve"> poziciją. </w:t>
      </w:r>
    </w:p>
    <w:p w14:paraId="0E00C743" w14:textId="77777777" w:rsidR="0094644A" w:rsidRPr="001B7B64" w:rsidRDefault="0094644A" w:rsidP="0094644A">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Brazilijos požiūriu, susitarimas kelia didelių iššūkių jos pramonės įmonėms. Kad galėtų pasinaudoti gautomis tarifų lengvatomis ir išlaikyti savo vidaus rinkos dalį, pramonė turės gerokai pagerinti savo konkurencingumą ir gauti lygias teises, palyginti su kitose šalyse pagamintais produktais. Be to, bus sunku konkuruoti Europos rinkoje.</w:t>
      </w:r>
    </w:p>
    <w:p w14:paraId="4EE9078B" w14:textId="77777777" w:rsidR="0094644A" w:rsidRPr="001B7B64" w:rsidRDefault="0094644A" w:rsidP="0094644A">
      <w:pPr>
        <w:rPr>
          <w:rFonts w:ascii="Times New Roman" w:eastAsia="Times New Roman" w:hAnsi="Times New Roman" w:cs="Times New Roman"/>
          <w:color w:val="1E1E21"/>
          <w:lang w:eastAsia="lt-LT"/>
        </w:rPr>
      </w:pPr>
      <w:proofErr w:type="spellStart"/>
      <w:r w:rsidRPr="001B7B64">
        <w:rPr>
          <w:rFonts w:ascii="Times New Roman" w:eastAsia="Times New Roman" w:hAnsi="Times New Roman" w:cs="Times New Roman"/>
          <w:color w:val="1E1E21"/>
          <w:lang w:eastAsia="lt-LT"/>
        </w:rPr>
        <w:t>Mercosur</w:t>
      </w:r>
      <w:proofErr w:type="spellEnd"/>
      <w:r w:rsidRPr="001B7B64">
        <w:rPr>
          <w:rFonts w:ascii="Times New Roman" w:eastAsia="Times New Roman" w:hAnsi="Times New Roman" w:cs="Times New Roman"/>
          <w:color w:val="1E1E21"/>
          <w:lang w:eastAsia="lt-LT"/>
        </w:rPr>
        <w:t xml:space="preserve"> kontekste momentas taip pat sudėtingas dėl pavienių Argentinos veiksmų, kuri paprašė lankstumo ir pasirašė prekybos ir investicijų susitarimą su JAV; ir Urugvajaus, kuris pradėjo derybas su Ramiojo vandenyno partnerystės šalimis.</w:t>
      </w:r>
    </w:p>
    <w:p w14:paraId="5CD32DCB" w14:textId="77777777" w:rsidR="0094644A" w:rsidRPr="00771A1E" w:rsidRDefault="0094644A" w:rsidP="0094644A">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Po to, kai </w:t>
      </w:r>
      <w:proofErr w:type="spellStart"/>
      <w:r w:rsidRPr="001B7B64">
        <w:rPr>
          <w:rFonts w:ascii="Times New Roman" w:eastAsia="Times New Roman" w:hAnsi="Times New Roman" w:cs="Times New Roman"/>
          <w:color w:val="1E1E21"/>
          <w:lang w:eastAsia="lt-LT"/>
        </w:rPr>
        <w:t>Mercosur</w:t>
      </w:r>
      <w:proofErr w:type="spellEnd"/>
      <w:r w:rsidRPr="001B7B64">
        <w:rPr>
          <w:rFonts w:ascii="Times New Roman" w:eastAsia="Times New Roman" w:hAnsi="Times New Roman" w:cs="Times New Roman"/>
          <w:color w:val="1E1E21"/>
          <w:lang w:eastAsia="lt-LT"/>
        </w:rPr>
        <w:t xml:space="preserve"> šalys sutiko su vienašališku protekcionistinių apsaugos priemonių įvedimu ir su pasirašymo atidėjimui iki sausio 12 d., jei pasirašymas vis tiek neįvyks, </w:t>
      </w:r>
      <w:proofErr w:type="spellStart"/>
      <w:r w:rsidRPr="001B7B64">
        <w:rPr>
          <w:rFonts w:ascii="Times New Roman" w:eastAsia="Times New Roman" w:hAnsi="Times New Roman" w:cs="Times New Roman"/>
          <w:color w:val="1E1E21"/>
          <w:lang w:eastAsia="lt-LT"/>
        </w:rPr>
        <w:t>Mercosur</w:t>
      </w:r>
      <w:proofErr w:type="spellEnd"/>
      <w:r w:rsidRPr="001B7B64">
        <w:rPr>
          <w:rFonts w:ascii="Times New Roman" w:eastAsia="Times New Roman" w:hAnsi="Times New Roman" w:cs="Times New Roman"/>
          <w:color w:val="1E1E21"/>
          <w:lang w:eastAsia="lt-LT"/>
        </w:rPr>
        <w:t xml:space="preserve"> šalių strateginė kantrybė turėtų išsekti ir grupė turėtų paskelbti, kad derybos oficialiai baigtos. </w:t>
      </w:r>
      <w:proofErr w:type="spellStart"/>
      <w:r w:rsidRPr="001B7B64">
        <w:rPr>
          <w:rFonts w:ascii="Times New Roman" w:eastAsia="Times New Roman" w:hAnsi="Times New Roman" w:cs="Times New Roman"/>
          <w:color w:val="1E1E21"/>
          <w:lang w:eastAsia="lt-LT"/>
        </w:rPr>
        <w:t>Mercosur</w:t>
      </w:r>
      <w:proofErr w:type="spellEnd"/>
      <w:r w:rsidRPr="001B7B64">
        <w:rPr>
          <w:rFonts w:ascii="Times New Roman" w:eastAsia="Times New Roman" w:hAnsi="Times New Roman" w:cs="Times New Roman"/>
          <w:color w:val="1E1E21"/>
          <w:lang w:eastAsia="lt-LT"/>
        </w:rPr>
        <w:t xml:space="preserve"> tada turėtų suteikti pirmenybę Azijai ir prisijungti prie Urugvajaus siekiant susitarimo su buvusia Ramiojo vandenyno partneryste, kurią sudaro 11 Azijos šalių, įskaitant Japoniją.</w:t>
      </w:r>
    </w:p>
    <w:p w14:paraId="2C90BDD5" w14:textId="77777777" w:rsidR="0094644A" w:rsidRPr="001B7B64" w:rsidRDefault="0094644A" w:rsidP="0094644A">
      <w:pPr>
        <w:jc w:val="both"/>
        <w:rPr>
          <w:rFonts w:ascii="Times New Roman" w:hAnsi="Times New Roman" w:cs="Times New Roman"/>
          <w:b/>
          <w:bCs/>
        </w:rPr>
      </w:pPr>
    </w:p>
    <w:p w14:paraId="47CF5C3C" w14:textId="77777777" w:rsidR="0094644A" w:rsidRPr="001B7B64" w:rsidRDefault="0094644A" w:rsidP="0094644A">
      <w:pPr>
        <w:shd w:val="clear" w:color="auto" w:fill="FFFFFF"/>
        <w:textAlignment w:val="baseline"/>
        <w:rPr>
          <w:rFonts w:ascii="Times New Roman" w:eastAsia="Times New Roman" w:hAnsi="Times New Roman" w:cs="Times New Roman"/>
          <w:color w:val="000000"/>
          <w:lang w:eastAsia="lt-LT"/>
        </w:rPr>
      </w:pPr>
      <w:r w:rsidRPr="001B7B64">
        <w:rPr>
          <w:rFonts w:ascii="Times New Roman" w:eastAsia="Times New Roman" w:hAnsi="Times New Roman" w:cs="Times New Roman"/>
          <w:b/>
          <w:bCs/>
          <w:color w:val="000000"/>
          <w:lang w:eastAsia="lt-LT"/>
        </w:rPr>
        <w:t xml:space="preserve">Kadangi dvišalio susitarimo tarp </w:t>
      </w:r>
      <w:proofErr w:type="spellStart"/>
      <w:r w:rsidRPr="001B7B64">
        <w:rPr>
          <w:rFonts w:ascii="Times New Roman" w:eastAsia="Times New Roman" w:hAnsi="Times New Roman" w:cs="Times New Roman"/>
          <w:b/>
          <w:bCs/>
          <w:color w:val="000000"/>
          <w:lang w:eastAsia="lt-LT"/>
        </w:rPr>
        <w:t>Mercosur</w:t>
      </w:r>
      <w:proofErr w:type="spellEnd"/>
      <w:r w:rsidRPr="001B7B64">
        <w:rPr>
          <w:rFonts w:ascii="Times New Roman" w:eastAsia="Times New Roman" w:hAnsi="Times New Roman" w:cs="Times New Roman"/>
          <w:b/>
          <w:bCs/>
          <w:color w:val="000000"/>
          <w:lang w:eastAsia="lt-LT"/>
        </w:rPr>
        <w:t xml:space="preserve"> ir ES pasirašymas atidėtas iki 2026 m. sausio mėn., prezidentas Luizas </w:t>
      </w:r>
      <w:proofErr w:type="spellStart"/>
      <w:r w:rsidRPr="001B7B64">
        <w:rPr>
          <w:rFonts w:ascii="Times New Roman" w:eastAsia="Times New Roman" w:hAnsi="Times New Roman" w:cs="Times New Roman"/>
          <w:b/>
          <w:bCs/>
          <w:color w:val="000000"/>
          <w:lang w:eastAsia="lt-LT"/>
        </w:rPr>
        <w:t>Inácio</w:t>
      </w:r>
      <w:proofErr w:type="spellEnd"/>
      <w:r w:rsidRPr="001B7B64">
        <w:rPr>
          <w:rFonts w:ascii="Times New Roman" w:eastAsia="Times New Roman" w:hAnsi="Times New Roman" w:cs="Times New Roman"/>
          <w:b/>
          <w:bCs/>
          <w:color w:val="000000"/>
          <w:lang w:eastAsia="lt-LT"/>
        </w:rPr>
        <w:t xml:space="preserve"> </w:t>
      </w:r>
      <w:proofErr w:type="spellStart"/>
      <w:r w:rsidRPr="001B7B64">
        <w:rPr>
          <w:rFonts w:ascii="Times New Roman" w:eastAsia="Times New Roman" w:hAnsi="Times New Roman" w:cs="Times New Roman"/>
          <w:b/>
          <w:bCs/>
          <w:color w:val="000000"/>
          <w:lang w:eastAsia="lt-LT"/>
        </w:rPr>
        <w:t>Lula</w:t>
      </w:r>
      <w:proofErr w:type="spellEnd"/>
      <w:r w:rsidRPr="001B7B64">
        <w:rPr>
          <w:rFonts w:ascii="Times New Roman" w:eastAsia="Times New Roman" w:hAnsi="Times New Roman" w:cs="Times New Roman"/>
          <w:b/>
          <w:bCs/>
          <w:color w:val="000000"/>
          <w:lang w:eastAsia="lt-LT"/>
        </w:rPr>
        <w:t xml:space="preserve"> da Silva vasario mėnesį suplanavo keliones į Indiją ir Pietų Korėją</w:t>
      </w:r>
      <w:r w:rsidRPr="001B7B64">
        <w:rPr>
          <w:rFonts w:ascii="Times New Roman" w:eastAsia="Times New Roman" w:hAnsi="Times New Roman" w:cs="Times New Roman"/>
          <w:color w:val="000000"/>
          <w:lang w:eastAsia="lt-LT"/>
        </w:rPr>
        <w:t xml:space="preserve">, siekdamas išplėsti prekybinius santykius su šiomis dviem šalimis. Jis taip pat balandžio mėnesį </w:t>
      </w:r>
      <w:r w:rsidRPr="001B7B64">
        <w:rPr>
          <w:rFonts w:ascii="Times New Roman" w:eastAsia="Times New Roman" w:hAnsi="Times New Roman" w:cs="Times New Roman"/>
          <w:b/>
          <w:bCs/>
          <w:color w:val="000000"/>
          <w:lang w:eastAsia="lt-LT"/>
        </w:rPr>
        <w:t xml:space="preserve">turėtų dalyvauti Hanoverio mugėje </w:t>
      </w:r>
      <w:r w:rsidRPr="001B7B64">
        <w:rPr>
          <w:rFonts w:ascii="Times New Roman" w:eastAsia="Times New Roman" w:hAnsi="Times New Roman" w:cs="Times New Roman"/>
          <w:color w:val="000000"/>
          <w:lang w:eastAsia="lt-LT"/>
        </w:rPr>
        <w:t>Vokietijoje, kur esą reklamuos Brazilijoje pagamintą kurą, išskiriantį mažiau anglies dioksido (CO2).</w:t>
      </w:r>
    </w:p>
    <w:p w14:paraId="54F223E4" w14:textId="77777777" w:rsidR="00733885" w:rsidRPr="00735A34" w:rsidRDefault="00733885" w:rsidP="00733885">
      <w:pPr>
        <w:shd w:val="clear" w:color="auto" w:fill="FFFFFF"/>
        <w:rPr>
          <w:rFonts w:ascii="Times New Roman" w:eastAsia="Times New Roman" w:hAnsi="Times New Roman" w:cs="Times New Roman"/>
          <w:color w:val="1F1D1D"/>
          <w:lang w:eastAsia="lt-LT"/>
        </w:rPr>
      </w:pPr>
    </w:p>
    <w:p w14:paraId="6857D7C3" w14:textId="77777777" w:rsidR="00733885" w:rsidRPr="001B7B64" w:rsidRDefault="00733885" w:rsidP="00733885">
      <w:pPr>
        <w:rPr>
          <w:rFonts w:ascii="Times New Roman" w:eastAsia="Times New Roman" w:hAnsi="Times New Roman" w:cs="Times New Roman"/>
          <w:b/>
          <w:bCs/>
          <w:color w:val="1E1E21"/>
          <w:lang w:eastAsia="lt-LT"/>
        </w:rPr>
      </w:pPr>
      <w:r w:rsidRPr="001B7B64">
        <w:rPr>
          <w:rFonts w:ascii="Times New Roman" w:eastAsia="Times New Roman" w:hAnsi="Times New Roman" w:cs="Times New Roman"/>
          <w:b/>
          <w:bCs/>
          <w:color w:val="1E1E21"/>
          <w:lang w:eastAsia="lt-LT"/>
        </w:rPr>
        <w:t xml:space="preserve">Brazilijos bendrovės JBS eksportuotos jautienos į Europą siunta buvo atšaukta, ES įtarus, kad siuntose yra </w:t>
      </w:r>
      <w:proofErr w:type="spellStart"/>
      <w:r w:rsidRPr="001B7B64">
        <w:rPr>
          <w:rFonts w:ascii="Times New Roman" w:eastAsia="Times New Roman" w:hAnsi="Times New Roman" w:cs="Times New Roman"/>
          <w:b/>
          <w:bCs/>
          <w:color w:val="1E1E21"/>
          <w:lang w:eastAsia="lt-LT"/>
        </w:rPr>
        <w:t>estradiolio</w:t>
      </w:r>
      <w:proofErr w:type="spellEnd"/>
      <w:r w:rsidRPr="001B7B64">
        <w:rPr>
          <w:rFonts w:ascii="Times New Roman" w:eastAsia="Times New Roman" w:hAnsi="Times New Roman" w:cs="Times New Roman"/>
          <w:b/>
          <w:bCs/>
          <w:color w:val="1E1E21"/>
          <w:lang w:eastAsia="lt-LT"/>
        </w:rPr>
        <w:t>, reprodukcinio hormono, kuris ES yra draudžiamas.</w:t>
      </w:r>
    </w:p>
    <w:p w14:paraId="0CFD504D"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Europos Komisija lapkričio viduryje įsakė pašalinti mėsą iš mažmeninės prekybos. Siunta buvo atvežta iš JBS padalinio </w:t>
      </w:r>
      <w:proofErr w:type="spellStart"/>
      <w:r w:rsidRPr="001B7B64">
        <w:rPr>
          <w:rFonts w:ascii="Times New Roman" w:eastAsia="Times New Roman" w:hAnsi="Times New Roman" w:cs="Times New Roman"/>
          <w:color w:val="1E1E21"/>
          <w:lang w:eastAsia="lt-LT"/>
        </w:rPr>
        <w:t>Campo</w:t>
      </w:r>
      <w:proofErr w:type="spellEnd"/>
      <w:r w:rsidRPr="001B7B64">
        <w:rPr>
          <w:rFonts w:ascii="Times New Roman" w:eastAsia="Times New Roman" w:hAnsi="Times New Roman" w:cs="Times New Roman"/>
          <w:color w:val="1E1E21"/>
          <w:lang w:eastAsia="lt-LT"/>
        </w:rPr>
        <w:t xml:space="preserve"> Grande.</w:t>
      </w:r>
    </w:p>
    <w:p w14:paraId="6CFE4222"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Brazilijos žemės ūkio ministerija išsiuntė oficialius laiškus </w:t>
      </w:r>
      <w:proofErr w:type="spellStart"/>
      <w:r w:rsidRPr="001B7B64">
        <w:rPr>
          <w:rFonts w:ascii="Times New Roman" w:eastAsia="Times New Roman" w:hAnsi="Times New Roman" w:cs="Times New Roman"/>
          <w:color w:val="1E1E21"/>
          <w:lang w:eastAsia="lt-LT"/>
        </w:rPr>
        <w:t>Campo</w:t>
      </w:r>
      <w:proofErr w:type="spellEnd"/>
      <w:r w:rsidRPr="001B7B64">
        <w:rPr>
          <w:rFonts w:ascii="Times New Roman" w:eastAsia="Times New Roman" w:hAnsi="Times New Roman" w:cs="Times New Roman"/>
          <w:color w:val="1E1E21"/>
          <w:lang w:eastAsia="lt-LT"/>
        </w:rPr>
        <w:t xml:space="preserve"> Grande Gyvūnų produktų inspekcijos tarnybai (</w:t>
      </w:r>
      <w:proofErr w:type="spellStart"/>
      <w:r w:rsidRPr="001B7B64">
        <w:rPr>
          <w:rFonts w:ascii="Times New Roman" w:eastAsia="Times New Roman" w:hAnsi="Times New Roman" w:cs="Times New Roman"/>
          <w:color w:val="1E1E21"/>
          <w:lang w:eastAsia="lt-LT"/>
        </w:rPr>
        <w:t>Sipoa</w:t>
      </w:r>
      <w:proofErr w:type="spellEnd"/>
      <w:r w:rsidRPr="001B7B64">
        <w:rPr>
          <w:rFonts w:ascii="Times New Roman" w:eastAsia="Times New Roman" w:hAnsi="Times New Roman" w:cs="Times New Roman"/>
          <w:color w:val="1E1E21"/>
          <w:lang w:eastAsia="lt-LT"/>
        </w:rPr>
        <w:t>), informuodama juos, kad Italija, Nyderlandai ir Ispanija pranešė apie įtarimus.</w:t>
      </w:r>
    </w:p>
    <w:p w14:paraId="713BF9FA"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JBS atsakė, kad 20 tonų mėsos siunta, kurią ji eksportavo į ES, buvo gauta iš vieno valstijos ūkio. Spalio mėnesį Žemės ūkio ministerijos atliktas auditas tiekiančiame ūkyje nustatė neatitikimą informacijoje apie hormono </w:t>
      </w:r>
      <w:proofErr w:type="spellStart"/>
      <w:r w:rsidRPr="001B7B64">
        <w:rPr>
          <w:rFonts w:ascii="Times New Roman" w:eastAsia="Times New Roman" w:hAnsi="Times New Roman" w:cs="Times New Roman"/>
          <w:color w:val="1E1E21"/>
          <w:lang w:eastAsia="lt-LT"/>
        </w:rPr>
        <w:t>estradiolio</w:t>
      </w:r>
      <w:proofErr w:type="spellEnd"/>
      <w:r w:rsidRPr="001B7B64">
        <w:rPr>
          <w:rFonts w:ascii="Times New Roman" w:eastAsia="Times New Roman" w:hAnsi="Times New Roman" w:cs="Times New Roman"/>
          <w:color w:val="1E1E21"/>
          <w:lang w:eastAsia="lt-LT"/>
        </w:rPr>
        <w:t xml:space="preserve"> naudojimą, apie kurį vėliau ES pranešė Brazilijos valdžios institucijos. Tada Europos Komisija, laikydamasi savo protokolų, paprašė atšaukti prekes. </w:t>
      </w:r>
    </w:p>
    <w:p w14:paraId="24F1CDC1"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JBS taip pat teigė, kad spalio mėnesį gavo informacijos iš Žemės ūkio ministerijos apie sertifikavimo įstaigos, atsakingos už dokumentacijos garantavimą, ir ūkio veiklos sustabdymą. JBS taip pat pareiškė, kad nutraukė šio tiekėjo gyvulių mėsos eksportą į Europą.</w:t>
      </w:r>
    </w:p>
    <w:p w14:paraId="6B6F282C"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Paveiktos daugiau nei dešimt šalių: Austrija, Belgija, Kipras, Kroatija, Čekija, Vokietija, Graikija, Italija, Nyderlandai ir Slovakija, be to, JK.</w:t>
      </w:r>
    </w:p>
    <w:p w14:paraId="1A155FD8"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p>
    <w:p w14:paraId="410A9877" w14:textId="77777777" w:rsidR="00733885" w:rsidRPr="001B7B64" w:rsidRDefault="00733885" w:rsidP="00733885">
      <w:pPr>
        <w:shd w:val="clear" w:color="auto" w:fill="FFFFFF"/>
        <w:rPr>
          <w:rFonts w:ascii="Times New Roman" w:eastAsia="Times New Roman" w:hAnsi="Times New Roman" w:cs="Times New Roman"/>
          <w:b/>
          <w:bCs/>
          <w:color w:val="333333"/>
          <w:lang w:eastAsia="lt-LT"/>
        </w:rPr>
      </w:pPr>
      <w:r w:rsidRPr="001B7B64">
        <w:rPr>
          <w:rFonts w:ascii="Times New Roman" w:eastAsia="Times New Roman" w:hAnsi="Times New Roman" w:cs="Times New Roman"/>
          <w:b/>
          <w:bCs/>
          <w:color w:val="333333"/>
          <w:lang w:eastAsia="lt-LT"/>
        </w:rPr>
        <w:t>Nuo sausio iki lapkričio mėnesio Brazilija importavo žaliavų, žemės ūkio technikos ir maisto produktų už 36 mlrd. JAV dolerių, tai yra 13 % daugiau nei 2024 m.</w:t>
      </w:r>
    </w:p>
    <w:p w14:paraId="4E87F382"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 xml:space="preserve">Žemės ūkio gamyboje naudojamų derliaus nuėmimo mašinų, traktorių ir kitos technikos importas iš viso sudarė 1,2 mlrd. JAV dolerių, t. y. 7 % daugiau nei 2024 m. išlaidos. Derliaus nuėmimo įrangos importas sumažėjo iki 235 mln. JAV dolerių, t. y. 8 % mažiau, o traktorių importas išliko stabilus – 328 mln. JAV dolerių. Šiame traktorių segmente Kinija ir Indija pagal pasiūlą aplenkė JAV. Importuojamų produktų sąrašą užbaigia miškininkystės, paukštininkystės, sodininkystės, melžimo ir grūdų valymo mašinos, o Kinija taip pat išsiskiria savo pasiūla. </w:t>
      </w:r>
    </w:p>
    <w:p w14:paraId="509599BE"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b/>
          <w:bCs/>
          <w:color w:val="333333"/>
          <w:lang w:eastAsia="lt-LT"/>
        </w:rPr>
        <w:lastRenderedPageBreak/>
        <w:t xml:space="preserve">Brazilija, viena pagrindinių maisto tiekėjų pasaulyje, </w:t>
      </w:r>
      <w:r w:rsidRPr="001B7B64">
        <w:rPr>
          <w:rFonts w:ascii="Times New Roman" w:eastAsia="Times New Roman" w:hAnsi="Times New Roman" w:cs="Times New Roman"/>
          <w:b/>
          <w:bCs/>
          <w:color w:val="333333"/>
          <w:u w:val="single"/>
          <w:lang w:eastAsia="lt-LT"/>
        </w:rPr>
        <w:t>taip pat yra importuotoja</w:t>
      </w:r>
      <w:r w:rsidRPr="001B7B64">
        <w:rPr>
          <w:rFonts w:ascii="Times New Roman" w:eastAsia="Times New Roman" w:hAnsi="Times New Roman" w:cs="Times New Roman"/>
          <w:color w:val="333333"/>
          <w:lang w:eastAsia="lt-LT"/>
        </w:rPr>
        <w:t xml:space="preserve">. Iki lapkričio mėnesio sektoriaus pirkimai siekė 14,6 mlrd. JAV dolerių, t. y. 3 % daugiau. </w:t>
      </w:r>
      <w:r w:rsidRPr="001B7B64">
        <w:rPr>
          <w:rFonts w:ascii="Times New Roman" w:eastAsia="Times New Roman" w:hAnsi="Times New Roman" w:cs="Times New Roman"/>
          <w:b/>
          <w:bCs/>
          <w:color w:val="333333"/>
          <w:lang w:eastAsia="lt-LT"/>
        </w:rPr>
        <w:t>Pirmauja kviečiai</w:t>
      </w:r>
      <w:r w:rsidRPr="001B7B64">
        <w:rPr>
          <w:rFonts w:ascii="Times New Roman" w:eastAsia="Times New Roman" w:hAnsi="Times New Roman" w:cs="Times New Roman"/>
          <w:color w:val="333333"/>
          <w:lang w:eastAsia="lt-LT"/>
        </w:rPr>
        <w:t xml:space="preserve"> </w:t>
      </w:r>
      <w:r w:rsidRPr="001B7B64">
        <w:rPr>
          <w:rFonts w:ascii="Times New Roman" w:eastAsia="Times New Roman" w:hAnsi="Times New Roman" w:cs="Times New Roman"/>
          <w:b/>
          <w:bCs/>
          <w:color w:val="333333"/>
          <w:lang w:eastAsia="lt-LT"/>
        </w:rPr>
        <w:t>– iš viso 6,2 mln. tonų</w:t>
      </w:r>
      <w:r w:rsidRPr="001B7B64">
        <w:rPr>
          <w:rFonts w:ascii="Times New Roman" w:eastAsia="Times New Roman" w:hAnsi="Times New Roman" w:cs="Times New Roman"/>
          <w:color w:val="333333"/>
          <w:lang w:eastAsia="lt-LT"/>
        </w:rPr>
        <w:t>. Po rekordinio 10,5 mln. tonų derliaus 2022 m. Brazilija gauna mažesnę produkciją. Šių metų derlius siekė 7,9 mln. tonų.</w:t>
      </w:r>
    </w:p>
    <w:p w14:paraId="1637EDDC" w14:textId="77777777" w:rsidR="00733885" w:rsidRPr="002A3B7E"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 xml:space="preserve">Svarbiausi importo produktai vis dar yra ryžiai, kukurūzai, </w:t>
      </w:r>
      <w:r w:rsidRPr="001B7B64">
        <w:rPr>
          <w:rFonts w:ascii="Times New Roman" w:eastAsia="Times New Roman" w:hAnsi="Times New Roman" w:cs="Times New Roman"/>
          <w:b/>
          <w:bCs/>
          <w:color w:val="333333"/>
          <w:lang w:eastAsia="lt-LT"/>
        </w:rPr>
        <w:t>pienas, miežiai</w:t>
      </w:r>
      <w:r w:rsidRPr="001B7B64">
        <w:rPr>
          <w:rFonts w:ascii="Times New Roman" w:eastAsia="Times New Roman" w:hAnsi="Times New Roman" w:cs="Times New Roman"/>
          <w:color w:val="333333"/>
          <w:lang w:eastAsia="lt-LT"/>
        </w:rPr>
        <w:t xml:space="preserve"> ir kava. Brazilija padidino pirkimus iš Šveicarijos, Prancūzijos ir Vietnamo. Iš viso buvo importuota 10 900 tonų, tai yra 96 ​​% daugiau nei 2024 m. Šveicarija atsiuntė 2 056 tonas skrudintos kavos, o vietnamiečiai – 4 836 tonas neskrudintos kavos.</w:t>
      </w:r>
    </w:p>
    <w:p w14:paraId="60C587B3"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p>
    <w:p w14:paraId="14F3BADE"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b/>
          <w:bCs/>
          <w:color w:val="333333"/>
          <w:lang w:eastAsia="lt-LT"/>
        </w:rPr>
        <w:t>Prekyba žemės ūkio sektoriuje tarp Brazilijos ir Kinijos pradeda keistis. Pirmą kartą Kinija lenkia Rusiją pagal trąšų tiekimą Brazilijai pagal kiekį.</w:t>
      </w:r>
      <w:r w:rsidRPr="001B7B64">
        <w:rPr>
          <w:rFonts w:ascii="Times New Roman" w:eastAsia="Times New Roman" w:hAnsi="Times New Roman" w:cs="Times New Roman"/>
          <w:color w:val="333333"/>
          <w:lang w:eastAsia="lt-LT"/>
        </w:rPr>
        <w:t xml:space="preserve"> Brazilai nuo sausio iki spalio mėnesio importavo 9,77 mln. tonų trąšų iš Kinijos – šiek tiek daugiau nei iš Rusijos (9,72 mln. tonų), tačiau tiekimo iš Kinijos tempas didėja. Brazilijos pirkimai iš Kinijos šiais metais išaugo 51 %, palyginti su tuo pačiu laikotarpiu praėjusiais metais. Derybos su rusais atnešė tik 5,6 % augimą. </w:t>
      </w:r>
    </w:p>
    <w:p w14:paraId="65548C25"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Brazilijos derybos su Kinija išsiskiria amonio sulfato sektoriuje. Rusija išlieka strategine kalio chlorido tiekėja. Šios dvi šalys yra atsakingos už 50 % Brazilijos importuojamų trąšų kiekio.</w:t>
      </w:r>
    </w:p>
    <w:p w14:paraId="77915BCD"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 xml:space="preserve">Brazilijos amonio sulfato pirkimai šiais metais ir toliau stebina. Tačiau kalio chlorido pirkimai prarado jėgą dėl ne sezono fazės. Per pirmuosius dešimt šių metų mėnesių bendras trąšų importas siekė 38,3 mln. tonų, tai yra 4,6 % daugiau nei tuo pačiu 2024 m. laikotarpiu. </w:t>
      </w:r>
      <w:r w:rsidRPr="001B7B64">
        <w:rPr>
          <w:rFonts w:ascii="Times New Roman" w:eastAsia="Times New Roman" w:hAnsi="Times New Roman" w:cs="Times New Roman"/>
          <w:b/>
          <w:bCs/>
          <w:color w:val="333333"/>
          <w:lang w:eastAsia="lt-LT"/>
        </w:rPr>
        <w:t>Išlaidos trąšų pirkimams išaugo 16 % ir šiais metais siekė 13,2 mlrd. JAV dolerių</w:t>
      </w:r>
      <w:r w:rsidRPr="001B7B64">
        <w:rPr>
          <w:rFonts w:ascii="Times New Roman" w:eastAsia="Times New Roman" w:hAnsi="Times New Roman" w:cs="Times New Roman"/>
          <w:color w:val="333333"/>
          <w:lang w:eastAsia="lt-LT"/>
        </w:rPr>
        <w:t>. Tarp penkių pagrindinių trąšų tiekėjų Brazilijai pagal kiekius yra Kinija, Rusija, Kanada, Marokas ir Egiptas.</w:t>
      </w:r>
    </w:p>
    <w:p w14:paraId="1E7BCB0D" w14:textId="77777777" w:rsidR="00733885" w:rsidRPr="001B7B64"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Manoma, kad fosfatų kainų kilimo perspektyvos nėra, nes paklausa Brazilijoje, Indijoje ir JAV yra silpna. Kalio trąšų kainos yra stabilios dėl Kinijos pirkėjų nebuvimo ir turimų atsargų Brazilijoje ir JAV. Kita vertus, azoto trąšų rinka yra nepastovesnė. Kinija didina pasiūlą, tačiau Indija įžengia į pirkimo rinką.</w:t>
      </w:r>
    </w:p>
    <w:p w14:paraId="0E2963B4" w14:textId="77777777" w:rsidR="00733885" w:rsidRPr="008B5381" w:rsidRDefault="00733885" w:rsidP="00733885">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 xml:space="preserve">Brazilijos Nacionalinės trąšų platinimo asociacijos (ANDA, </w:t>
      </w:r>
      <w:hyperlink r:id="rId5" w:history="1">
        <w:r w:rsidRPr="001B7B64">
          <w:rPr>
            <w:rStyle w:val="Hyperlink"/>
            <w:rFonts w:ascii="Times New Roman" w:eastAsia="Times New Roman" w:hAnsi="Times New Roman" w:cs="Times New Roman"/>
            <w:lang w:eastAsia="lt-LT"/>
          </w:rPr>
          <w:t>https://anda.org.br</w:t>
        </w:r>
      </w:hyperlink>
      <w:r w:rsidRPr="001B7B64">
        <w:rPr>
          <w:rFonts w:ascii="Times New Roman" w:eastAsia="Times New Roman" w:hAnsi="Times New Roman" w:cs="Times New Roman"/>
          <w:color w:val="333333"/>
          <w:lang w:eastAsia="lt-LT"/>
        </w:rPr>
        <w:t>)    duomenimis, ūkininkai šiais metais perka daugiau trąšų. Iki rugpjūčio mėnesio buvo pristatyta 30,5 mln. tonų, tai yra 9 % daugiau nei 2024 m. Agrocheminių medžiagų (insekticidų, herbicidų, fungicidų ir kitų) importas iki šių metų spalio mėn. sudarė 863 000 tonų, o išlaidos siekė 4,67 mlrd. JAV dolerių. Importo apimtis padidėjo 33 %, o išlaidos importui – 21 %. Kinija tiekia 70 % šio kiekio, po jos seka Indija – 11 %.</w:t>
      </w:r>
    </w:p>
    <w:p w14:paraId="64E2A9C9" w14:textId="77777777" w:rsidR="00733885" w:rsidRPr="001B7B64" w:rsidRDefault="00733885" w:rsidP="00733885">
      <w:pPr>
        <w:jc w:val="both"/>
        <w:rPr>
          <w:rFonts w:ascii="Times New Roman" w:hAnsi="Times New Roman" w:cs="Times New Roman"/>
        </w:rPr>
      </w:pPr>
    </w:p>
    <w:p w14:paraId="30767EA9" w14:textId="77777777" w:rsidR="00733885" w:rsidRPr="001B7B64" w:rsidRDefault="00733885" w:rsidP="00733885">
      <w:pPr>
        <w:rPr>
          <w:rFonts w:ascii="Times New Roman" w:hAnsi="Times New Roman" w:cs="Times New Roman"/>
          <w:b/>
          <w:bCs/>
          <w:lang w:val="pt-BR"/>
        </w:rPr>
      </w:pPr>
      <w:r w:rsidRPr="001B7B64">
        <w:rPr>
          <w:rFonts w:ascii="Times New Roman" w:hAnsi="Times New Roman" w:cs="Times New Roman"/>
          <w:b/>
          <w:bCs/>
        </w:rPr>
        <w:t xml:space="preserve">2025 m. Brazilijos cheminių produktų importas išaugo iki 72 mlrd. </w:t>
      </w:r>
      <w:r w:rsidRPr="001B7B64">
        <w:rPr>
          <w:rFonts w:ascii="Times New Roman" w:hAnsi="Times New Roman" w:cs="Times New Roman"/>
          <w:b/>
          <w:bCs/>
          <w:lang w:val="pt-BR"/>
        </w:rPr>
        <w:t>JAV dolerių, 13 % daugiau nei 2024 m., o eksportas išliko stabilus ir siekė apie 15 mlrd. JAV dolerių – didelis deficitas, kuris atspindi Brazilijos chemijos pramonės konkurencingumo praradimą vis agresyvesnėje tarptautinėje aplinkoje.</w:t>
      </w:r>
    </w:p>
    <w:p w14:paraId="4CE5E7D8"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Kinijai tenka maždaug pusė pasaulinių chemijos pramonės pajamų, kurias remia didelės subsidijos ir prieiga prie pigių žaliavų, ypač rusiškos naftos ir dujų. Savo ruožtu JAV įgijo didžiulį konkurencinį pranašumą iš skalūnų dujų eksploatavimo. Tuo tarpu Brazilijoje žaliavos yra brangios, mokesčių našta didelė, o reguliavimo sistemos nuspėjamumas menkas. Be to, Brazilija netaiko chemijos pramonės skatinimo politikos.</w:t>
      </w:r>
    </w:p>
    <w:p w14:paraId="2AFC2A21"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b/>
          <w:bCs/>
          <w:lang w:val="pt-BR"/>
        </w:rPr>
        <w:t>Be vyriausybės paramos Brazilijos chemijos pramonė negali išgyventi</w:t>
      </w:r>
      <w:r w:rsidRPr="001B7B64">
        <w:rPr>
          <w:rFonts w:ascii="Times New Roman" w:hAnsi="Times New Roman" w:cs="Times New Roman"/>
          <w:lang w:val="pt-BR"/>
        </w:rPr>
        <w:t>. Visame pasaulyje naftos chemijos pramonė priklauso nuo tam tikro laipsnio valstybės paramos – subsidijų, žaliavų tiekimo garantavimo politikos ar infrastruktūros. Brazilijos chemijos pramonei, kuri pagal dydį pasaulyje svyruoja nuo ketvirtos iki šeštos vietos, reikia strateginės valstybės vizijos, kad ji galėtų toliau egzistuoti.</w:t>
      </w:r>
    </w:p>
    <w:p w14:paraId="26E8F39B"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 xml:space="preserve">Negana to, </w:t>
      </w:r>
      <w:r w:rsidRPr="001B7B64">
        <w:rPr>
          <w:rFonts w:ascii="Times New Roman" w:hAnsi="Times New Roman" w:cs="Times New Roman"/>
          <w:b/>
          <w:bCs/>
          <w:lang w:val="pt-BR"/>
        </w:rPr>
        <w:t>Brazilijoje silpnai reguliuojama visa gamtinių dujų grandinė</w:t>
      </w:r>
      <w:r w:rsidRPr="001B7B64">
        <w:rPr>
          <w:rFonts w:ascii="Times New Roman" w:hAnsi="Times New Roman" w:cs="Times New Roman"/>
          <w:lang w:val="pt-BR"/>
        </w:rPr>
        <w:t>: gamyba, transportavimas ir paskirstymas. Tai sektoriai su natūraliomis monopolijomis, todėl reguliavimo funkcija turėtų būti konkurencinės aplinkos imitavimas, siekiant užtikrinti sąžiningus tarifus. Be to, trūksta aiškių taisyklių dėl dujų transportavimo ir perdirbimo infrastruktūros, taip pat dėl ​​tokių klausimų kaip pakartotinis įpurškimas ir fakelų deginimas. Trūksta nuspėjamumo ar nuoseklaus tiekimo plėtros.</w:t>
      </w:r>
    </w:p>
    <w:p w14:paraId="51D63CF3"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Brazilija pirmauja etileno gamyboje iš etanolio, kuris yra pagrindinis chemijos grandinės elementas. Problema yra reguliavimo srityje. Etanolio naudojimas kaip kuras yra skatinamas per CBIO (anglies kreditus), tačiau ši paskata netaikoma naftos chemijos naudojimui. Praktiškai dėl to etanolis tampa brangesnis chemijos pramonei, o tai sukuria iškraipymą, kurį valstybė turi ištaisyti.</w:t>
      </w:r>
    </w:p>
    <w:p w14:paraId="22ED2699"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Naujuoju įstatymo projektu sukuriama speciali chemijos pramonės tvarumo programa, galiosianti iki 2031 m. - tai suteikia daugiau nuspėjamumo, tačiau neišsprendžia visų problemų.</w:t>
      </w:r>
    </w:p>
    <w:p w14:paraId="7EEE79C5" w14:textId="77777777" w:rsidR="00733885" w:rsidRPr="001B7B64" w:rsidRDefault="00733885" w:rsidP="00733885">
      <w:pPr>
        <w:rPr>
          <w:rFonts w:ascii="Times New Roman" w:hAnsi="Times New Roman" w:cs="Times New Roman"/>
          <w:lang w:val="fi-FI"/>
        </w:rPr>
      </w:pPr>
      <w:r w:rsidRPr="001B7B64">
        <w:rPr>
          <w:rFonts w:ascii="Times New Roman" w:hAnsi="Times New Roman" w:cs="Times New Roman"/>
          <w:lang w:val="pt-BR"/>
        </w:rPr>
        <w:t xml:space="preserve">Brazilijos politinis nepastovumas yra papildoma rizika sektoriui, nes chemijos pramonė yra labai imli kapitalui ir laikui. </w:t>
      </w:r>
      <w:r w:rsidRPr="001B7B64">
        <w:rPr>
          <w:rFonts w:ascii="Times New Roman" w:hAnsi="Times New Roman" w:cs="Times New Roman"/>
          <w:lang w:val="fi-FI"/>
        </w:rPr>
        <w:t xml:space="preserve">Kai politika keičiasi su kiekvienu vyriausybės ciklu, tai atgraso nuo naujų projektų. </w:t>
      </w:r>
      <w:r w:rsidRPr="001B7B64">
        <w:rPr>
          <w:rFonts w:ascii="Times New Roman" w:hAnsi="Times New Roman" w:cs="Times New Roman"/>
          <w:lang w:val="fi-FI"/>
        </w:rPr>
        <w:lastRenderedPageBreak/>
        <w:t>Brazilijos chemijos pramonės asociacija Abiquim pasisako už valstybės, o ne vyriausybės politiką, kad investuotojams būtų užtikrintas nuspėjamumas ir saugumas.</w:t>
      </w:r>
    </w:p>
    <w:p w14:paraId="1DC271A1" w14:textId="77777777" w:rsidR="00733885" w:rsidRPr="001B7B64" w:rsidRDefault="00733885" w:rsidP="00733885">
      <w:pPr>
        <w:rPr>
          <w:rFonts w:ascii="Times New Roman" w:hAnsi="Times New Roman" w:cs="Times New Roman"/>
          <w:lang w:val="fi-FI"/>
        </w:rPr>
      </w:pPr>
    </w:p>
    <w:p w14:paraId="315E5145" w14:textId="77777777" w:rsidR="00733885" w:rsidRPr="001B7B64" w:rsidRDefault="00733885" w:rsidP="00733885">
      <w:pPr>
        <w:rPr>
          <w:rFonts w:ascii="Times New Roman" w:hAnsi="Times New Roman" w:cs="Times New Roman"/>
          <w:b/>
          <w:bCs/>
          <w:lang w:val="fi-FI"/>
        </w:rPr>
      </w:pPr>
      <w:r w:rsidRPr="001B7B64">
        <w:rPr>
          <w:rFonts w:ascii="Times New Roman" w:hAnsi="Times New Roman" w:cs="Times New Roman"/>
          <w:b/>
          <w:bCs/>
          <w:lang w:val="fi-FI"/>
        </w:rPr>
        <w:t xml:space="preserve">Per pirmuosius dešimt šių metų mėnesių Nacionalinė sveikatos priežiūros agentūra „Anvisa“ suteikė maždaug 160 000 leidimų importuoti medicininių kanapių pagrindu pagamintus produktus iš užsienio – 13,9 % daugiau nei tuo pačiu 2024 m. laikotarpiu. </w:t>
      </w:r>
    </w:p>
    <w:p w14:paraId="0A609F8F"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Kanapių medicininių produktų platintija „Cannect“ (https://www.cannect.life/ ) generalinio direktoriaus teigimu, šie skaičiai atspindi svarbų medicininės kanapės prieinamumo konsolidavimą Brazilijoje. Vis daugiau pacientų kanapių darinius laiko saugia ir veiksminga alternatyva.</w:t>
      </w:r>
    </w:p>
    <w:p w14:paraId="37D5DC1C"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Šiais metais Brazilijos medicininės kanapės rinka pasiekė 873 000 pacientų ir iki rugsėjo mėnesio uždirbo 970,9 mln. BRL. Tikimasi, kad iki metų pabaigos pasieks 1,2 mlrd. BRL.</w:t>
      </w:r>
    </w:p>
    <w:p w14:paraId="2269E9A0"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„Cannect“ nuolat augo nuo pat įkūrimo 2021 m. Ji teikia integruotą gydymą, kuris neapsiriboja medicinine kanape, taip pat siūlo maisto papildus, vaistažoles ir funkcinius grybus.</w:t>
      </w:r>
    </w:p>
    <w:p w14:paraId="54347597"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Bendrovės duomenų bazėje, kurioje yra daugiau nei 800 sertifikuotų produktų, yra apie 11 000 apmokytų gydytojų ir 11 600 aktyvių vaistų skiriančių gydytojų. Vidutinė mėnesio gydymo kaina sumažėjo 64 % iki 250,00 BRL, o tai rodo didesnį prieinamumą ir efektyvumą.</w:t>
      </w:r>
    </w:p>
    <w:p w14:paraId="7B901338"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lang w:val="pt-BR"/>
        </w:rPr>
        <w:t>Dabartiniai Brazilijos teisės aktai leidžia šalies teritorijoje parduoti tik kai kuriuos iš kanapių pagamintus produktus. Tačiau „Anvisa“ (Brazilijos sveikatos reguliavimo agentūra) leidžia pacientams importuoti vaistus ar kitus produktus, kurių pagrindą sudaro šis augalas, jei juos išrašė gydytojas arba odontologas ir iš anksto išdavė pati agentūra.</w:t>
      </w:r>
    </w:p>
    <w:p w14:paraId="613E44BA" w14:textId="77777777" w:rsidR="00733885" w:rsidRPr="001B7B64" w:rsidRDefault="00733885" w:rsidP="00733885">
      <w:pPr>
        <w:rPr>
          <w:rFonts w:ascii="Times New Roman" w:hAnsi="Times New Roman" w:cs="Times New Roman"/>
          <w:lang w:val="pt-BR"/>
        </w:rPr>
      </w:pPr>
    </w:p>
    <w:p w14:paraId="6C4BA181" w14:textId="217E7FE5" w:rsidR="007F207A" w:rsidRPr="007F207A" w:rsidRDefault="007F207A" w:rsidP="007F207A">
      <w:pPr>
        <w:jc w:val="both"/>
        <w:rPr>
          <w:rFonts w:ascii="Times New Roman" w:eastAsia="Times New Roman" w:hAnsi="Times New Roman" w:cs="Times New Roman"/>
          <w:b/>
          <w:bCs/>
          <w:lang w:eastAsia="lt-LT"/>
        </w:rPr>
      </w:pPr>
      <w:r w:rsidRPr="007F207A">
        <w:rPr>
          <w:rFonts w:ascii="Times New Roman" w:eastAsia="Times New Roman" w:hAnsi="Times New Roman" w:cs="Times New Roman"/>
          <w:b/>
          <w:bCs/>
          <w:lang w:eastAsia="lt-LT"/>
        </w:rPr>
        <w:t>Lietuvos verslo plėtrai užsienyje aktuali informacija</w:t>
      </w:r>
    </w:p>
    <w:p w14:paraId="03942A4F" w14:textId="77777777" w:rsidR="00733885" w:rsidRPr="001B7B64" w:rsidRDefault="00733885" w:rsidP="00733885">
      <w:pPr>
        <w:rPr>
          <w:rFonts w:ascii="Times New Roman" w:eastAsia="Times New Roman" w:hAnsi="Times New Roman" w:cs="Times New Roman"/>
          <w:color w:val="1E1E21"/>
          <w:lang w:eastAsia="lt-LT"/>
        </w:rPr>
      </w:pPr>
    </w:p>
    <w:p w14:paraId="6627D491" w14:textId="77777777" w:rsidR="00733885" w:rsidRPr="001B7B64" w:rsidRDefault="00733885" w:rsidP="00733885">
      <w:pPr>
        <w:rPr>
          <w:rFonts w:ascii="Times New Roman" w:eastAsia="Times New Roman" w:hAnsi="Times New Roman" w:cs="Times New Roman"/>
          <w:b/>
          <w:bCs/>
          <w:color w:val="1E1E21"/>
          <w:lang w:eastAsia="lt-LT"/>
        </w:rPr>
      </w:pPr>
      <w:r w:rsidRPr="001B7B64">
        <w:rPr>
          <w:rFonts w:ascii="Times New Roman" w:eastAsia="Times New Roman" w:hAnsi="Times New Roman" w:cs="Times New Roman"/>
          <w:b/>
          <w:bCs/>
          <w:color w:val="1E1E21"/>
          <w:lang w:eastAsia="lt-LT"/>
        </w:rPr>
        <w:t xml:space="preserve">Pastaraisiais metais Kinijos investicijų į Braziliją profilis radikaliai pasikeitė. Beveik prieš dešimtmetį vyravo dideli susijungimai ir įsigijimai, ypač energetikos srityje. Šiandien sandoriai yra mažesni, tačiau jų daugiau ir liečia daugiau sektorių. Nuo 2022 m. Kinijos žengimas į Braziliją tapo diskretiškesnis, tačiau vis dar galingas.  Smarkiai išaugo plyno lauko investicijų projektų. </w:t>
      </w:r>
    </w:p>
    <w:p w14:paraId="2112B488"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2007–2023 m. Brazilija gavo 73 mlrd. JAV dolerių Kinijos investicijų į 265 patvirtintus projektus. Iš šios sumos 45 % išteklių buvo skirta elektros energijai, 30 % – naftos gavybai, o likusi dalis – pramonės gamybai, kasybai, infrastruktūrai, žemės ūkiui ir kitoms sritims.</w:t>
      </w:r>
    </w:p>
    <w:p w14:paraId="65A4853E"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Po pandemijos prasidėjo precedento neturintis investicijų sektorių diversifikavimas, taip pat mažesnių pirkimų plėtra. 2010–2014 m. vidutinė į kiekvieną projektą investuota vertė siekė 507 mln. JAV dolerių, 2015–2019 m. - 313 mln. JAV dolerių, o 2020 -2024 m. - 112 mln. USD.</w:t>
      </w:r>
    </w:p>
    <w:p w14:paraId="7398926F"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Kinijos užsienio ir pramonės politikai būdingas didelės valstybinės įmonės įsigijimas. Vėliau Kinija dalyvauja mažesnėse investicijose, kurių reikia pastatyti ir eksploatuoti, ir </w:t>
      </w:r>
      <w:r w:rsidRPr="001B7B64">
        <w:rPr>
          <w:rFonts w:ascii="Times New Roman" w:eastAsia="Times New Roman" w:hAnsi="Times New Roman" w:cs="Times New Roman"/>
          <w:b/>
          <w:bCs/>
          <w:color w:val="1E1E21"/>
          <w:lang w:eastAsia="lt-LT"/>
        </w:rPr>
        <w:t>apima visą vertės grandinę. Šalyje įsikuria ir kitos įmonės, daugiausia dirbdamos didelėms Kinijos korporacijoms, atsakingos už inžinerinius projektus, dalių, įrangos ar žaliavų tiekimą kartu su kreditinėmis linijomis iš Kinijos bankų.  Tos įmonės sąveikauja. Tai valstybės politika</w:t>
      </w:r>
      <w:r w:rsidRPr="001B7B64">
        <w:rPr>
          <w:rFonts w:ascii="Times New Roman" w:eastAsia="Times New Roman" w:hAnsi="Times New Roman" w:cs="Times New Roman"/>
          <w:color w:val="1E1E21"/>
          <w:lang w:eastAsia="lt-LT"/>
        </w:rPr>
        <w:t>. Be to, skirtingai nei kitų šalių tarptautinės korporacijos, Kinijos korporacijos šiuo metu taiko politiką reinvestuoti dividendus į vietinę veiklą, o ne siųsti juos patronuojančiai bendrovei. Todėl mažėjo investuotų užsienio kapitalo sumos. Tačiau Kinija turi vietą prie derybų stalo priimant viešosios politikos sprendimus. Tai taip pat turi įtakos ateičiai. Tuo metu, kai apribojimų krizė verčia kitų šalių įmones persvarstyti savo investicijas Brazilijoje dėl rinkos spaudimo, tai yra laikas, kai Kinija įžengia į rinką, perka ir žengia į priekį. Kinijos valstybė žvelgia 50 metų į priekį.</w:t>
      </w:r>
    </w:p>
    <w:p w14:paraId="3F369047" w14:textId="77777777" w:rsidR="00733885" w:rsidRPr="004A3875" w:rsidRDefault="00733885" w:rsidP="00733885">
      <w:pPr>
        <w:rPr>
          <w:rFonts w:ascii="Times New Roman" w:eastAsia="Times New Roman" w:hAnsi="Times New Roman" w:cs="Times New Roman"/>
          <w:color w:val="1E1E21"/>
          <w:lang w:eastAsia="lt-LT"/>
        </w:rPr>
      </w:pPr>
    </w:p>
    <w:p w14:paraId="4DB9E4B9" w14:textId="77777777" w:rsidR="00733885" w:rsidRPr="001B7B64" w:rsidRDefault="00733885" w:rsidP="00733885">
      <w:pPr>
        <w:rPr>
          <w:rFonts w:ascii="Times New Roman" w:hAnsi="Times New Roman" w:cs="Times New Roman"/>
          <w:b/>
          <w:bCs/>
        </w:rPr>
      </w:pPr>
      <w:r w:rsidRPr="001B7B64">
        <w:rPr>
          <w:rFonts w:ascii="Times New Roman" w:hAnsi="Times New Roman" w:cs="Times New Roman"/>
          <w:b/>
          <w:bCs/>
        </w:rPr>
        <w:t>Per 12 veiklos metų „</w:t>
      </w:r>
      <w:proofErr w:type="spellStart"/>
      <w:r w:rsidRPr="001B7B64">
        <w:rPr>
          <w:rFonts w:ascii="Times New Roman" w:hAnsi="Times New Roman" w:cs="Times New Roman"/>
          <w:b/>
          <w:bCs/>
        </w:rPr>
        <w:t>Mercado</w:t>
      </w:r>
      <w:proofErr w:type="spellEnd"/>
      <w:r w:rsidRPr="001B7B64">
        <w:rPr>
          <w:rFonts w:ascii="Times New Roman" w:hAnsi="Times New Roman" w:cs="Times New Roman"/>
          <w:b/>
          <w:bCs/>
        </w:rPr>
        <w:t xml:space="preserve"> </w:t>
      </w:r>
      <w:proofErr w:type="spellStart"/>
      <w:r w:rsidRPr="001B7B64">
        <w:rPr>
          <w:rFonts w:ascii="Times New Roman" w:hAnsi="Times New Roman" w:cs="Times New Roman"/>
          <w:b/>
          <w:bCs/>
        </w:rPr>
        <w:t>Bitcoin</w:t>
      </w:r>
      <w:proofErr w:type="spellEnd"/>
      <w:r w:rsidRPr="001B7B64">
        <w:rPr>
          <w:rFonts w:ascii="Times New Roman" w:hAnsi="Times New Roman" w:cs="Times New Roman"/>
          <w:b/>
          <w:bCs/>
        </w:rPr>
        <w:t xml:space="preserve">“, turinti daugiau nei 4 milijonus klientų, yra pirmaujanti skaitmeninio turto investavimo platforma Lotynų Amerikoje, veikianti kaip </w:t>
      </w:r>
      <w:proofErr w:type="spellStart"/>
      <w:r w:rsidRPr="001B7B64">
        <w:rPr>
          <w:rFonts w:ascii="Times New Roman" w:hAnsi="Times New Roman" w:cs="Times New Roman"/>
          <w:b/>
          <w:bCs/>
        </w:rPr>
        <w:t>kriptovaliutų</w:t>
      </w:r>
      <w:proofErr w:type="spellEnd"/>
      <w:r w:rsidRPr="001B7B64">
        <w:rPr>
          <w:rFonts w:ascii="Times New Roman" w:hAnsi="Times New Roman" w:cs="Times New Roman"/>
          <w:b/>
          <w:bCs/>
        </w:rPr>
        <w:t xml:space="preserve"> tarpininkavimo įmonė, turto </w:t>
      </w:r>
      <w:proofErr w:type="spellStart"/>
      <w:r w:rsidRPr="001B7B64">
        <w:rPr>
          <w:rFonts w:ascii="Times New Roman" w:hAnsi="Times New Roman" w:cs="Times New Roman"/>
          <w:b/>
          <w:bCs/>
        </w:rPr>
        <w:t>tokenizatorius</w:t>
      </w:r>
      <w:proofErr w:type="spellEnd"/>
      <w:r w:rsidRPr="001B7B64">
        <w:rPr>
          <w:rFonts w:ascii="Times New Roman" w:hAnsi="Times New Roman" w:cs="Times New Roman"/>
          <w:b/>
          <w:bCs/>
        </w:rPr>
        <w:t xml:space="preserve"> ir skaitmeninis bankas. Bendrovė, pirmoji Brazilijos </w:t>
      </w:r>
      <w:proofErr w:type="spellStart"/>
      <w:r w:rsidRPr="001B7B64">
        <w:rPr>
          <w:rFonts w:ascii="Times New Roman" w:hAnsi="Times New Roman" w:cs="Times New Roman"/>
          <w:b/>
          <w:bCs/>
        </w:rPr>
        <w:t>kriptovaliutų</w:t>
      </w:r>
      <w:proofErr w:type="spellEnd"/>
      <w:r w:rsidRPr="001B7B64">
        <w:rPr>
          <w:rFonts w:ascii="Times New Roman" w:hAnsi="Times New Roman" w:cs="Times New Roman"/>
          <w:b/>
          <w:bCs/>
        </w:rPr>
        <w:t xml:space="preserve"> </w:t>
      </w:r>
      <w:proofErr w:type="spellStart"/>
      <w:r w:rsidRPr="001B7B64">
        <w:rPr>
          <w:rFonts w:ascii="Times New Roman" w:hAnsi="Times New Roman" w:cs="Times New Roman"/>
          <w:b/>
          <w:bCs/>
        </w:rPr>
        <w:t>vienaragė</w:t>
      </w:r>
      <w:proofErr w:type="spellEnd"/>
      <w:r w:rsidRPr="001B7B64">
        <w:rPr>
          <w:rFonts w:ascii="Times New Roman" w:hAnsi="Times New Roman" w:cs="Times New Roman"/>
          <w:b/>
          <w:bCs/>
        </w:rPr>
        <w:t xml:space="preserve"> ir viena iš penkių didžiausių privačių kredito </w:t>
      </w:r>
      <w:proofErr w:type="spellStart"/>
      <w:r w:rsidRPr="001B7B64">
        <w:rPr>
          <w:rFonts w:ascii="Times New Roman" w:hAnsi="Times New Roman" w:cs="Times New Roman"/>
          <w:b/>
          <w:bCs/>
        </w:rPr>
        <w:t>tokenizatorių</w:t>
      </w:r>
      <w:proofErr w:type="spellEnd"/>
      <w:r w:rsidRPr="001B7B64">
        <w:rPr>
          <w:rFonts w:ascii="Times New Roman" w:hAnsi="Times New Roman" w:cs="Times New Roman"/>
          <w:b/>
          <w:bCs/>
        </w:rPr>
        <w:t xml:space="preserve"> pasaulyje, šiuo metu turi būstines Brazilijoje ir Portugalijoje. </w:t>
      </w:r>
    </w:p>
    <w:p w14:paraId="6F887B93" w14:textId="77777777" w:rsidR="00733885" w:rsidRPr="001B7B64" w:rsidRDefault="00733885" w:rsidP="00733885">
      <w:pPr>
        <w:rPr>
          <w:rFonts w:ascii="Times New Roman" w:hAnsi="Times New Roman" w:cs="Times New Roman"/>
        </w:rPr>
      </w:pPr>
      <w:r w:rsidRPr="001B7B64">
        <w:rPr>
          <w:rFonts w:ascii="Times New Roman" w:hAnsi="Times New Roman" w:cs="Times New Roman"/>
        </w:rPr>
        <w:t>„</w:t>
      </w:r>
      <w:proofErr w:type="spellStart"/>
      <w:r w:rsidRPr="001B7B64">
        <w:rPr>
          <w:rFonts w:ascii="Times New Roman" w:hAnsi="Times New Roman" w:cs="Times New Roman"/>
        </w:rPr>
        <w:t>Mercado</w:t>
      </w:r>
      <w:proofErr w:type="spellEnd"/>
      <w:r w:rsidRPr="001B7B64">
        <w:rPr>
          <w:rFonts w:ascii="Times New Roman" w:hAnsi="Times New Roman" w:cs="Times New Roman"/>
        </w:rPr>
        <w:t xml:space="preserve"> </w:t>
      </w:r>
      <w:proofErr w:type="spellStart"/>
      <w:r w:rsidRPr="001B7B64">
        <w:rPr>
          <w:rFonts w:ascii="Times New Roman" w:hAnsi="Times New Roman" w:cs="Times New Roman"/>
        </w:rPr>
        <w:t>Bitcoin</w:t>
      </w:r>
      <w:proofErr w:type="spellEnd"/>
      <w:r w:rsidRPr="001B7B64">
        <w:rPr>
          <w:rFonts w:ascii="Times New Roman" w:hAnsi="Times New Roman" w:cs="Times New Roman"/>
        </w:rPr>
        <w:t>“ ekosistemoje naudoja pažangų strategijų rinkinį, skirtą užkirsti kelią įtartiniems sandoriams ir užtikrinti platformos operacijų vientisumą, patentuotas sistemas ir kelis kontrolės lygius</w:t>
      </w:r>
    </w:p>
    <w:p w14:paraId="61F9A598" w14:textId="77777777" w:rsidR="00733885" w:rsidRPr="001B7B64" w:rsidRDefault="00733885" w:rsidP="00733885">
      <w:pPr>
        <w:rPr>
          <w:rFonts w:ascii="Times New Roman" w:hAnsi="Times New Roman" w:cs="Times New Roman"/>
        </w:rPr>
      </w:pPr>
      <w:r w:rsidRPr="001B7B64">
        <w:rPr>
          <w:rFonts w:ascii="Times New Roman" w:hAnsi="Times New Roman" w:cs="Times New Roman"/>
        </w:rPr>
        <w:t xml:space="preserve">Pastaraisiais metais skaitmeninio turto sektoriaus saugumas Brazilijoje gerokai pagerėjo dėl padidėjusios operacijų apimties, reguliavimo brandos ir nuspėjamųjų rizikos aptikimo technologijų diegimo. Kitas svarbus žingsnis yra finansinių neteisėtų operacijų stebėjimo sistemos. Technologinių inovacijų, tvirto valdymo ir išmaniojo stebėjimo derinys sustiprino saugumo standartą, suderinamą su sparčia skaitmeninės ekonomikos </w:t>
      </w:r>
      <w:r w:rsidRPr="001B7B64">
        <w:rPr>
          <w:rFonts w:ascii="Times New Roman" w:hAnsi="Times New Roman" w:cs="Times New Roman"/>
        </w:rPr>
        <w:lastRenderedPageBreak/>
        <w:t xml:space="preserve">plėtra. Brazilijoje tokių reguliavimo institucijų kaip Centrinis bankas, Brazilijos vertybinių popierių ir biržų komisija ir Federalinė pajamų tarnyba veiksmai kelia </w:t>
      </w:r>
      <w:proofErr w:type="spellStart"/>
      <w:r w:rsidRPr="001B7B64">
        <w:rPr>
          <w:rFonts w:ascii="Times New Roman" w:hAnsi="Times New Roman" w:cs="Times New Roman"/>
        </w:rPr>
        <w:t>kriptovaliutų</w:t>
      </w:r>
      <w:proofErr w:type="spellEnd"/>
      <w:r w:rsidRPr="001B7B64">
        <w:rPr>
          <w:rFonts w:ascii="Times New Roman" w:hAnsi="Times New Roman" w:cs="Times New Roman"/>
        </w:rPr>
        <w:t xml:space="preserve"> operacijų valdymo, priežiūros ir ataskaitų teikimo standartus.</w:t>
      </w:r>
    </w:p>
    <w:p w14:paraId="4152A756" w14:textId="77777777" w:rsidR="00733885" w:rsidRPr="001B7B64" w:rsidRDefault="00733885" w:rsidP="00733885">
      <w:pPr>
        <w:rPr>
          <w:rFonts w:ascii="Times New Roman" w:hAnsi="Times New Roman" w:cs="Times New Roman"/>
        </w:rPr>
      </w:pPr>
      <w:r w:rsidRPr="001B7B64">
        <w:rPr>
          <w:rFonts w:ascii="Times New Roman" w:hAnsi="Times New Roman" w:cs="Times New Roman"/>
        </w:rPr>
        <w:t xml:space="preserve">Brazilija šiuo metu yra pasaulinė lyderė skaitmeninių mokėjimų, finansinės </w:t>
      </w:r>
      <w:proofErr w:type="spellStart"/>
      <w:r w:rsidRPr="001B7B64">
        <w:rPr>
          <w:rFonts w:ascii="Times New Roman" w:hAnsi="Times New Roman" w:cs="Times New Roman"/>
        </w:rPr>
        <w:t>įtraukties</w:t>
      </w:r>
      <w:proofErr w:type="spellEnd"/>
      <w:r w:rsidRPr="001B7B64">
        <w:rPr>
          <w:rFonts w:ascii="Times New Roman" w:hAnsi="Times New Roman" w:cs="Times New Roman"/>
        </w:rPr>
        <w:t xml:space="preserve"> ir technologijų naudojimo finansų sistemoje srityse. Žvelgiant į blokų grandinę, judėjimas yra panašus: šalis kuria savo modelį, tačiau gali pasisemti įkvėpimo iš kai kurių svarbių etalonų, tokių kaip JAV, Singapūras, JK, JAE.</w:t>
      </w:r>
    </w:p>
    <w:p w14:paraId="1AEA7665" w14:textId="77777777" w:rsidR="00733885" w:rsidRPr="001B7B64" w:rsidRDefault="00733885" w:rsidP="00733885">
      <w:pPr>
        <w:rPr>
          <w:rFonts w:ascii="Times New Roman" w:hAnsi="Times New Roman" w:cs="Times New Roman"/>
          <w:b/>
          <w:bCs/>
        </w:rPr>
      </w:pPr>
      <w:r w:rsidRPr="001B7B64">
        <w:rPr>
          <w:rFonts w:ascii="Times New Roman" w:hAnsi="Times New Roman" w:cs="Times New Roman"/>
          <w:b/>
          <w:bCs/>
        </w:rPr>
        <w:t>Brazilijai nereikia kopijuoti jokio modelio, o naudoti šias jurisdikcijas kaip pavyzdį. Brazilijos finansų sistema yra gana pažangi mokėjimo būdų ir infrastruktūros srityje, o tai yra didžiulis konkurencinis pranašumas ir suteikia geras pozicijas užimti vietą pasaulinėje rinkoje.</w:t>
      </w:r>
    </w:p>
    <w:p w14:paraId="2FCCC69A" w14:textId="77777777" w:rsidR="00733885" w:rsidRPr="001B7B64" w:rsidRDefault="00733885" w:rsidP="00733885">
      <w:pPr>
        <w:rPr>
          <w:rFonts w:ascii="Times New Roman" w:hAnsi="Times New Roman" w:cs="Times New Roman"/>
          <w:b/>
          <w:bCs/>
        </w:rPr>
      </w:pPr>
      <w:r w:rsidRPr="001B7B64">
        <w:rPr>
          <w:rFonts w:ascii="Times New Roman" w:hAnsi="Times New Roman" w:cs="Times New Roman"/>
          <w:b/>
          <w:bCs/>
        </w:rPr>
        <w:t xml:space="preserve">2026 m. pagrindinis dėmesys bus skiriamas esamų naudojimo atvejų apimčiai didinti. Akcentai, kurie bus stiprinami, yra </w:t>
      </w:r>
      <w:proofErr w:type="spellStart"/>
      <w:r w:rsidRPr="001B7B64">
        <w:rPr>
          <w:rFonts w:ascii="Times New Roman" w:hAnsi="Times New Roman" w:cs="Times New Roman"/>
          <w:b/>
          <w:bCs/>
        </w:rPr>
        <w:t>bitkoinas</w:t>
      </w:r>
      <w:proofErr w:type="spellEnd"/>
      <w:r w:rsidRPr="001B7B64">
        <w:rPr>
          <w:rFonts w:ascii="Times New Roman" w:hAnsi="Times New Roman" w:cs="Times New Roman"/>
          <w:b/>
          <w:bCs/>
        </w:rPr>
        <w:t xml:space="preserve"> kaip vertės saugykla. </w:t>
      </w:r>
    </w:p>
    <w:p w14:paraId="5DEBC77A" w14:textId="77777777" w:rsidR="00733885" w:rsidRPr="001B7B64" w:rsidRDefault="00733885" w:rsidP="00733885">
      <w:pPr>
        <w:rPr>
          <w:rFonts w:ascii="Times New Roman" w:hAnsi="Times New Roman" w:cs="Times New Roman"/>
          <w:b/>
          <w:bCs/>
        </w:rPr>
      </w:pPr>
      <w:r w:rsidRPr="001B7B64">
        <w:rPr>
          <w:rFonts w:ascii="Times New Roman" w:hAnsi="Times New Roman" w:cs="Times New Roman"/>
        </w:rPr>
        <w:t xml:space="preserve">Vyksta integracija su tradicine finansų sistema: blokų grandinės jungiasi prie momentinių mokėjimų, kliringo namų ir, kai kuriose šalyse, prie centrinių bankų skaitmeninių valiutų. Apyvartinio kapitalo, prekybos finansavimo ir kapitalo rinkos operacijose pradeda atsirasti beveik realaus laiko atsiskaitymai, mažesnis tarpininkavimas pasaugos srityje ir automatinis suderinimas. </w:t>
      </w:r>
      <w:r w:rsidRPr="001B7B64">
        <w:rPr>
          <w:rFonts w:ascii="Times New Roman" w:hAnsi="Times New Roman" w:cs="Times New Roman"/>
          <w:b/>
          <w:bCs/>
        </w:rPr>
        <w:t>Reguliavimo trūkumas Brazilijoje nebėra pasiteisinimas vengti šios integracijos.</w:t>
      </w:r>
    </w:p>
    <w:p w14:paraId="395082BD" w14:textId="77777777" w:rsidR="00733885" w:rsidRPr="001B7B64" w:rsidRDefault="00733885" w:rsidP="00733885">
      <w:pPr>
        <w:rPr>
          <w:rFonts w:ascii="Times New Roman" w:hAnsi="Times New Roman" w:cs="Times New Roman"/>
          <w:lang w:val="pt-BR"/>
        </w:rPr>
      </w:pPr>
      <w:r w:rsidRPr="001B7B64">
        <w:rPr>
          <w:rFonts w:ascii="Times New Roman" w:hAnsi="Times New Roman" w:cs="Times New Roman"/>
        </w:rPr>
        <w:t xml:space="preserve">Dirbtinis intelektas vaidina vis svarbesnį vaidmenį šių infrastruktūrų saugumo evoliucijoje, ypač stebėsenos, prevencijos ir prognozavimo analizės srityse. </w:t>
      </w:r>
      <w:r w:rsidRPr="001B7B64">
        <w:rPr>
          <w:rFonts w:ascii="Times New Roman" w:hAnsi="Times New Roman" w:cs="Times New Roman"/>
          <w:lang w:val="pt-BR"/>
        </w:rPr>
        <w:t xml:space="preserve">DI padeda analizuoti incidentus, paspartindamas priežasčių nustatymą ir turto sekimą įtartinų judėjimų atveju. Tai padidina ekosistemos atsparumą ir patikimumą. </w:t>
      </w:r>
    </w:p>
    <w:p w14:paraId="206D8450" w14:textId="59C52D71" w:rsidR="007F207A" w:rsidRPr="001B7B64" w:rsidRDefault="007F207A" w:rsidP="007F207A">
      <w:pPr>
        <w:pStyle w:val="NormalWeb"/>
        <w:spacing w:before="0" w:beforeAutospacing="0" w:after="0" w:afterAutospacing="0"/>
        <w:jc w:val="both"/>
        <w:rPr>
          <w:rFonts w:ascii="Times New Roman" w:hAnsi="Times New Roman" w:cs="Times New Roman"/>
          <w:b/>
          <w:bCs/>
          <w:sz w:val="22"/>
          <w:szCs w:val="22"/>
        </w:rPr>
      </w:pPr>
      <w:r w:rsidRPr="001B7B64">
        <w:rPr>
          <w:rFonts w:ascii="Times New Roman" w:hAnsi="Times New Roman" w:cs="Times New Roman"/>
          <w:b/>
          <w:bCs/>
          <w:sz w:val="22"/>
          <w:szCs w:val="22"/>
        </w:rPr>
        <w:t>Su investicijomis susijusi informacija</w:t>
      </w:r>
    </w:p>
    <w:p w14:paraId="69A825AF" w14:textId="77777777" w:rsidR="00733885" w:rsidRPr="001B7B64" w:rsidRDefault="00733885" w:rsidP="00733885">
      <w:pPr>
        <w:jc w:val="both"/>
        <w:rPr>
          <w:rFonts w:ascii="Times New Roman" w:hAnsi="Times New Roman" w:cs="Times New Roman"/>
          <w:b/>
          <w:bCs/>
          <w:lang w:val="pt-BR"/>
        </w:rPr>
      </w:pPr>
    </w:p>
    <w:p w14:paraId="72BA87EF" w14:textId="77777777" w:rsidR="00733885" w:rsidRPr="001B7B64" w:rsidRDefault="00733885" w:rsidP="00733885">
      <w:pPr>
        <w:jc w:val="both"/>
        <w:rPr>
          <w:rFonts w:ascii="Times New Roman" w:hAnsi="Times New Roman" w:cs="Times New Roman"/>
          <w:b/>
          <w:bCs/>
          <w:lang w:val="pt-BR"/>
        </w:rPr>
      </w:pPr>
      <w:r w:rsidRPr="001B7B64">
        <w:rPr>
          <w:rFonts w:ascii="Times New Roman" w:hAnsi="Times New Roman" w:cs="Times New Roman"/>
          <w:b/>
          <w:bCs/>
          <w:lang w:val="pt-BR"/>
        </w:rPr>
        <w:t xml:space="preserve">Nepaisant visų politinių ir ekonominių neramumų, tiesioginės užsienio investicijos į Brazilją išlaikė stabilų lygį. </w:t>
      </w:r>
      <w:r w:rsidRPr="001B7B64">
        <w:rPr>
          <w:rFonts w:ascii="Times New Roman" w:hAnsi="Times New Roman" w:cs="Times New Roman"/>
          <w:lang w:val="pt-BR"/>
        </w:rPr>
        <w:t>Išskyrus retas išimtis, TUI padengė kitose srityse, kuriose Brazilija turi deficitą, pavyzdžiui, paslaugų ir turizmo, paliktą spragą. Iki 2024 m. pabaigos jos pasiekė 1,14 trilijono JAV dolerių, arba 46,6 % BVP.</w:t>
      </w:r>
      <w:r w:rsidRPr="001B7B64">
        <w:rPr>
          <w:rFonts w:ascii="Times New Roman" w:hAnsi="Times New Roman" w:cs="Times New Roman"/>
          <w:b/>
          <w:bCs/>
          <w:lang w:val="pt-BR"/>
        </w:rPr>
        <w:t xml:space="preserve"> Taip pat vis svarbesnės yra Brazilijos įmonių investicijos užsienyje (TUI), kurios pernai pasiekė rekordinę 504 mlrd. JAV dolerių vertę – tai buvo šeštieji iš eilės augimo metai.</w:t>
      </w:r>
    </w:p>
    <w:p w14:paraId="78FDC219" w14:textId="77777777" w:rsidR="00733885" w:rsidRPr="001B7B64" w:rsidRDefault="00733885" w:rsidP="00733885">
      <w:pPr>
        <w:jc w:val="both"/>
        <w:rPr>
          <w:rFonts w:ascii="Times New Roman" w:hAnsi="Times New Roman" w:cs="Times New Roman"/>
          <w:lang w:val="pt-BR"/>
        </w:rPr>
      </w:pPr>
    </w:p>
    <w:p w14:paraId="4A3DD973" w14:textId="3BFFC5E7" w:rsidR="007F207A" w:rsidRPr="007F207A" w:rsidRDefault="007F207A" w:rsidP="007F207A">
      <w:pPr>
        <w:jc w:val="both"/>
        <w:rPr>
          <w:rFonts w:ascii="Times New Roman" w:eastAsia="Times New Roman" w:hAnsi="Times New Roman" w:cs="Times New Roman"/>
          <w:b/>
          <w:bCs/>
          <w:lang w:eastAsia="lt-LT"/>
        </w:rPr>
      </w:pPr>
      <w:r w:rsidRPr="007F207A">
        <w:rPr>
          <w:rFonts w:ascii="Times New Roman" w:eastAsia="Times New Roman" w:hAnsi="Times New Roman" w:cs="Times New Roman"/>
          <w:b/>
          <w:bCs/>
          <w:lang w:eastAsia="lt-LT"/>
        </w:rPr>
        <w:t>Bendradarbiavimui mokslinių tyrimų, eksperimentinės plėtros ir inovacijų (MTEPI) srityse aktuali informacija</w:t>
      </w:r>
    </w:p>
    <w:p w14:paraId="3B9276D9" w14:textId="77777777" w:rsidR="0094644A" w:rsidRPr="007065CE" w:rsidRDefault="0094644A" w:rsidP="0094644A">
      <w:pPr>
        <w:rPr>
          <w:rFonts w:ascii="Times New Roman" w:eastAsia="Times New Roman" w:hAnsi="Times New Roman" w:cs="Times New Roman"/>
          <w:color w:val="000000"/>
          <w:lang w:eastAsia="lt-LT"/>
        </w:rPr>
      </w:pPr>
    </w:p>
    <w:p w14:paraId="7CE639D2"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b/>
          <w:bCs/>
          <w:color w:val="333333"/>
          <w:lang w:eastAsia="lt-LT"/>
        </w:rPr>
        <w:t xml:space="preserve">Pietų Korėjos </w:t>
      </w:r>
      <w:proofErr w:type="spellStart"/>
      <w:r w:rsidRPr="001B7B64">
        <w:rPr>
          <w:rFonts w:ascii="Times New Roman" w:eastAsia="Times New Roman" w:hAnsi="Times New Roman" w:cs="Times New Roman"/>
          <w:b/>
          <w:bCs/>
          <w:color w:val="333333"/>
          <w:lang w:eastAsia="lt-LT"/>
        </w:rPr>
        <w:t>startuolio</w:t>
      </w:r>
      <w:proofErr w:type="spellEnd"/>
      <w:r w:rsidRPr="001B7B64">
        <w:rPr>
          <w:rFonts w:ascii="Times New Roman" w:eastAsia="Times New Roman" w:hAnsi="Times New Roman" w:cs="Times New Roman"/>
          <w:b/>
          <w:bCs/>
          <w:color w:val="333333"/>
          <w:lang w:eastAsia="lt-LT"/>
        </w:rPr>
        <w:t xml:space="preserve"> „</w:t>
      </w:r>
      <w:proofErr w:type="spellStart"/>
      <w:r w:rsidRPr="001B7B64">
        <w:rPr>
          <w:rFonts w:ascii="Times New Roman" w:eastAsia="Times New Roman" w:hAnsi="Times New Roman" w:cs="Times New Roman"/>
          <w:b/>
          <w:bCs/>
          <w:color w:val="333333"/>
          <w:lang w:eastAsia="lt-LT"/>
        </w:rPr>
        <w:t>Innospace</w:t>
      </w:r>
      <w:proofErr w:type="spellEnd"/>
      <w:r w:rsidRPr="001B7B64">
        <w:rPr>
          <w:rFonts w:ascii="Times New Roman" w:eastAsia="Times New Roman" w:hAnsi="Times New Roman" w:cs="Times New Roman"/>
          <w:b/>
          <w:bCs/>
          <w:color w:val="333333"/>
          <w:lang w:eastAsia="lt-LT"/>
        </w:rPr>
        <w:t xml:space="preserve">“ paleidimas būtų buvęs pirmasis Brazilijos orbitinis paleidimas iš </w:t>
      </w:r>
      <w:proofErr w:type="spellStart"/>
      <w:r w:rsidRPr="001B7B64">
        <w:rPr>
          <w:rFonts w:ascii="Times New Roman" w:eastAsia="Times New Roman" w:hAnsi="Times New Roman" w:cs="Times New Roman"/>
          <w:b/>
          <w:bCs/>
          <w:color w:val="333333"/>
          <w:lang w:eastAsia="lt-LT"/>
        </w:rPr>
        <w:t>Alcântara</w:t>
      </w:r>
      <w:proofErr w:type="spellEnd"/>
      <w:r w:rsidRPr="001B7B64">
        <w:rPr>
          <w:rFonts w:ascii="Times New Roman" w:eastAsia="Times New Roman" w:hAnsi="Times New Roman" w:cs="Times New Roman"/>
          <w:b/>
          <w:bCs/>
          <w:color w:val="333333"/>
          <w:lang w:eastAsia="lt-LT"/>
        </w:rPr>
        <w:t xml:space="preserve"> paleidimo centro Brazilijos </w:t>
      </w:r>
      <w:proofErr w:type="spellStart"/>
      <w:r w:rsidRPr="001B7B64">
        <w:rPr>
          <w:rFonts w:ascii="Times New Roman" w:eastAsia="Times New Roman" w:hAnsi="Times New Roman" w:cs="Times New Roman"/>
          <w:b/>
          <w:bCs/>
          <w:color w:val="333333"/>
          <w:lang w:eastAsia="lt-LT"/>
        </w:rPr>
        <w:t>Maranhão</w:t>
      </w:r>
      <w:proofErr w:type="spellEnd"/>
      <w:r w:rsidRPr="001B7B64">
        <w:rPr>
          <w:rFonts w:ascii="Times New Roman" w:eastAsia="Times New Roman" w:hAnsi="Times New Roman" w:cs="Times New Roman"/>
          <w:b/>
          <w:bCs/>
          <w:color w:val="333333"/>
          <w:lang w:eastAsia="lt-LT"/>
        </w:rPr>
        <w:t xml:space="preserve"> valstijoje gruodžio 22 d., tačiau praėjus dviem minutėms po pakilimo, įvyko anomalija</w:t>
      </w:r>
      <w:r w:rsidRPr="001B7B64">
        <w:rPr>
          <w:rFonts w:ascii="Times New Roman" w:eastAsia="Times New Roman" w:hAnsi="Times New Roman" w:cs="Times New Roman"/>
          <w:color w:val="333333"/>
          <w:lang w:eastAsia="lt-LT"/>
        </w:rPr>
        <w:t>. Buvo užfiksuoti garso greičio viršijimo etapai ir maksimalaus aerodinaminio slėgio momentas. Kol kas neaišku, kas tiksliai nutiko, tačiau Brazilijos oro pajėgos (FAB) analizuoja nuolaužas ir jų kritimo vietą. Ankstesni bandymai 1997, 1999 ir 2003 m., taip pat nepasisekė.</w:t>
      </w:r>
    </w:p>
    <w:p w14:paraId="27452913"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Nepaisant nusivylimo, paminėtina, kad tai buvo naujas paleidimo įrenginys, atliekantis pirmąjį bandomąjį skrydį. Prieš tai „</w:t>
      </w:r>
      <w:proofErr w:type="spellStart"/>
      <w:r w:rsidRPr="001B7B64">
        <w:rPr>
          <w:rFonts w:ascii="Times New Roman" w:eastAsia="Times New Roman" w:hAnsi="Times New Roman" w:cs="Times New Roman"/>
          <w:color w:val="333333"/>
          <w:lang w:eastAsia="lt-LT"/>
        </w:rPr>
        <w:t>Innospace</w:t>
      </w:r>
      <w:proofErr w:type="spellEnd"/>
      <w:r w:rsidRPr="001B7B64">
        <w:rPr>
          <w:rFonts w:ascii="Times New Roman" w:eastAsia="Times New Roman" w:hAnsi="Times New Roman" w:cs="Times New Roman"/>
          <w:color w:val="333333"/>
          <w:lang w:eastAsia="lt-LT"/>
        </w:rPr>
        <w:t xml:space="preserve">“ jau buvo paleidusi, taip pat iš </w:t>
      </w:r>
      <w:proofErr w:type="spellStart"/>
      <w:r w:rsidRPr="001B7B64">
        <w:rPr>
          <w:rFonts w:ascii="Times New Roman" w:eastAsia="Times New Roman" w:hAnsi="Times New Roman" w:cs="Times New Roman"/>
          <w:color w:val="333333"/>
          <w:lang w:eastAsia="lt-LT"/>
        </w:rPr>
        <w:t>Alcântara</w:t>
      </w:r>
      <w:proofErr w:type="spellEnd"/>
      <w:r w:rsidRPr="001B7B64">
        <w:rPr>
          <w:rFonts w:ascii="Times New Roman" w:eastAsia="Times New Roman" w:hAnsi="Times New Roman" w:cs="Times New Roman"/>
          <w:color w:val="333333"/>
          <w:lang w:eastAsia="lt-LT"/>
        </w:rPr>
        <w:t xml:space="preserve">, mažesnį, vienpakopį prototipą, 2023 m. Skrydžio metu raketa pasiekė kosmosą, bet ne tokiu greičiu, kuris būtinas artefaktams iškelti į orbitą. </w:t>
      </w:r>
    </w:p>
    <w:p w14:paraId="23457414"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Ši „</w:t>
      </w:r>
      <w:proofErr w:type="spellStart"/>
      <w:r w:rsidRPr="001B7B64">
        <w:rPr>
          <w:rFonts w:ascii="Times New Roman" w:eastAsia="Times New Roman" w:hAnsi="Times New Roman" w:cs="Times New Roman"/>
          <w:color w:val="333333"/>
          <w:lang w:eastAsia="lt-LT"/>
        </w:rPr>
        <w:t>Hanbit-Nano</w:t>
      </w:r>
      <w:proofErr w:type="spellEnd"/>
      <w:r w:rsidRPr="001B7B64">
        <w:rPr>
          <w:rFonts w:ascii="Times New Roman" w:eastAsia="Times New Roman" w:hAnsi="Times New Roman" w:cs="Times New Roman"/>
          <w:color w:val="333333"/>
          <w:lang w:eastAsia="lt-LT"/>
        </w:rPr>
        <w:t xml:space="preserve">“ buvo dviejų pakopų 21 m ilgio raketa. Pirmąją pakopą varė hibridinis variklis, jungiantis parafiną ir skystą deguonį. Antroji pakopa turi variklį, varomą skystu metanu ir deguonimi. Buvo prarasti orlaivyje buvę 5 Brazilijos </w:t>
      </w:r>
      <w:proofErr w:type="spellStart"/>
      <w:r w:rsidRPr="001B7B64">
        <w:rPr>
          <w:rFonts w:ascii="Times New Roman" w:eastAsia="Times New Roman" w:hAnsi="Times New Roman" w:cs="Times New Roman"/>
          <w:color w:val="333333"/>
          <w:lang w:eastAsia="lt-LT"/>
        </w:rPr>
        <w:t>nanopalydovai</w:t>
      </w:r>
      <w:proofErr w:type="spellEnd"/>
      <w:r w:rsidRPr="001B7B64">
        <w:rPr>
          <w:rFonts w:ascii="Times New Roman" w:eastAsia="Times New Roman" w:hAnsi="Times New Roman" w:cs="Times New Roman"/>
          <w:color w:val="333333"/>
          <w:lang w:eastAsia="lt-LT"/>
        </w:rPr>
        <w:t xml:space="preserve"> ir trys eksperimentai.</w:t>
      </w:r>
    </w:p>
    <w:p w14:paraId="1255BFF0" w14:textId="77777777" w:rsidR="0094644A" w:rsidRPr="001B7B64" w:rsidRDefault="0094644A" w:rsidP="007F207A">
      <w:pPr>
        <w:jc w:val="both"/>
        <w:rPr>
          <w:rFonts w:ascii="Times New Roman" w:eastAsia="Times New Roman" w:hAnsi="Times New Roman" w:cs="Times New Roman"/>
          <w:b/>
          <w:bCs/>
          <w:lang w:eastAsia="lt-LT"/>
        </w:rPr>
      </w:pPr>
    </w:p>
    <w:p w14:paraId="05E34F29"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b/>
          <w:bCs/>
          <w:color w:val="333333"/>
          <w:lang w:eastAsia="lt-LT"/>
        </w:rPr>
        <w:t xml:space="preserve">Brazilija 2024 m. užfiksavo publikuotų mokslinių straipsnių skaičiaus padidėjimą ir išliko toje pačioje 14 vietoje sąraše su 53 kitomis šalimis. </w:t>
      </w:r>
      <w:r w:rsidRPr="001B7B64">
        <w:rPr>
          <w:rFonts w:ascii="Times New Roman" w:eastAsia="Times New Roman" w:hAnsi="Times New Roman" w:cs="Times New Roman"/>
          <w:color w:val="333333"/>
          <w:lang w:eastAsia="lt-LT"/>
        </w:rPr>
        <w:t>Tačiau bendras mokslinių straipsnių, kurių autoriai susiję su Brazilijos teritorijoje esančiomis institucijomis, skaičius nuo 2023 m. iki 2024 m. išaugo 4,5 %. Iš viso praėjusiais metais jų buvo 73 220.</w:t>
      </w:r>
    </w:p>
    <w:p w14:paraId="7C60884B"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 xml:space="preserve">Tyrime taip pat nagrinėjamos šalies mokslinių tyrimų institucijos, kurios 2024 m. paskelbė daugiausiai mokslinių straipsnių. San Paulo universitetas (USP) pirmauja sąraše su beveik 13 000 publikacijų – 2,7 % daugiau nei 2023 m. Antrąją ir trečiąją vietas užima kiti San Paulo valstijos universitetai: </w:t>
      </w:r>
      <w:proofErr w:type="spellStart"/>
      <w:r w:rsidRPr="001B7B64">
        <w:rPr>
          <w:rFonts w:ascii="Times New Roman" w:eastAsia="Times New Roman" w:hAnsi="Times New Roman" w:cs="Times New Roman"/>
          <w:color w:val="333333"/>
          <w:lang w:eastAsia="lt-LT"/>
        </w:rPr>
        <w:t>Unesp</w:t>
      </w:r>
      <w:proofErr w:type="spellEnd"/>
      <w:r w:rsidRPr="001B7B64">
        <w:rPr>
          <w:rFonts w:ascii="Times New Roman" w:eastAsia="Times New Roman" w:hAnsi="Times New Roman" w:cs="Times New Roman"/>
          <w:color w:val="333333"/>
          <w:lang w:eastAsia="lt-LT"/>
        </w:rPr>
        <w:t xml:space="preserve"> (San Paulo valstybinis universitetas) su 5 152 publikacijomis – 6,6 % daugiau; ir </w:t>
      </w:r>
      <w:proofErr w:type="spellStart"/>
      <w:r w:rsidRPr="001B7B64">
        <w:rPr>
          <w:rFonts w:ascii="Times New Roman" w:eastAsia="Times New Roman" w:hAnsi="Times New Roman" w:cs="Times New Roman"/>
          <w:color w:val="333333"/>
          <w:lang w:eastAsia="lt-LT"/>
        </w:rPr>
        <w:t>Unicamp</w:t>
      </w:r>
      <w:proofErr w:type="spellEnd"/>
      <w:r w:rsidRPr="001B7B64">
        <w:rPr>
          <w:rFonts w:ascii="Times New Roman" w:eastAsia="Times New Roman" w:hAnsi="Times New Roman" w:cs="Times New Roman"/>
          <w:color w:val="333333"/>
          <w:lang w:eastAsia="lt-LT"/>
        </w:rPr>
        <w:t xml:space="preserve"> (</w:t>
      </w:r>
      <w:proofErr w:type="spellStart"/>
      <w:r w:rsidRPr="001B7B64">
        <w:rPr>
          <w:rFonts w:ascii="Times New Roman" w:eastAsia="Times New Roman" w:hAnsi="Times New Roman" w:cs="Times New Roman"/>
          <w:color w:val="333333"/>
          <w:lang w:eastAsia="lt-LT"/>
        </w:rPr>
        <w:t>Campinas</w:t>
      </w:r>
      <w:proofErr w:type="spellEnd"/>
      <w:r w:rsidRPr="001B7B64">
        <w:rPr>
          <w:rFonts w:ascii="Times New Roman" w:eastAsia="Times New Roman" w:hAnsi="Times New Roman" w:cs="Times New Roman"/>
          <w:color w:val="333333"/>
          <w:lang w:eastAsia="lt-LT"/>
        </w:rPr>
        <w:t xml:space="preserve"> universitetas) su 4 277 publikacijomis – 4,9 % daugiau.</w:t>
      </w:r>
    </w:p>
    <w:p w14:paraId="1E59B27D" w14:textId="77777777" w:rsidR="0094644A" w:rsidRPr="001B7B64" w:rsidRDefault="0094644A" w:rsidP="0094644A">
      <w:pPr>
        <w:shd w:val="clear" w:color="auto" w:fill="FFFFFF"/>
        <w:rPr>
          <w:rFonts w:ascii="Times New Roman" w:eastAsia="Times New Roman" w:hAnsi="Times New Roman" w:cs="Times New Roman"/>
          <w:b/>
          <w:bCs/>
          <w:color w:val="333333"/>
          <w:lang w:eastAsia="lt-LT"/>
        </w:rPr>
      </w:pPr>
      <w:r w:rsidRPr="001B7B64">
        <w:rPr>
          <w:rFonts w:ascii="Times New Roman" w:eastAsia="Times New Roman" w:hAnsi="Times New Roman" w:cs="Times New Roman"/>
          <w:b/>
          <w:bCs/>
          <w:color w:val="333333"/>
          <w:lang w:eastAsia="lt-LT"/>
        </w:rPr>
        <w:t>Brazilijoje daugiausia straipsnių paskelbta gamtos mokslai yra srityje. Medicinos mokslai užima antrąją vietą.</w:t>
      </w:r>
    </w:p>
    <w:p w14:paraId="5D2278D3"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b/>
          <w:bCs/>
          <w:color w:val="333333"/>
          <w:lang w:eastAsia="lt-LT"/>
        </w:rPr>
        <w:t xml:space="preserve">Brazilijos finansų ministerija Deputatų rūmams išsiuntė įstatymo projektą, suteikiantį CADE (Ekonominės gynybos administracinei tarybai) daugiau galių reguliuoti konkurenciją tarp didelių </w:t>
      </w:r>
      <w:r w:rsidRPr="001B7B64">
        <w:rPr>
          <w:rFonts w:ascii="Times New Roman" w:eastAsia="Times New Roman" w:hAnsi="Times New Roman" w:cs="Times New Roman"/>
          <w:b/>
          <w:bCs/>
          <w:color w:val="333333"/>
          <w:lang w:eastAsia="lt-LT"/>
        </w:rPr>
        <w:lastRenderedPageBreak/>
        <w:t>technologijų bendrovių</w:t>
      </w:r>
      <w:r w:rsidRPr="001B7B64">
        <w:rPr>
          <w:rFonts w:ascii="Times New Roman" w:eastAsia="Times New Roman" w:hAnsi="Times New Roman" w:cs="Times New Roman"/>
          <w:color w:val="333333"/>
          <w:lang w:eastAsia="lt-LT"/>
        </w:rPr>
        <w:t>, ir paprašyta skubiai apsvarstyti tekstą. Įstatymo projekte, įkvėptame ES teisės aktų, siūloma antimonopolinėje agentūroje įsteigti skaitmeninei rinkai skirtą padalinį. CADE turės įgaliojimus nustatyti taisomuosius veiksmus prieš anksčiau paskirtas bendroves, kurios laikomos sistemingai svarbiomis jų rinkose.</w:t>
      </w:r>
    </w:p>
    <w:p w14:paraId="0E82283F"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 xml:space="preserve">Įstatymo projektą griežtai kritikavo technologijų gigantams atstovaujantys Brazilijos subjektai, teigdami, kad tekstas slopins inovacijas, padidins išlaidas, jis esą įkvėptas teisės aktų iš šalių, kurių aplinkybės labai skiriasi nuo Brazilijos realybės. </w:t>
      </w:r>
    </w:p>
    <w:p w14:paraId="324EBA73"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Finansų ministerija teigia, kad pasiūlyme taikomas kitoks požiūris nei Europos Sąjungoje, nes nenustatomas vienas, griežtas modelis. Ministerijos teigimu, projekte numatytos lanksčios taisyklės, taikomos skirtingoms skaitmeninėms ekosistemoms.</w:t>
      </w:r>
    </w:p>
    <w:p w14:paraId="1153A526" w14:textId="77777777" w:rsidR="0094644A" w:rsidRPr="00BD2919"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Tuo tarpu JAV Atstovų Rūmai ragina surengti posėdį dėl didžiųjų technologijų bendrovių reguliavimo Brazilijoje ir kalba apie grėsmę ir diskriminacinį reglamentą, įkvėptą ES teisės aktų</w:t>
      </w:r>
    </w:p>
    <w:p w14:paraId="651D3C04" w14:textId="77777777" w:rsidR="0094644A" w:rsidRPr="001B7B64" w:rsidRDefault="0094644A" w:rsidP="0094644A">
      <w:pPr>
        <w:jc w:val="both"/>
        <w:rPr>
          <w:rFonts w:ascii="Times New Roman" w:hAnsi="Times New Roman" w:cs="Times New Roman"/>
        </w:rPr>
      </w:pPr>
    </w:p>
    <w:p w14:paraId="2D945912"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b/>
          <w:bCs/>
          <w:color w:val="333333"/>
          <w:lang w:eastAsia="lt-LT"/>
        </w:rPr>
        <w:t>Amerikos tarptautinė technologijų bendrovė „RT-One“ Brazilijoje pritraukė 15 mlrd. BRL duomenų centrų statybai ir siekia pastatyti didžiausius duomenų centrus Lotynų Amerikoje.</w:t>
      </w:r>
      <w:r w:rsidRPr="001B7B64">
        <w:rPr>
          <w:rFonts w:ascii="Times New Roman" w:eastAsia="Times New Roman" w:hAnsi="Times New Roman" w:cs="Times New Roman"/>
          <w:color w:val="333333"/>
          <w:lang w:eastAsia="lt-LT"/>
        </w:rPr>
        <w:t xml:space="preserve"> Pirmojo centro eksploatavimo pradžia  numatyta 2026 m.</w:t>
      </w:r>
    </w:p>
    <w:p w14:paraId="2F29C56E" w14:textId="77777777" w:rsidR="0094644A" w:rsidRPr="001B7B64" w:rsidRDefault="0094644A" w:rsidP="0094644A">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RT-One siekia pranokti Kinijos „</w:t>
      </w:r>
      <w:proofErr w:type="spellStart"/>
      <w:r w:rsidRPr="001B7B64">
        <w:rPr>
          <w:rFonts w:ascii="Times New Roman" w:eastAsia="Times New Roman" w:hAnsi="Times New Roman" w:cs="Times New Roman"/>
          <w:color w:val="333333"/>
          <w:lang w:eastAsia="lt-LT"/>
        </w:rPr>
        <w:t>TikTok</w:t>
      </w:r>
      <w:proofErr w:type="spellEnd"/>
      <w:r w:rsidRPr="001B7B64">
        <w:rPr>
          <w:rFonts w:ascii="Times New Roman" w:eastAsia="Times New Roman" w:hAnsi="Times New Roman" w:cs="Times New Roman"/>
          <w:color w:val="333333"/>
          <w:lang w:eastAsia="lt-LT"/>
        </w:rPr>
        <w:t>“ projektą, kuriam suteiktas leidimas įrengti penkis duomenų centrus, iki 2035 m. investuojant 485 mlrd. BRL.</w:t>
      </w:r>
    </w:p>
    <w:p w14:paraId="7087E825" w14:textId="77777777" w:rsidR="0094644A" w:rsidRPr="001B7B64" w:rsidRDefault="0094644A" w:rsidP="0094644A">
      <w:pPr>
        <w:rPr>
          <w:rFonts w:ascii="Times New Roman" w:hAnsi="Times New Roman" w:cs="Times New Roman"/>
          <w:b/>
          <w:bCs/>
        </w:rPr>
      </w:pPr>
    </w:p>
    <w:p w14:paraId="40D53B02" w14:textId="77777777" w:rsidR="00733885" w:rsidRPr="001B7B64" w:rsidRDefault="00733885" w:rsidP="00733885">
      <w:pPr>
        <w:rPr>
          <w:rFonts w:ascii="Times New Roman" w:eastAsia="Times New Roman" w:hAnsi="Times New Roman" w:cs="Times New Roman"/>
          <w:color w:val="1E1E21"/>
          <w:lang w:eastAsia="lt-LT"/>
        </w:rPr>
      </w:pPr>
      <w:proofErr w:type="spellStart"/>
      <w:r w:rsidRPr="001B7B64">
        <w:rPr>
          <w:rFonts w:ascii="Times New Roman" w:eastAsia="Times New Roman" w:hAnsi="Times New Roman" w:cs="Times New Roman"/>
          <w:b/>
          <w:bCs/>
          <w:color w:val="1E1E21"/>
          <w:lang w:eastAsia="lt-LT"/>
        </w:rPr>
        <w:t>TikTok</w:t>
      </w:r>
      <w:proofErr w:type="spellEnd"/>
      <w:r w:rsidRPr="001B7B64">
        <w:rPr>
          <w:rFonts w:ascii="Times New Roman" w:eastAsia="Times New Roman" w:hAnsi="Times New Roman" w:cs="Times New Roman"/>
          <w:b/>
          <w:bCs/>
          <w:color w:val="1E1E21"/>
          <w:lang w:eastAsia="lt-LT"/>
        </w:rPr>
        <w:t xml:space="preserve"> patvirtino pirmojo duomenų centro Lotynų Amerikoje statybą Brazilijoje, </w:t>
      </w:r>
      <w:proofErr w:type="spellStart"/>
      <w:r w:rsidRPr="001B7B64">
        <w:rPr>
          <w:rFonts w:ascii="Times New Roman" w:eastAsia="Times New Roman" w:hAnsi="Times New Roman" w:cs="Times New Roman"/>
          <w:b/>
          <w:bCs/>
          <w:color w:val="1E1E21"/>
          <w:lang w:eastAsia="lt-LT"/>
        </w:rPr>
        <w:t>Ceara</w:t>
      </w:r>
      <w:proofErr w:type="spellEnd"/>
      <w:r w:rsidRPr="001B7B64">
        <w:rPr>
          <w:rFonts w:ascii="Times New Roman" w:eastAsia="Times New Roman" w:hAnsi="Times New Roman" w:cs="Times New Roman"/>
          <w:b/>
          <w:bCs/>
          <w:color w:val="1E1E21"/>
          <w:lang w:eastAsia="lt-LT"/>
        </w:rPr>
        <w:t xml:space="preserve"> valstijos </w:t>
      </w:r>
      <w:proofErr w:type="spellStart"/>
      <w:r w:rsidRPr="001B7B64">
        <w:rPr>
          <w:rFonts w:ascii="Times New Roman" w:eastAsia="Times New Roman" w:hAnsi="Times New Roman" w:cs="Times New Roman"/>
          <w:b/>
          <w:bCs/>
          <w:color w:val="1E1E21"/>
          <w:lang w:eastAsia="lt-LT"/>
        </w:rPr>
        <w:t>Pecém</w:t>
      </w:r>
      <w:proofErr w:type="spellEnd"/>
      <w:r w:rsidRPr="001B7B64">
        <w:rPr>
          <w:rFonts w:ascii="Times New Roman" w:eastAsia="Times New Roman" w:hAnsi="Times New Roman" w:cs="Times New Roman"/>
          <w:b/>
          <w:bCs/>
          <w:color w:val="1E1E21"/>
          <w:lang w:eastAsia="lt-LT"/>
        </w:rPr>
        <w:t xml:space="preserve"> pramonės ir uosto komplekse. Veiklos pradžia - 2027 m.</w:t>
      </w:r>
      <w:r w:rsidRPr="001B7B64">
        <w:rPr>
          <w:rFonts w:ascii="Times New Roman" w:eastAsia="Times New Roman" w:hAnsi="Times New Roman" w:cs="Times New Roman"/>
          <w:color w:val="1E1E21"/>
          <w:lang w:eastAsia="lt-LT"/>
        </w:rPr>
        <w:t xml:space="preserve"> Projektas bus vykdomas bendradarbiaujant su „</w:t>
      </w:r>
      <w:proofErr w:type="spellStart"/>
      <w:r w:rsidRPr="001B7B64">
        <w:rPr>
          <w:rFonts w:ascii="Times New Roman" w:eastAsia="Times New Roman" w:hAnsi="Times New Roman" w:cs="Times New Roman"/>
          <w:color w:val="1E1E21"/>
          <w:lang w:eastAsia="lt-LT"/>
        </w:rPr>
        <w:t>Omnia</w:t>
      </w:r>
      <w:proofErr w:type="spellEnd"/>
      <w:r w:rsidRPr="001B7B64">
        <w:rPr>
          <w:rFonts w:ascii="Times New Roman" w:eastAsia="Times New Roman" w:hAnsi="Times New Roman" w:cs="Times New Roman"/>
          <w:color w:val="1E1E21"/>
          <w:lang w:eastAsia="lt-LT"/>
        </w:rPr>
        <w:t>“, duomenų centrų operatore iš „</w:t>
      </w:r>
      <w:proofErr w:type="spellStart"/>
      <w:r w:rsidRPr="001B7B64">
        <w:rPr>
          <w:rFonts w:ascii="Times New Roman" w:eastAsia="Times New Roman" w:hAnsi="Times New Roman" w:cs="Times New Roman"/>
          <w:color w:val="1E1E21"/>
          <w:lang w:eastAsia="lt-LT"/>
        </w:rPr>
        <w:t>Patria</w:t>
      </w:r>
      <w:proofErr w:type="spellEnd"/>
      <w:r w:rsidRPr="001B7B64">
        <w:rPr>
          <w:rFonts w:ascii="Times New Roman" w:eastAsia="Times New Roman" w:hAnsi="Times New Roman" w:cs="Times New Roman"/>
          <w:color w:val="1E1E21"/>
          <w:lang w:eastAsia="lt-LT"/>
        </w:rPr>
        <w:t xml:space="preserve"> </w:t>
      </w:r>
      <w:proofErr w:type="spellStart"/>
      <w:r w:rsidRPr="001B7B64">
        <w:rPr>
          <w:rFonts w:ascii="Times New Roman" w:eastAsia="Times New Roman" w:hAnsi="Times New Roman" w:cs="Times New Roman"/>
          <w:color w:val="1E1E21"/>
          <w:lang w:eastAsia="lt-LT"/>
        </w:rPr>
        <w:t>Investimentos</w:t>
      </w:r>
      <w:proofErr w:type="spellEnd"/>
      <w:r w:rsidRPr="001B7B64">
        <w:rPr>
          <w:rFonts w:ascii="Times New Roman" w:eastAsia="Times New Roman" w:hAnsi="Times New Roman" w:cs="Times New Roman"/>
          <w:color w:val="1E1E21"/>
          <w:lang w:eastAsia="lt-LT"/>
        </w:rPr>
        <w:t xml:space="preserve">“ grupės, ir atsinaujinančios energijos bendrove „Casa dos Ventos“. </w:t>
      </w:r>
      <w:r w:rsidRPr="001B7B64">
        <w:rPr>
          <w:rFonts w:ascii="Times New Roman" w:eastAsia="Times New Roman" w:hAnsi="Times New Roman" w:cs="Times New Roman"/>
          <w:b/>
          <w:bCs/>
          <w:color w:val="1E1E21"/>
          <w:lang w:eastAsia="lt-LT"/>
        </w:rPr>
        <w:t>Projekto investicijos esą sieks per 200 mlrd. BRL. Iš šios sumos 108 mlrd. BRL bus skirta įrangai iki 2035 m. ir papildomoms investicijoms į technologinius patobulinimus per ateinantį dešimtmetį</w:t>
      </w:r>
      <w:r w:rsidRPr="001B7B64">
        <w:rPr>
          <w:rFonts w:ascii="Times New Roman" w:eastAsia="Times New Roman" w:hAnsi="Times New Roman" w:cs="Times New Roman"/>
          <w:color w:val="1E1E21"/>
          <w:lang w:eastAsia="lt-LT"/>
        </w:rPr>
        <w:t xml:space="preserve">. Duomenų centras bus maitinamas vien tik 100 % atsinaujinančia energija, gaunama iš naujų vėjo jėgainių, skirtų šiam projektui, kuriuos valdys „Casa dos Ventos“. Todėl įrenginys nenaudos energijos iš esamo elektros tinklo. Įrangai aušinti taip pat planuojama uždaro ciklo vandens pakartotinio naudojimo sistema. </w:t>
      </w:r>
    </w:p>
    <w:p w14:paraId="4F459976" w14:textId="77777777" w:rsidR="00733885" w:rsidRPr="001B7B64" w:rsidRDefault="00733885" w:rsidP="00733885">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Tačiau baiminamasi dėl Brazilijos mokesčių lengvatų politikos reguliavimo komplikacijų. Tam Brazilija turi greitai įgyvendinti mokesčių lengvatas, kitaip rizikuoja, kad milijardų dolerių atsidurs kitose šalyse. Rugsėjį vyriausybė pradėjo taikyti specialųjį mokesčių režimą duomenų centrų paslaugoms Brazilijoje (</w:t>
      </w:r>
      <w:proofErr w:type="spellStart"/>
      <w:r w:rsidRPr="001B7B64">
        <w:rPr>
          <w:rFonts w:ascii="Times New Roman" w:eastAsia="Times New Roman" w:hAnsi="Times New Roman" w:cs="Times New Roman"/>
          <w:color w:val="1E1E21"/>
          <w:lang w:eastAsia="lt-LT"/>
        </w:rPr>
        <w:t>ReData</w:t>
      </w:r>
      <w:proofErr w:type="spellEnd"/>
      <w:r w:rsidRPr="001B7B64">
        <w:rPr>
          <w:rFonts w:ascii="Times New Roman" w:eastAsia="Times New Roman" w:hAnsi="Times New Roman" w:cs="Times New Roman"/>
          <w:color w:val="1E1E21"/>
          <w:lang w:eastAsia="lt-LT"/>
        </w:rPr>
        <w:t>), sumažindama federalinius mokesčius už įrangos importą. Laikinoji priemonė turi būti pertvarkyta į įstatymą Kongrese; kitaip ji nustos galioti 2026 m. vasarį.</w:t>
      </w:r>
    </w:p>
    <w:p w14:paraId="3C1D26A0" w14:textId="77777777" w:rsidR="00733885" w:rsidRPr="001B7B64" w:rsidRDefault="00733885" w:rsidP="00733885">
      <w:pPr>
        <w:rPr>
          <w:rFonts w:ascii="Times New Roman" w:hAnsi="Times New Roman" w:cs="Times New Roman"/>
        </w:rPr>
      </w:pPr>
      <w:r w:rsidRPr="001B7B64">
        <w:rPr>
          <w:rFonts w:ascii="Times New Roman" w:eastAsia="Times New Roman" w:hAnsi="Times New Roman" w:cs="Times New Roman"/>
          <w:color w:val="1E1E21"/>
          <w:lang w:eastAsia="lt-LT"/>
        </w:rPr>
        <w:t xml:space="preserve">Kiti pasaulio investuotojai domisi Brazilija, tačiau vykdo projektus kitus, kol Brazilijoje dar yra neapibrėžtumo. </w:t>
      </w:r>
    </w:p>
    <w:p w14:paraId="18DA3300" w14:textId="77777777" w:rsidR="0094644A" w:rsidRPr="001B7B64" w:rsidRDefault="0094644A" w:rsidP="007F207A">
      <w:pPr>
        <w:jc w:val="both"/>
        <w:rPr>
          <w:rFonts w:ascii="Times New Roman" w:eastAsia="Times New Roman" w:hAnsi="Times New Roman" w:cs="Times New Roman"/>
          <w:b/>
          <w:bCs/>
          <w:lang w:eastAsia="lt-LT"/>
        </w:rPr>
      </w:pPr>
    </w:p>
    <w:p w14:paraId="214CFCA2" w14:textId="3244BEBA" w:rsidR="007F207A" w:rsidRPr="007F207A" w:rsidRDefault="007F207A" w:rsidP="007F207A">
      <w:pPr>
        <w:jc w:val="both"/>
        <w:rPr>
          <w:rFonts w:ascii="Times New Roman" w:eastAsia="Times New Roman" w:hAnsi="Times New Roman" w:cs="Times New Roman"/>
          <w:b/>
          <w:bCs/>
          <w:lang w:eastAsia="lt-LT"/>
        </w:rPr>
      </w:pPr>
      <w:r w:rsidRPr="007F207A">
        <w:rPr>
          <w:rFonts w:ascii="Times New Roman" w:eastAsia="Times New Roman" w:hAnsi="Times New Roman" w:cs="Times New Roman"/>
          <w:b/>
          <w:bCs/>
          <w:lang w:eastAsia="lt-LT"/>
        </w:rPr>
        <w:t>Bendra Brazilijos ekonominė informacija:</w:t>
      </w:r>
    </w:p>
    <w:p w14:paraId="2D37270D" w14:textId="76120C4C" w:rsidR="005D1805" w:rsidRPr="005D1805" w:rsidRDefault="005D1805" w:rsidP="004132B9">
      <w:pPr>
        <w:rPr>
          <w:rFonts w:ascii="Times New Roman" w:eastAsia="Times New Roman" w:hAnsi="Times New Roman" w:cs="Times New Roman"/>
          <w:color w:val="000000"/>
          <w:lang w:eastAsia="lt-LT"/>
        </w:rPr>
      </w:pPr>
    </w:p>
    <w:p w14:paraId="263E5A28" w14:textId="73847132" w:rsidR="00AD54B0" w:rsidRPr="001B7B64" w:rsidRDefault="005D1805" w:rsidP="004132B9">
      <w:pPr>
        <w:rPr>
          <w:rFonts w:ascii="Times New Roman" w:eastAsia="Times New Roman" w:hAnsi="Times New Roman" w:cs="Times New Roman"/>
          <w:color w:val="1E1E21"/>
          <w:lang w:eastAsia="lt-LT"/>
        </w:rPr>
      </w:pPr>
      <w:r w:rsidRPr="001B7B64">
        <w:rPr>
          <w:rFonts w:ascii="Times New Roman" w:eastAsia="Times New Roman" w:hAnsi="Times New Roman" w:cs="Times New Roman"/>
          <w:b/>
          <w:bCs/>
          <w:color w:val="1E1E21"/>
          <w:lang w:eastAsia="lt-LT"/>
        </w:rPr>
        <w:t xml:space="preserve">2026 m., rinkimų metais, </w:t>
      </w:r>
      <w:r w:rsidR="00322BD3" w:rsidRPr="001B7B64">
        <w:rPr>
          <w:rFonts w:ascii="Times New Roman" w:eastAsia="Times New Roman" w:hAnsi="Times New Roman" w:cs="Times New Roman"/>
          <w:b/>
          <w:bCs/>
          <w:color w:val="1E1E21"/>
          <w:lang w:eastAsia="lt-LT"/>
        </w:rPr>
        <w:t xml:space="preserve">Brazilijos ekonominis augimas turėtų būti žemiausias per visą </w:t>
      </w:r>
      <w:r w:rsidRPr="001B7B64">
        <w:rPr>
          <w:rFonts w:ascii="Times New Roman" w:eastAsia="Times New Roman" w:hAnsi="Times New Roman" w:cs="Times New Roman"/>
          <w:b/>
          <w:bCs/>
          <w:color w:val="1E1E21"/>
          <w:lang w:eastAsia="lt-LT"/>
        </w:rPr>
        <w:t>prezident</w:t>
      </w:r>
      <w:r w:rsidR="00322BD3" w:rsidRPr="001B7B64">
        <w:rPr>
          <w:rFonts w:ascii="Times New Roman" w:eastAsia="Times New Roman" w:hAnsi="Times New Roman" w:cs="Times New Roman"/>
          <w:b/>
          <w:bCs/>
          <w:color w:val="1E1E21"/>
          <w:lang w:eastAsia="lt-LT"/>
        </w:rPr>
        <w:t>o</w:t>
      </w:r>
      <w:r w:rsidRPr="001B7B64">
        <w:rPr>
          <w:rFonts w:ascii="Times New Roman" w:eastAsia="Times New Roman" w:hAnsi="Times New Roman" w:cs="Times New Roman"/>
          <w:b/>
          <w:bCs/>
          <w:color w:val="1E1E21"/>
          <w:lang w:eastAsia="lt-LT"/>
        </w:rPr>
        <w:t xml:space="preserve"> </w:t>
      </w:r>
      <w:proofErr w:type="spellStart"/>
      <w:r w:rsidRPr="001B7B64">
        <w:rPr>
          <w:rFonts w:ascii="Times New Roman" w:eastAsia="Times New Roman" w:hAnsi="Times New Roman" w:cs="Times New Roman"/>
          <w:b/>
          <w:bCs/>
          <w:color w:val="1E1E21"/>
          <w:lang w:eastAsia="lt-LT"/>
        </w:rPr>
        <w:t>Lul</w:t>
      </w:r>
      <w:r w:rsidR="00322BD3" w:rsidRPr="001B7B64">
        <w:rPr>
          <w:rFonts w:ascii="Times New Roman" w:eastAsia="Times New Roman" w:hAnsi="Times New Roman" w:cs="Times New Roman"/>
          <w:b/>
          <w:bCs/>
          <w:color w:val="1E1E21"/>
          <w:lang w:eastAsia="lt-LT"/>
        </w:rPr>
        <w:t>os</w:t>
      </w:r>
      <w:proofErr w:type="spellEnd"/>
      <w:r w:rsidRPr="001B7B64">
        <w:rPr>
          <w:rFonts w:ascii="Times New Roman" w:eastAsia="Times New Roman" w:hAnsi="Times New Roman" w:cs="Times New Roman"/>
          <w:b/>
          <w:bCs/>
          <w:color w:val="1E1E21"/>
          <w:lang w:eastAsia="lt-LT"/>
        </w:rPr>
        <w:t xml:space="preserve"> treči</w:t>
      </w:r>
      <w:r w:rsidR="00322BD3" w:rsidRPr="001B7B64">
        <w:rPr>
          <w:rFonts w:ascii="Times New Roman" w:eastAsia="Times New Roman" w:hAnsi="Times New Roman" w:cs="Times New Roman"/>
          <w:b/>
          <w:bCs/>
          <w:color w:val="1E1E21"/>
          <w:lang w:eastAsia="lt-LT"/>
        </w:rPr>
        <w:t>ą</w:t>
      </w:r>
      <w:r w:rsidRPr="001B7B64">
        <w:rPr>
          <w:rFonts w:ascii="Times New Roman" w:eastAsia="Times New Roman" w:hAnsi="Times New Roman" w:cs="Times New Roman"/>
          <w:b/>
          <w:bCs/>
          <w:color w:val="1E1E21"/>
          <w:lang w:eastAsia="lt-LT"/>
        </w:rPr>
        <w:t xml:space="preserve"> kadencij</w:t>
      </w:r>
      <w:r w:rsidR="00322BD3" w:rsidRPr="001B7B64">
        <w:rPr>
          <w:rFonts w:ascii="Times New Roman" w:eastAsia="Times New Roman" w:hAnsi="Times New Roman" w:cs="Times New Roman"/>
          <w:b/>
          <w:bCs/>
          <w:color w:val="1E1E21"/>
          <w:lang w:eastAsia="lt-LT"/>
        </w:rPr>
        <w:t>ą, tačiau e</w:t>
      </w:r>
      <w:r w:rsidRPr="001B7B64">
        <w:rPr>
          <w:rFonts w:ascii="Times New Roman" w:eastAsia="Times New Roman" w:hAnsi="Times New Roman" w:cs="Times New Roman"/>
          <w:b/>
          <w:bCs/>
          <w:color w:val="1E1E21"/>
          <w:lang w:eastAsia="lt-LT"/>
        </w:rPr>
        <w:t>konomika neturėtų kelti problemų vyriausybei</w:t>
      </w:r>
      <w:r w:rsidR="006444D4" w:rsidRPr="001B7B64">
        <w:rPr>
          <w:rFonts w:ascii="Times New Roman" w:eastAsia="Times New Roman" w:hAnsi="Times New Roman" w:cs="Times New Roman"/>
          <w:b/>
          <w:bCs/>
          <w:color w:val="1E1E21"/>
          <w:lang w:eastAsia="lt-LT"/>
        </w:rPr>
        <w:t xml:space="preserve"> -</w:t>
      </w:r>
      <w:r w:rsidRPr="001B7B64">
        <w:rPr>
          <w:rFonts w:ascii="Times New Roman" w:eastAsia="Times New Roman" w:hAnsi="Times New Roman" w:cs="Times New Roman"/>
          <w:b/>
          <w:bCs/>
          <w:color w:val="1E1E21"/>
          <w:lang w:eastAsia="lt-LT"/>
        </w:rPr>
        <w:t xml:space="preserve"> sulėtė</w:t>
      </w:r>
      <w:r w:rsidR="006444D4" w:rsidRPr="001B7B64">
        <w:rPr>
          <w:rFonts w:ascii="Times New Roman" w:eastAsia="Times New Roman" w:hAnsi="Times New Roman" w:cs="Times New Roman"/>
          <w:b/>
          <w:bCs/>
          <w:color w:val="1E1E21"/>
          <w:lang w:eastAsia="lt-LT"/>
        </w:rPr>
        <w:t>s</w:t>
      </w:r>
      <w:r w:rsidRPr="001B7B64">
        <w:rPr>
          <w:rFonts w:ascii="Times New Roman" w:eastAsia="Times New Roman" w:hAnsi="Times New Roman" w:cs="Times New Roman"/>
          <w:b/>
          <w:bCs/>
          <w:color w:val="1E1E21"/>
          <w:lang w:eastAsia="lt-LT"/>
        </w:rPr>
        <w:t>, bet vis tiek</w:t>
      </w:r>
      <w:r w:rsidR="00322BD3" w:rsidRPr="001B7B64">
        <w:rPr>
          <w:rFonts w:ascii="Times New Roman" w:eastAsia="Times New Roman" w:hAnsi="Times New Roman" w:cs="Times New Roman"/>
          <w:b/>
          <w:bCs/>
          <w:color w:val="1E1E21"/>
          <w:lang w:eastAsia="lt-LT"/>
        </w:rPr>
        <w:t xml:space="preserve"> situacija </w:t>
      </w:r>
      <w:r w:rsidRPr="001B7B64">
        <w:rPr>
          <w:rFonts w:ascii="Times New Roman" w:eastAsia="Times New Roman" w:hAnsi="Times New Roman" w:cs="Times New Roman"/>
          <w:b/>
          <w:bCs/>
          <w:color w:val="1E1E21"/>
          <w:lang w:eastAsia="lt-LT"/>
        </w:rPr>
        <w:t xml:space="preserve"> bus gana gera</w:t>
      </w:r>
      <w:r w:rsidR="00322BD3" w:rsidRPr="001B7B64">
        <w:rPr>
          <w:rFonts w:ascii="Times New Roman" w:eastAsia="Times New Roman" w:hAnsi="Times New Roman" w:cs="Times New Roman"/>
          <w:b/>
          <w:bCs/>
          <w:color w:val="1E1E21"/>
          <w:lang w:eastAsia="lt-LT"/>
        </w:rPr>
        <w:t>.</w:t>
      </w:r>
      <w:r w:rsidRPr="001B7B64">
        <w:rPr>
          <w:rFonts w:ascii="Times New Roman" w:eastAsia="Times New Roman" w:hAnsi="Times New Roman" w:cs="Times New Roman"/>
          <w:b/>
          <w:bCs/>
          <w:color w:val="1E1E21"/>
          <w:lang w:eastAsia="lt-LT"/>
        </w:rPr>
        <w:t xml:space="preserve"> </w:t>
      </w:r>
      <w:r w:rsidR="00322BD3" w:rsidRPr="001B7B64">
        <w:rPr>
          <w:rFonts w:ascii="Times New Roman" w:eastAsia="Times New Roman" w:hAnsi="Times New Roman" w:cs="Times New Roman"/>
          <w:b/>
          <w:bCs/>
          <w:color w:val="1E1E21"/>
          <w:lang w:eastAsia="lt-LT"/>
        </w:rPr>
        <w:t>K</w:t>
      </w:r>
      <w:r w:rsidRPr="001B7B64">
        <w:rPr>
          <w:rFonts w:ascii="Times New Roman" w:eastAsia="Times New Roman" w:hAnsi="Times New Roman" w:cs="Times New Roman"/>
          <w:b/>
          <w:bCs/>
          <w:color w:val="1E1E21"/>
          <w:lang w:eastAsia="lt-LT"/>
        </w:rPr>
        <w:t>itais metais BVP turėtų išaugti nuo 1,5 % iki 2 %</w:t>
      </w:r>
      <w:r w:rsidR="006444D4" w:rsidRPr="001B7B64">
        <w:rPr>
          <w:rFonts w:ascii="Times New Roman" w:eastAsia="Times New Roman" w:hAnsi="Times New Roman" w:cs="Times New Roman"/>
          <w:b/>
          <w:bCs/>
          <w:color w:val="1E1E21"/>
          <w:lang w:eastAsia="lt-LT"/>
        </w:rPr>
        <w:t>,</w:t>
      </w:r>
      <w:r w:rsidR="006444D4" w:rsidRPr="001B7B64">
        <w:rPr>
          <w:rFonts w:ascii="Times New Roman" w:eastAsia="Times New Roman" w:hAnsi="Times New Roman" w:cs="Times New Roman"/>
          <w:color w:val="1E1E21"/>
          <w:lang w:eastAsia="lt-LT"/>
        </w:rPr>
        <w:t xml:space="preserve"> mažiau nei</w:t>
      </w:r>
      <w:r w:rsidRPr="001B7B64">
        <w:rPr>
          <w:rFonts w:ascii="Times New Roman" w:eastAsia="Times New Roman" w:hAnsi="Times New Roman" w:cs="Times New Roman"/>
          <w:color w:val="1E1E21"/>
          <w:lang w:eastAsia="lt-LT"/>
        </w:rPr>
        <w:t xml:space="preserve"> 2025 m. Per pirmuosius dvejus dabartinės  administracijos metus BVP augimas viršijo 3 %.</w:t>
      </w:r>
      <w:r w:rsidR="00AD54B0" w:rsidRPr="001B7B64">
        <w:rPr>
          <w:rFonts w:ascii="Times New Roman" w:eastAsia="Times New Roman" w:hAnsi="Times New Roman" w:cs="Times New Roman"/>
          <w:color w:val="1E1E21"/>
          <w:lang w:eastAsia="lt-LT"/>
        </w:rPr>
        <w:t xml:space="preserve"> </w:t>
      </w:r>
      <w:r w:rsidRPr="001B7B64">
        <w:rPr>
          <w:rFonts w:ascii="Times New Roman" w:eastAsia="Times New Roman" w:hAnsi="Times New Roman" w:cs="Times New Roman"/>
          <w:color w:val="1E1E21"/>
          <w:lang w:eastAsia="lt-LT"/>
        </w:rPr>
        <w:t>2026 m. Brazilijos bendroji skola pasiek</w:t>
      </w:r>
      <w:r w:rsidR="006444D4" w:rsidRPr="001B7B64">
        <w:rPr>
          <w:rFonts w:ascii="Times New Roman" w:eastAsia="Times New Roman" w:hAnsi="Times New Roman" w:cs="Times New Roman"/>
          <w:color w:val="1E1E21"/>
          <w:lang w:eastAsia="lt-LT"/>
        </w:rPr>
        <w:t>s</w:t>
      </w:r>
      <w:r w:rsidRPr="001B7B64">
        <w:rPr>
          <w:rFonts w:ascii="Times New Roman" w:eastAsia="Times New Roman" w:hAnsi="Times New Roman" w:cs="Times New Roman"/>
          <w:color w:val="1E1E21"/>
          <w:lang w:eastAsia="lt-LT"/>
        </w:rPr>
        <w:t xml:space="preserve"> 84 % BVP</w:t>
      </w:r>
      <w:r w:rsidR="00322BD3" w:rsidRPr="001B7B64">
        <w:rPr>
          <w:rFonts w:ascii="Times New Roman" w:eastAsia="Times New Roman" w:hAnsi="Times New Roman" w:cs="Times New Roman"/>
          <w:color w:val="1E1E21"/>
          <w:lang w:eastAsia="lt-LT"/>
        </w:rPr>
        <w:t>.</w:t>
      </w:r>
      <w:r w:rsidR="006444D4" w:rsidRPr="001B7B64">
        <w:rPr>
          <w:rFonts w:ascii="Times New Roman" w:eastAsia="Times New Roman" w:hAnsi="Times New Roman" w:cs="Times New Roman"/>
          <w:color w:val="1E1E21"/>
          <w:lang w:eastAsia="lt-LT"/>
        </w:rPr>
        <w:t xml:space="preserve"> </w:t>
      </w:r>
      <w:proofErr w:type="spellStart"/>
      <w:r w:rsidRPr="001B7B64">
        <w:rPr>
          <w:rFonts w:ascii="Times New Roman" w:eastAsia="Times New Roman" w:hAnsi="Times New Roman" w:cs="Times New Roman"/>
          <w:color w:val="1E1E21"/>
          <w:lang w:eastAsia="lt-LT"/>
        </w:rPr>
        <w:t>Selic</w:t>
      </w:r>
      <w:proofErr w:type="spellEnd"/>
      <w:r w:rsidRPr="001B7B64">
        <w:rPr>
          <w:rFonts w:ascii="Times New Roman" w:eastAsia="Times New Roman" w:hAnsi="Times New Roman" w:cs="Times New Roman"/>
          <w:color w:val="1E1E21"/>
          <w:lang w:eastAsia="lt-LT"/>
        </w:rPr>
        <w:t xml:space="preserve"> palūkanų norma</w:t>
      </w:r>
      <w:r w:rsidR="006444D4" w:rsidRPr="001B7B64">
        <w:rPr>
          <w:rFonts w:ascii="Times New Roman" w:eastAsia="Times New Roman" w:hAnsi="Times New Roman" w:cs="Times New Roman"/>
          <w:color w:val="1E1E21"/>
          <w:lang w:eastAsia="lt-LT"/>
        </w:rPr>
        <w:t xml:space="preserve"> -</w:t>
      </w:r>
      <w:r w:rsidR="00322BD3" w:rsidRPr="001B7B64">
        <w:rPr>
          <w:rFonts w:ascii="Times New Roman" w:eastAsia="Times New Roman" w:hAnsi="Times New Roman" w:cs="Times New Roman"/>
          <w:color w:val="1E1E21"/>
          <w:lang w:eastAsia="lt-LT"/>
        </w:rPr>
        <w:t xml:space="preserve"> </w:t>
      </w:r>
      <w:r w:rsidR="00322BD3" w:rsidRPr="001B7B64">
        <w:rPr>
          <w:rFonts w:ascii="Times New Roman" w:eastAsia="Times New Roman" w:hAnsi="Times New Roman" w:cs="Times New Roman"/>
          <w:color w:val="1E1E21"/>
          <w:lang w:eastAsia="lt-LT"/>
        </w:rPr>
        <w:t>15 % per metus</w:t>
      </w:r>
      <w:r w:rsidR="006444D4" w:rsidRPr="001B7B64">
        <w:rPr>
          <w:rFonts w:ascii="Times New Roman" w:eastAsia="Times New Roman" w:hAnsi="Times New Roman" w:cs="Times New Roman"/>
          <w:color w:val="1E1E21"/>
          <w:lang w:eastAsia="lt-LT"/>
        </w:rPr>
        <w:t xml:space="preserve"> -</w:t>
      </w:r>
      <w:r w:rsidRPr="001B7B64">
        <w:rPr>
          <w:rFonts w:ascii="Times New Roman" w:eastAsia="Times New Roman" w:hAnsi="Times New Roman" w:cs="Times New Roman"/>
          <w:color w:val="1E1E21"/>
          <w:lang w:eastAsia="lt-LT"/>
        </w:rPr>
        <w:t xml:space="preserve"> pasiek</w:t>
      </w:r>
      <w:r w:rsidR="00AD54B0" w:rsidRPr="001B7B64">
        <w:rPr>
          <w:rFonts w:ascii="Times New Roman" w:eastAsia="Times New Roman" w:hAnsi="Times New Roman" w:cs="Times New Roman"/>
          <w:color w:val="1E1E21"/>
          <w:lang w:eastAsia="lt-LT"/>
        </w:rPr>
        <w:t>ė</w:t>
      </w:r>
      <w:r w:rsidRPr="001B7B64">
        <w:rPr>
          <w:rFonts w:ascii="Times New Roman" w:eastAsia="Times New Roman" w:hAnsi="Times New Roman" w:cs="Times New Roman"/>
          <w:color w:val="1E1E21"/>
          <w:lang w:eastAsia="lt-LT"/>
        </w:rPr>
        <w:t xml:space="preserve"> aukščiausią lygį per 20 metų</w:t>
      </w:r>
      <w:r w:rsidR="006444D4" w:rsidRPr="001B7B64">
        <w:rPr>
          <w:rFonts w:ascii="Times New Roman" w:eastAsia="Times New Roman" w:hAnsi="Times New Roman" w:cs="Times New Roman"/>
          <w:color w:val="1E1E21"/>
          <w:lang w:eastAsia="lt-LT"/>
        </w:rPr>
        <w:t xml:space="preserve"> - tai</w:t>
      </w:r>
      <w:r w:rsidRPr="001B7B64">
        <w:rPr>
          <w:rFonts w:ascii="Times New Roman" w:eastAsia="Times New Roman" w:hAnsi="Times New Roman" w:cs="Times New Roman"/>
          <w:color w:val="1E1E21"/>
          <w:lang w:eastAsia="lt-LT"/>
        </w:rPr>
        <w:t xml:space="preserve"> paaiškin</w:t>
      </w:r>
      <w:r w:rsidR="00322BD3" w:rsidRPr="001B7B64">
        <w:rPr>
          <w:rFonts w:ascii="Times New Roman" w:eastAsia="Times New Roman" w:hAnsi="Times New Roman" w:cs="Times New Roman"/>
          <w:color w:val="1E1E21"/>
          <w:lang w:eastAsia="lt-LT"/>
        </w:rPr>
        <w:t xml:space="preserve">a </w:t>
      </w:r>
      <w:r w:rsidRPr="001B7B64">
        <w:rPr>
          <w:rFonts w:ascii="Times New Roman" w:eastAsia="Times New Roman" w:hAnsi="Times New Roman" w:cs="Times New Roman"/>
          <w:color w:val="1E1E21"/>
          <w:lang w:eastAsia="lt-LT"/>
        </w:rPr>
        <w:t>ekonomikos sulėtėjimą, nes brangsta namų ūkių vartojimas ir priva</w:t>
      </w:r>
      <w:r w:rsidR="00322BD3" w:rsidRPr="001B7B64">
        <w:rPr>
          <w:rFonts w:ascii="Times New Roman" w:eastAsia="Times New Roman" w:hAnsi="Times New Roman" w:cs="Times New Roman"/>
          <w:color w:val="1E1E21"/>
          <w:lang w:eastAsia="lt-LT"/>
        </w:rPr>
        <w:t>taus</w:t>
      </w:r>
      <w:r w:rsidRPr="001B7B64">
        <w:rPr>
          <w:rFonts w:ascii="Times New Roman" w:eastAsia="Times New Roman" w:hAnsi="Times New Roman" w:cs="Times New Roman"/>
          <w:color w:val="1E1E21"/>
          <w:lang w:eastAsia="lt-LT"/>
        </w:rPr>
        <w:t xml:space="preserve"> sektoriaus investicijos. </w:t>
      </w:r>
      <w:r w:rsidR="00AD54B0" w:rsidRPr="001B7B64">
        <w:rPr>
          <w:rFonts w:ascii="Times New Roman" w:eastAsia="Times New Roman" w:hAnsi="Times New Roman" w:cs="Times New Roman"/>
          <w:color w:val="1E1E21"/>
          <w:lang w:eastAsia="lt-LT"/>
        </w:rPr>
        <w:t>Prognozuojama, kad bazinės palūkanų normos mažinimas prasidės kovo mėnesį ir nukris iki 12,25 %.</w:t>
      </w:r>
    </w:p>
    <w:p w14:paraId="447824EF" w14:textId="3B403A04" w:rsidR="005D1805" w:rsidRPr="001B7B64" w:rsidRDefault="005D1805" w:rsidP="004132B9">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Pinigų politikos griežtinimo ciklas prasidėjo 2024 m. pabaigoje, kai buvo didelis netikrumas dėl Brazilijos fiskalinės politikos krypties –</w:t>
      </w:r>
      <w:r w:rsidR="00322BD3" w:rsidRPr="001B7B64">
        <w:rPr>
          <w:rFonts w:ascii="Times New Roman" w:eastAsia="Times New Roman" w:hAnsi="Times New Roman" w:cs="Times New Roman"/>
          <w:color w:val="1E1E21"/>
          <w:lang w:eastAsia="lt-LT"/>
        </w:rPr>
        <w:t xml:space="preserve"> JAV</w:t>
      </w:r>
      <w:r w:rsidRPr="001B7B64">
        <w:rPr>
          <w:rFonts w:ascii="Times New Roman" w:eastAsia="Times New Roman" w:hAnsi="Times New Roman" w:cs="Times New Roman"/>
          <w:color w:val="1E1E21"/>
          <w:lang w:eastAsia="lt-LT"/>
        </w:rPr>
        <w:t xml:space="preserve"> doleris pasiekė 6,30 brazilų r</w:t>
      </w:r>
      <w:r w:rsidR="00322BD3" w:rsidRPr="001B7B64">
        <w:rPr>
          <w:rFonts w:ascii="Times New Roman" w:eastAsia="Times New Roman" w:hAnsi="Times New Roman" w:cs="Times New Roman"/>
          <w:color w:val="1E1E21"/>
          <w:lang w:eastAsia="lt-LT"/>
        </w:rPr>
        <w:t>ealo</w:t>
      </w:r>
      <w:r w:rsidRPr="001B7B64">
        <w:rPr>
          <w:rFonts w:ascii="Times New Roman" w:eastAsia="Times New Roman" w:hAnsi="Times New Roman" w:cs="Times New Roman"/>
          <w:color w:val="1E1E21"/>
          <w:lang w:eastAsia="lt-LT"/>
        </w:rPr>
        <w:t>, o infliacijos prognozės buvo toli nuo 3 % tikslo.</w:t>
      </w:r>
    </w:p>
    <w:p w14:paraId="0451977E" w14:textId="605636FD" w:rsidR="005D1805" w:rsidRPr="001B7B64" w:rsidRDefault="005D1805" w:rsidP="004132B9">
      <w:pPr>
        <w:rPr>
          <w:rFonts w:ascii="Times New Roman" w:eastAsia="Times New Roman" w:hAnsi="Times New Roman" w:cs="Times New Roman"/>
          <w:color w:val="1E1E21"/>
          <w:lang w:eastAsia="lt-LT"/>
        </w:rPr>
      </w:pPr>
      <w:r w:rsidRPr="001B7B64">
        <w:rPr>
          <w:rFonts w:ascii="Times New Roman" w:eastAsia="Times New Roman" w:hAnsi="Times New Roman" w:cs="Times New Roman"/>
          <w:color w:val="1E1E21"/>
          <w:lang w:eastAsia="lt-LT"/>
        </w:rPr>
        <w:t xml:space="preserve">2025 m. infliacijos lūkesčiai pagerėjo dėl griežtų Centrinio banko veiksmų. </w:t>
      </w:r>
      <w:r w:rsidR="00322BD3" w:rsidRPr="001B7B64">
        <w:rPr>
          <w:rFonts w:ascii="Times New Roman" w:eastAsia="Times New Roman" w:hAnsi="Times New Roman" w:cs="Times New Roman"/>
          <w:color w:val="1E1E21"/>
          <w:lang w:eastAsia="lt-LT"/>
        </w:rPr>
        <w:t>R</w:t>
      </w:r>
      <w:r w:rsidRPr="001B7B64">
        <w:rPr>
          <w:rFonts w:ascii="Times New Roman" w:eastAsia="Times New Roman" w:hAnsi="Times New Roman" w:cs="Times New Roman"/>
          <w:color w:val="1E1E21"/>
          <w:lang w:eastAsia="lt-LT"/>
        </w:rPr>
        <w:t>ealus valiutos pabrangimas ir geras žemės ūkio derlius padėjo mažinti maisto produktų infliaciją.</w:t>
      </w:r>
      <w:r w:rsidR="00322BD3" w:rsidRPr="001B7B64">
        <w:rPr>
          <w:rFonts w:ascii="Times New Roman" w:eastAsia="Times New Roman" w:hAnsi="Times New Roman" w:cs="Times New Roman"/>
          <w:color w:val="1E1E21"/>
          <w:lang w:eastAsia="lt-LT"/>
        </w:rPr>
        <w:t xml:space="preserve"> </w:t>
      </w:r>
      <w:r w:rsidRPr="001B7B64">
        <w:rPr>
          <w:rFonts w:ascii="Times New Roman" w:eastAsia="Times New Roman" w:hAnsi="Times New Roman" w:cs="Times New Roman"/>
          <w:color w:val="1E1E21"/>
          <w:lang w:eastAsia="lt-LT"/>
        </w:rPr>
        <w:t xml:space="preserve">Tačiau paslaugų kainų indeksas vis dar patiria spaudimą dėl labai įkaitusios darbo rinkos. </w:t>
      </w:r>
      <w:r w:rsidR="00AD54B0" w:rsidRPr="001B7B64">
        <w:rPr>
          <w:rFonts w:ascii="Times New Roman" w:eastAsia="Times New Roman" w:hAnsi="Times New Roman" w:cs="Times New Roman"/>
          <w:color w:val="1E1E21"/>
          <w:lang w:eastAsia="lt-LT"/>
        </w:rPr>
        <w:t xml:space="preserve">2025 m. </w:t>
      </w:r>
      <w:r w:rsidR="00322BD3" w:rsidRPr="001B7B64">
        <w:rPr>
          <w:rFonts w:ascii="Times New Roman" w:eastAsia="Times New Roman" w:hAnsi="Times New Roman" w:cs="Times New Roman"/>
          <w:color w:val="1E1E21"/>
          <w:lang w:eastAsia="lt-LT"/>
        </w:rPr>
        <w:t>III k</w:t>
      </w:r>
      <w:r w:rsidRPr="001B7B64">
        <w:rPr>
          <w:rFonts w:ascii="Times New Roman" w:eastAsia="Times New Roman" w:hAnsi="Times New Roman" w:cs="Times New Roman"/>
          <w:color w:val="1E1E21"/>
          <w:lang w:eastAsia="lt-LT"/>
        </w:rPr>
        <w:t>etvirtį nedarbo lygis buvo 5,4 % – žemiausias kada nors užfiksuotas rodiklis</w:t>
      </w:r>
      <w:r w:rsidR="00322BD3" w:rsidRPr="001B7B64">
        <w:rPr>
          <w:rFonts w:ascii="Times New Roman" w:eastAsia="Times New Roman" w:hAnsi="Times New Roman" w:cs="Times New Roman"/>
          <w:color w:val="1E1E21"/>
          <w:lang w:eastAsia="lt-LT"/>
        </w:rPr>
        <w:t>.</w:t>
      </w:r>
      <w:r w:rsidRPr="001B7B64">
        <w:rPr>
          <w:rFonts w:ascii="Times New Roman" w:eastAsia="Times New Roman" w:hAnsi="Times New Roman" w:cs="Times New Roman"/>
          <w:color w:val="1E1E21"/>
          <w:lang w:eastAsia="lt-LT"/>
        </w:rPr>
        <w:t xml:space="preserve"> 2026 m. vidutinis Brazilijos nedarbo lygis turėtų siekti 5,9 %</w:t>
      </w:r>
      <w:r w:rsidR="006444D4" w:rsidRPr="001B7B64">
        <w:rPr>
          <w:rFonts w:ascii="Times New Roman" w:eastAsia="Times New Roman" w:hAnsi="Times New Roman" w:cs="Times New Roman"/>
          <w:color w:val="1E1E21"/>
          <w:lang w:eastAsia="lt-LT"/>
        </w:rPr>
        <w:t>, o</w:t>
      </w:r>
      <w:r w:rsidRPr="001B7B64">
        <w:rPr>
          <w:rFonts w:ascii="Times New Roman" w:eastAsia="Times New Roman" w:hAnsi="Times New Roman" w:cs="Times New Roman"/>
          <w:color w:val="1E1E21"/>
          <w:lang w:eastAsia="lt-LT"/>
        </w:rPr>
        <w:t xml:space="preserve"> plat</w:t>
      </w:r>
      <w:r w:rsidR="006444D4" w:rsidRPr="001B7B64">
        <w:rPr>
          <w:rFonts w:ascii="Times New Roman" w:eastAsia="Times New Roman" w:hAnsi="Times New Roman" w:cs="Times New Roman"/>
          <w:color w:val="1E1E21"/>
          <w:lang w:eastAsia="lt-LT"/>
        </w:rPr>
        <w:t>us</w:t>
      </w:r>
      <w:r w:rsidRPr="001B7B64">
        <w:rPr>
          <w:rFonts w:ascii="Times New Roman" w:eastAsia="Times New Roman" w:hAnsi="Times New Roman" w:cs="Times New Roman"/>
          <w:color w:val="1E1E21"/>
          <w:lang w:eastAsia="lt-LT"/>
        </w:rPr>
        <w:t xml:space="preserve"> nacionalinis vartotojų kainų indeksas (IPCA) sieks 4,1 %</w:t>
      </w:r>
      <w:r w:rsidR="006444D4" w:rsidRPr="001B7B64">
        <w:rPr>
          <w:rFonts w:ascii="Times New Roman" w:eastAsia="Times New Roman" w:hAnsi="Times New Roman" w:cs="Times New Roman"/>
          <w:color w:val="1E1E21"/>
          <w:lang w:eastAsia="lt-LT"/>
        </w:rPr>
        <w:t>.</w:t>
      </w:r>
    </w:p>
    <w:p w14:paraId="30F7BA1F" w14:textId="77777777" w:rsidR="001B7B64" w:rsidRPr="001B7B64" w:rsidRDefault="001B7B64" w:rsidP="001B7B64">
      <w:pPr>
        <w:jc w:val="both"/>
        <w:rPr>
          <w:rFonts w:ascii="Times New Roman" w:hAnsi="Times New Roman" w:cs="Times New Roman"/>
          <w:color w:val="000000"/>
          <w:lang w:val="pt-BR"/>
        </w:rPr>
      </w:pPr>
    </w:p>
    <w:p w14:paraId="38BE8B2F" w14:textId="77777777" w:rsidR="001B7B64" w:rsidRPr="001B7B64" w:rsidRDefault="001B7B64" w:rsidP="001B7B64">
      <w:pPr>
        <w:jc w:val="both"/>
        <w:rPr>
          <w:rFonts w:ascii="Times New Roman" w:hAnsi="Times New Roman" w:cs="Times New Roman"/>
          <w:color w:val="000000"/>
          <w:lang w:val="pt-BR"/>
        </w:rPr>
      </w:pPr>
      <w:r w:rsidRPr="001B7B64">
        <w:rPr>
          <w:rFonts w:ascii="Times New Roman" w:hAnsi="Times New Roman" w:cs="Times New Roman"/>
          <w:color w:val="000000"/>
          <w:lang w:val="pt-BR"/>
        </w:rPr>
        <w:lastRenderedPageBreak/>
        <w:t xml:space="preserve">„Austin Rating“ duomenimis, </w:t>
      </w:r>
      <w:r w:rsidRPr="001B7B64">
        <w:rPr>
          <w:rFonts w:ascii="Times New Roman" w:hAnsi="Times New Roman" w:cs="Times New Roman"/>
          <w:b/>
          <w:bCs/>
          <w:color w:val="000000"/>
          <w:lang w:val="pt-BR"/>
        </w:rPr>
        <w:t>2025 m. Brazilija iškris iš 10 didžiausių pasaulio ekonomikų</w:t>
      </w:r>
      <w:r w:rsidRPr="001B7B64">
        <w:rPr>
          <w:rFonts w:ascii="Times New Roman" w:hAnsi="Times New Roman" w:cs="Times New Roman"/>
          <w:color w:val="000000"/>
          <w:lang w:val="pt-BR"/>
        </w:rPr>
        <w:t xml:space="preserve">. Prognozuojamas Brazilijos BVP šiais metais siekia 2,26 trilijono JAV dolerių – 11-as didžiausias rodiklis pasaulyje. </w:t>
      </w:r>
      <w:r w:rsidRPr="001B7B64">
        <w:rPr>
          <w:rFonts w:ascii="Times New Roman" w:hAnsi="Times New Roman" w:cs="Times New Roman"/>
          <w:b/>
          <w:bCs/>
          <w:color w:val="000000"/>
          <w:lang w:val="pt-BR"/>
        </w:rPr>
        <w:t>Dabar šią poziciją užėmė rusija, kuri taip pat aplenkė Kanadą</w:t>
      </w:r>
      <w:r w:rsidRPr="001B7B64">
        <w:rPr>
          <w:rFonts w:ascii="Times New Roman" w:hAnsi="Times New Roman" w:cs="Times New Roman"/>
          <w:color w:val="000000"/>
          <w:lang w:val="pt-BR"/>
        </w:rPr>
        <w:t>. „Austin Rating“ tyrime naudojami TVF duomenys.</w:t>
      </w:r>
    </w:p>
    <w:p w14:paraId="00EE5F59" w14:textId="77777777" w:rsidR="001B7B64" w:rsidRPr="001B7B64" w:rsidRDefault="001B7B64" w:rsidP="001B7B64">
      <w:pPr>
        <w:jc w:val="both"/>
        <w:rPr>
          <w:rFonts w:ascii="Times New Roman" w:hAnsi="Times New Roman" w:cs="Times New Roman"/>
          <w:color w:val="000000"/>
          <w:lang w:val="pt-BR"/>
        </w:rPr>
      </w:pPr>
    </w:p>
    <w:p w14:paraId="2AAC1752" w14:textId="289DF8C1" w:rsidR="001B7B64" w:rsidRPr="001B7B64" w:rsidRDefault="001B7B64" w:rsidP="001B7B64">
      <w:pPr>
        <w:jc w:val="both"/>
        <w:rPr>
          <w:rFonts w:ascii="Times New Roman" w:hAnsi="Times New Roman" w:cs="Times New Roman"/>
          <w:color w:val="000000"/>
          <w:lang w:val="pt-BR"/>
        </w:rPr>
      </w:pPr>
      <w:r w:rsidRPr="001B7B64">
        <w:rPr>
          <w:rFonts w:ascii="Times New Roman" w:hAnsi="Times New Roman" w:cs="Times New Roman"/>
          <w:b/>
          <w:bCs/>
          <w:color w:val="000000"/>
          <w:lang w:val="pt-BR"/>
        </w:rPr>
        <w:t>2025 m. lapkritį eksportas į JAV iš viso sudarė 2,66 mlrd. JAV dolerių – 28,1 % mažiau nei tuo pačiu 2024 m. mėnesiu</w:t>
      </w:r>
      <w:r w:rsidRPr="001B7B64">
        <w:rPr>
          <w:rFonts w:ascii="Times New Roman" w:hAnsi="Times New Roman" w:cs="Times New Roman"/>
          <w:color w:val="000000"/>
          <w:lang w:val="pt-BR"/>
        </w:rPr>
        <w:t>. JAV yra antra pagal dydį Brazilijos prekybos partnerė. Tuo tarpu bendras Brazilijos eksportas lapkritį pasiekė 28,5 mlrd. JAV dolerių, tai yra 2,4 % daugiau nei tuo pačiu 2024 m. laikotarpiu.</w:t>
      </w:r>
    </w:p>
    <w:p w14:paraId="27077963" w14:textId="77777777" w:rsidR="001B7B64" w:rsidRPr="001B7B64" w:rsidRDefault="001B7B64" w:rsidP="001B7B64">
      <w:pPr>
        <w:jc w:val="both"/>
        <w:rPr>
          <w:rFonts w:ascii="Times New Roman" w:hAnsi="Times New Roman" w:cs="Times New Roman"/>
          <w:color w:val="000000"/>
          <w:lang w:val="pt-BR"/>
        </w:rPr>
      </w:pPr>
      <w:r w:rsidRPr="001B7B64">
        <w:rPr>
          <w:rFonts w:ascii="Times New Roman" w:hAnsi="Times New Roman" w:cs="Times New Roman"/>
          <w:color w:val="000000"/>
          <w:lang w:val="pt-BR"/>
        </w:rPr>
        <w:t>Didžiausi į JAV eksportuotų prekių sumažėjimai lapkritį: žalia nafta – 66 %; neskrudinta kava – 55,6 %; jautiena – 58,6 %; vaisių arba daržovių sultys – 40,1 %; celiuliozė – 31,4 %.</w:t>
      </w:r>
    </w:p>
    <w:p w14:paraId="64C88136" w14:textId="77777777" w:rsidR="001B7B64" w:rsidRPr="001B7B64" w:rsidRDefault="001B7B64" w:rsidP="001B7B64">
      <w:pPr>
        <w:jc w:val="both"/>
        <w:rPr>
          <w:rFonts w:ascii="Times New Roman" w:hAnsi="Times New Roman" w:cs="Times New Roman"/>
          <w:color w:val="000000"/>
          <w:lang w:val="pt-BR"/>
        </w:rPr>
      </w:pPr>
      <w:r w:rsidRPr="001B7B64">
        <w:rPr>
          <w:rFonts w:ascii="Times New Roman" w:hAnsi="Times New Roman" w:cs="Times New Roman"/>
          <w:color w:val="000000"/>
          <w:lang w:val="pt-BR"/>
        </w:rPr>
        <w:t xml:space="preserve">Prekybos su JAV balansas 2025 m. lapkritį sudarė 5,8 mlrd. JAV dolerių perteklių. Palyginti su tuo pačiu 2024 m. mėnesiu, kai teigiamas balansas siekė 6,7 mlrd. JAV dolerių, sumažėjo 13,4 %. </w:t>
      </w:r>
    </w:p>
    <w:p w14:paraId="6E0A9375" w14:textId="77777777" w:rsidR="001B7B64" w:rsidRPr="001B7B64" w:rsidRDefault="001B7B64" w:rsidP="001B7B64">
      <w:pPr>
        <w:jc w:val="both"/>
        <w:rPr>
          <w:rFonts w:ascii="Times New Roman" w:hAnsi="Times New Roman" w:cs="Times New Roman"/>
          <w:color w:val="000000"/>
          <w:lang w:val="pt-BR"/>
        </w:rPr>
      </w:pPr>
    </w:p>
    <w:p w14:paraId="26C7E06C" w14:textId="77777777" w:rsidR="001B7B64" w:rsidRPr="001B7B64" w:rsidRDefault="001B7B64" w:rsidP="001B7B64">
      <w:pPr>
        <w:jc w:val="both"/>
        <w:rPr>
          <w:rFonts w:ascii="Times New Roman" w:hAnsi="Times New Roman" w:cs="Times New Roman"/>
          <w:b/>
          <w:bCs/>
          <w:color w:val="000000"/>
          <w:lang w:val="pt-BR"/>
        </w:rPr>
      </w:pPr>
      <w:r w:rsidRPr="001B7B64">
        <w:rPr>
          <w:rFonts w:ascii="Times New Roman" w:hAnsi="Times New Roman" w:cs="Times New Roman"/>
          <w:b/>
          <w:bCs/>
          <w:color w:val="000000"/>
          <w:lang w:val="pt-BR"/>
        </w:rPr>
        <w:t>Brazilijos eksportas į Kiniją lapkritį pasiekė 8,271 mlrd. JAV dolerių, t.y. išaugo 41 %. Per 2025 metus pardavimai į šią šalį išaugo 4,2 % ir pasiekė 92,912 mlrd. JAV dolerių.</w:t>
      </w:r>
    </w:p>
    <w:p w14:paraId="5CF95EE2" w14:textId="77777777" w:rsidR="001B7B64" w:rsidRPr="001B7B64" w:rsidRDefault="001B7B64" w:rsidP="001B7B64">
      <w:pPr>
        <w:jc w:val="both"/>
        <w:rPr>
          <w:rFonts w:ascii="Times New Roman" w:hAnsi="Times New Roman" w:cs="Times New Roman"/>
          <w:color w:val="000000"/>
          <w:lang w:val="pt-BR"/>
        </w:rPr>
      </w:pPr>
      <w:r w:rsidRPr="001B7B64">
        <w:rPr>
          <w:rFonts w:ascii="Times New Roman" w:hAnsi="Times New Roman" w:cs="Times New Roman"/>
          <w:color w:val="000000"/>
          <w:lang w:val="pt-BR"/>
        </w:rPr>
        <w:t>Spalio mėnesį importas iš Kinijos išaugo 3,1 % (iš viso už 5,704 mlrd. JAV dolerių), o nuo sausio iki lapkričio – 12,1 % (65,542 mlrd. JAV dolerių).</w:t>
      </w:r>
    </w:p>
    <w:p w14:paraId="65B9E129" w14:textId="77777777" w:rsidR="001B7B64" w:rsidRPr="001B7B64" w:rsidRDefault="001B7B64" w:rsidP="001B7B64">
      <w:pPr>
        <w:jc w:val="both"/>
        <w:rPr>
          <w:rFonts w:ascii="Times New Roman" w:hAnsi="Times New Roman" w:cs="Times New Roman"/>
          <w:color w:val="000000"/>
          <w:lang w:val="pt-BR"/>
        </w:rPr>
      </w:pPr>
      <w:r w:rsidRPr="001B7B64">
        <w:rPr>
          <w:rFonts w:ascii="Times New Roman" w:hAnsi="Times New Roman" w:cs="Times New Roman"/>
          <w:color w:val="000000"/>
          <w:lang w:val="pt-BR"/>
        </w:rPr>
        <w:t xml:space="preserve">Prekybos su Kinija perteklius lapkritį buvo 2,57 mlrd. JAV dolerių, o per visus metus – 27,37 mlrd. JAV dolerių perteklius. </w:t>
      </w:r>
    </w:p>
    <w:p w14:paraId="26FFD2AA" w14:textId="77777777" w:rsidR="001B7B64" w:rsidRPr="001B7B64" w:rsidRDefault="001B7B64" w:rsidP="001B7B64">
      <w:pPr>
        <w:jc w:val="both"/>
        <w:rPr>
          <w:rFonts w:ascii="Times New Roman" w:hAnsi="Times New Roman" w:cs="Times New Roman"/>
          <w:color w:val="000000"/>
          <w:lang w:val="pt-BR"/>
        </w:rPr>
      </w:pPr>
    </w:p>
    <w:p w14:paraId="3ACECCDF" w14:textId="77777777" w:rsidR="001B7B64" w:rsidRPr="001B7B64" w:rsidRDefault="001B7B64" w:rsidP="001B7B64">
      <w:pPr>
        <w:jc w:val="both"/>
        <w:rPr>
          <w:rFonts w:ascii="Times New Roman" w:hAnsi="Times New Roman" w:cs="Times New Roman"/>
          <w:lang w:val="pt-BR"/>
        </w:rPr>
      </w:pPr>
      <w:r w:rsidRPr="001B7B64">
        <w:rPr>
          <w:rFonts w:ascii="Times New Roman" w:hAnsi="Times New Roman" w:cs="Times New Roman"/>
          <w:b/>
          <w:bCs/>
          <w:lang w:val="pt-BR"/>
        </w:rPr>
        <w:t xml:space="preserve">Brazilijos Minas Gerais valstijos pramonės federacija (Fiemg) reikalauja griežto federalinės vyriausybės atsako į Kinijos dempingo praktiką importuojant jos poliesterio audinius. </w:t>
      </w:r>
      <w:r w:rsidRPr="001B7B64">
        <w:rPr>
          <w:rFonts w:ascii="Times New Roman" w:hAnsi="Times New Roman" w:cs="Times New Roman"/>
          <w:lang w:val="pt-BR"/>
        </w:rPr>
        <w:t>Atlikti tyrimai įrodo nesąžiningą Kinijos požiūrį į Braziliją. Vykdomoji valdžia turėtų taikyti antidempingo muitus šio produkto pirkimui, kaip numatyta PPO.</w:t>
      </w:r>
    </w:p>
    <w:p w14:paraId="52504B67" w14:textId="77777777" w:rsidR="001B7B64" w:rsidRPr="001B7B64" w:rsidRDefault="001B7B64" w:rsidP="001B7B64">
      <w:pPr>
        <w:jc w:val="both"/>
        <w:rPr>
          <w:rFonts w:ascii="Times New Roman" w:hAnsi="Times New Roman" w:cs="Times New Roman"/>
          <w:b/>
          <w:bCs/>
          <w:lang w:val="pt-BR"/>
        </w:rPr>
      </w:pPr>
    </w:p>
    <w:p w14:paraId="6D69845C" w14:textId="77777777" w:rsidR="001B7B64" w:rsidRPr="001B7B64" w:rsidRDefault="001B7B64" w:rsidP="001B7B64">
      <w:pPr>
        <w:rPr>
          <w:rFonts w:ascii="Times New Roman" w:eastAsia="Times New Roman" w:hAnsi="Times New Roman" w:cs="Times New Roman"/>
          <w:lang w:eastAsia="lt-LT"/>
        </w:rPr>
      </w:pPr>
      <w:r w:rsidRPr="001B7B64">
        <w:rPr>
          <w:rFonts w:ascii="Times New Roman" w:eastAsia="Times New Roman" w:hAnsi="Times New Roman" w:cs="Times New Roman"/>
          <w:b/>
          <w:bCs/>
          <w:lang w:eastAsia="lt-LT"/>
        </w:rPr>
        <w:t xml:space="preserve">Brazilijos plieno pramonė nuo 2023 m. susiduria su masiniu Kinijos plieno importu, kuris kelia grėsmę jos gebėjimui prisidėti prie šalies vystymosi ir išlikimo. Prognozuojama, kad šiais metais į šalį pateks 6 mln. tonų valcuoto plieno – 32 % daugiau nei 2024 m., </w:t>
      </w:r>
      <w:r w:rsidRPr="001B7B64">
        <w:rPr>
          <w:rFonts w:ascii="Times New Roman" w:eastAsia="Times New Roman" w:hAnsi="Times New Roman" w:cs="Times New Roman"/>
          <w:lang w:eastAsia="lt-LT"/>
        </w:rPr>
        <w:t xml:space="preserve">3 kartus daugiau nei vidutinis importas 2000-2019 m. Kinijos vyriausybė subsidijuoja plieno eksportą, be kita ko, siekdama pakeisti vidaus paklausos nuosmukį. </w:t>
      </w:r>
    </w:p>
    <w:p w14:paraId="0407A461" w14:textId="77777777" w:rsidR="001B7B64" w:rsidRPr="001B7B64" w:rsidRDefault="001B7B64" w:rsidP="001B7B64">
      <w:pPr>
        <w:rPr>
          <w:rFonts w:ascii="Times New Roman" w:eastAsia="Times New Roman" w:hAnsi="Times New Roman" w:cs="Times New Roman"/>
          <w:lang w:eastAsia="lt-LT"/>
        </w:rPr>
      </w:pPr>
      <w:r w:rsidRPr="001B7B64">
        <w:rPr>
          <w:rFonts w:ascii="Times New Roman" w:eastAsia="Times New Roman" w:hAnsi="Times New Roman" w:cs="Times New Roman"/>
          <w:lang w:eastAsia="lt-LT"/>
        </w:rPr>
        <w:t>Plieno importas daro įtaką ne tik Brazilijai, bet ir kitoms šalims, kurios griežtai reagavo, siekdamos išsaugoti nacionalinę pramonę, didindamos tarifus ir mažindamos kvotas. Tačiau Brazilija tapo ypač pažeidžiama, nes čia plieno importo tarifas yra 10,8 %. 2024 m. tik 10 produktų iš 273 importo tarifai buvo padidinti 25 %. Šią priemonę susilpnino dosnios plieno įvežimo kvotos. Padėtį dar pablogina prekės įvežimo paskatos - specialūs režimai, prekybos susitarimai. Taigi, efektyvus plieno importo mokesčio tarifas yra tik 7,2 %.</w:t>
      </w:r>
    </w:p>
    <w:p w14:paraId="3439C088" w14:textId="77777777" w:rsidR="001B7B64" w:rsidRPr="007D2EE0" w:rsidRDefault="001B7B64" w:rsidP="001B7B64">
      <w:pPr>
        <w:rPr>
          <w:rFonts w:ascii="Times New Roman" w:eastAsia="Times New Roman" w:hAnsi="Times New Roman" w:cs="Times New Roman"/>
          <w:lang w:eastAsia="lt-LT"/>
        </w:rPr>
      </w:pPr>
      <w:r w:rsidRPr="001B7B64">
        <w:rPr>
          <w:rFonts w:ascii="Times New Roman" w:eastAsia="Times New Roman" w:hAnsi="Times New Roman" w:cs="Times New Roman"/>
          <w:lang w:eastAsia="lt-LT"/>
        </w:rPr>
        <w:t>Žala matoma. Plieno pramonėje jau atleista daugiau nei 5000 darbuotojų ir sumažintos 2,5 mlrd. BRL investicijos. Gamyklų uždarymas neišvengiamas. Plieno segmento mažėjimas kelia grėsmę visai pramonei, žala esą gali tapti  negrįžtama ir sukelti nepageidaujamą priklausomybę nuo importo. Deja, Brazilijos vyriausybė iki šiol nesiėmė gynybos veiksmų.</w:t>
      </w:r>
    </w:p>
    <w:p w14:paraId="5EE6B56E" w14:textId="77777777" w:rsidR="001B7B64" w:rsidRPr="001B7B64" w:rsidRDefault="001B7B64" w:rsidP="001B7B64">
      <w:pPr>
        <w:jc w:val="both"/>
        <w:rPr>
          <w:rFonts w:ascii="Times New Roman" w:hAnsi="Times New Roman" w:cs="Times New Roman"/>
        </w:rPr>
      </w:pPr>
    </w:p>
    <w:p w14:paraId="53CB367E" w14:textId="77777777" w:rsidR="001B7B64" w:rsidRPr="001B7B64" w:rsidRDefault="001B7B64" w:rsidP="001B7B64">
      <w:pPr>
        <w:jc w:val="both"/>
        <w:rPr>
          <w:rFonts w:ascii="Times New Roman" w:hAnsi="Times New Roman" w:cs="Times New Roman"/>
          <w:b/>
          <w:bCs/>
          <w:lang w:val="pt-BR"/>
        </w:rPr>
      </w:pPr>
      <w:r w:rsidRPr="001B7B64">
        <w:rPr>
          <w:rFonts w:ascii="Times New Roman" w:hAnsi="Times New Roman" w:cs="Times New Roman"/>
          <w:b/>
          <w:bCs/>
        </w:rPr>
        <w:t xml:space="preserve">Brazilijos žemės ūkio verslo eksportas lapkritį pasiekė 13,4 mlrd. </w:t>
      </w:r>
      <w:r w:rsidRPr="001B7B64">
        <w:rPr>
          <w:rFonts w:ascii="Times New Roman" w:hAnsi="Times New Roman" w:cs="Times New Roman"/>
          <w:b/>
          <w:bCs/>
          <w:lang w:val="pt-BR"/>
        </w:rPr>
        <w:t>JAV dolerių, tai yra 6,2 % daugiau nei tuo pačiu 2024 m. mėnesiu, o tai lėmė pajamos iš sojų pupelių, kavos ir jautienos.</w:t>
      </w:r>
    </w:p>
    <w:p w14:paraId="35F67171" w14:textId="77777777" w:rsidR="001B7B64" w:rsidRPr="001B7B64" w:rsidRDefault="001B7B64" w:rsidP="001B7B64">
      <w:pPr>
        <w:jc w:val="both"/>
        <w:rPr>
          <w:rFonts w:ascii="Times New Roman" w:hAnsi="Times New Roman" w:cs="Times New Roman"/>
          <w:lang w:val="pt-BR"/>
        </w:rPr>
      </w:pPr>
      <w:r w:rsidRPr="001B7B64">
        <w:rPr>
          <w:rFonts w:ascii="Times New Roman" w:hAnsi="Times New Roman" w:cs="Times New Roman"/>
          <w:lang w:val="pt-BR"/>
        </w:rPr>
        <w:t>Lapkritį bendros pajamos iš sojų pupelių eksporto (daugiausiai į Kiniją) pasiekė 1,83 mlrd. JAV dolerių, tai yra 64,6 % daugiau nei tuo pačiu laikotarpiu praėjusiais metais. Brazilijos jautienos eksportas lapkričio mėnesį užfiksavo 1,75 mlrd. JAV dolerių pajamas – 51,8 % daugiau nei pernai tuo pačiu laikotarpiu. Dideli į įvairias rinkas išsiųsti mėsos kiekiai kompensavo eksporto į JAV sumažėjimą dėl tarifų.</w:t>
      </w:r>
    </w:p>
    <w:p w14:paraId="4A6AC495" w14:textId="77777777" w:rsidR="001B7B64" w:rsidRPr="001B7B64" w:rsidRDefault="001B7B64" w:rsidP="001B7B64">
      <w:pPr>
        <w:jc w:val="both"/>
        <w:rPr>
          <w:rFonts w:ascii="Times New Roman" w:hAnsi="Times New Roman" w:cs="Times New Roman"/>
          <w:lang w:val="pt-BR"/>
        </w:rPr>
      </w:pPr>
      <w:r w:rsidRPr="001B7B64">
        <w:rPr>
          <w:rFonts w:ascii="Times New Roman" w:hAnsi="Times New Roman" w:cs="Times New Roman"/>
          <w:lang w:val="pt-BR"/>
        </w:rPr>
        <w:t>Žalios kavos eksportas lapkričio mėnesį pasiekė 1,5 mlrd. JAV dolerių – 9,1 % daugiau dėl didesnių kainų.</w:t>
      </w:r>
    </w:p>
    <w:p w14:paraId="7D045B5F" w14:textId="77777777" w:rsidR="001B7B64" w:rsidRPr="001B7B64" w:rsidRDefault="001B7B64" w:rsidP="001B7B64">
      <w:pPr>
        <w:jc w:val="both"/>
        <w:rPr>
          <w:rFonts w:ascii="Times New Roman" w:hAnsi="Times New Roman" w:cs="Times New Roman"/>
          <w:lang w:val="pt-BR"/>
        </w:rPr>
      </w:pPr>
      <w:r w:rsidRPr="001B7B64">
        <w:rPr>
          <w:rFonts w:ascii="Times New Roman" w:hAnsi="Times New Roman" w:cs="Times New Roman"/>
          <w:lang w:val="pt-BR"/>
        </w:rPr>
        <w:t>Nuo 2025 m. sausio iki lapkričio mėnesio žemės ūkio verslo eksportas iš viso sudarė 155,25 mlrd. JAV dolerių – tai didžiausia kada nors užfiksuota vertė per tą laikotarpį ir 1,7 % didesnė nei tuo pačiu laikotarpiu pernai.</w:t>
      </w:r>
    </w:p>
    <w:p w14:paraId="2B324426" w14:textId="77777777" w:rsidR="001B7B64" w:rsidRPr="001B7B64" w:rsidRDefault="001B7B64" w:rsidP="001B7B64">
      <w:pPr>
        <w:jc w:val="both"/>
        <w:rPr>
          <w:rFonts w:ascii="Times New Roman" w:hAnsi="Times New Roman" w:cs="Times New Roman"/>
          <w:lang w:val="pt-BR"/>
        </w:rPr>
      </w:pPr>
    </w:p>
    <w:p w14:paraId="42670F3E" w14:textId="52BD737A" w:rsidR="006A5966" w:rsidRPr="001B7B64" w:rsidRDefault="006A5966" w:rsidP="004132B9">
      <w:pPr>
        <w:shd w:val="clear" w:color="auto" w:fill="FFFFFF"/>
        <w:textAlignment w:val="baseline"/>
        <w:rPr>
          <w:rFonts w:ascii="Times New Roman" w:eastAsia="Times New Roman" w:hAnsi="Times New Roman" w:cs="Times New Roman"/>
          <w:color w:val="000000"/>
          <w:lang w:eastAsia="lt-LT"/>
        </w:rPr>
      </w:pPr>
      <w:r w:rsidRPr="001B7B64">
        <w:rPr>
          <w:rFonts w:ascii="Times New Roman" w:eastAsia="Times New Roman" w:hAnsi="Times New Roman" w:cs="Times New Roman"/>
          <w:b/>
          <w:bCs/>
          <w:color w:val="000000"/>
          <w:lang w:eastAsia="lt-LT"/>
        </w:rPr>
        <w:t xml:space="preserve">Brazilijos eksportas į </w:t>
      </w:r>
      <w:proofErr w:type="spellStart"/>
      <w:r w:rsidRPr="001B7B64">
        <w:rPr>
          <w:rFonts w:ascii="Times New Roman" w:eastAsia="Times New Roman" w:hAnsi="Times New Roman" w:cs="Times New Roman"/>
          <w:b/>
          <w:bCs/>
          <w:color w:val="000000"/>
          <w:lang w:eastAsia="lt-LT"/>
        </w:rPr>
        <w:t>Mercosur</w:t>
      </w:r>
      <w:proofErr w:type="spellEnd"/>
      <w:r w:rsidRPr="001B7B64">
        <w:rPr>
          <w:rFonts w:ascii="Times New Roman" w:eastAsia="Times New Roman" w:hAnsi="Times New Roman" w:cs="Times New Roman"/>
          <w:b/>
          <w:bCs/>
          <w:color w:val="000000"/>
          <w:lang w:eastAsia="lt-LT"/>
        </w:rPr>
        <w:t xml:space="preserve"> šalis partneres nuo 2025 m. sausio iki lapkričio mėnesio sudarė 23,8 mlrd. JAV dolerių, tai yra 30 % daugiau nei tuo pačiu 2024 m. laikotarpiu, </w:t>
      </w:r>
      <w:r w:rsidRPr="001B7B64">
        <w:rPr>
          <w:rFonts w:ascii="Times New Roman" w:eastAsia="Times New Roman" w:hAnsi="Times New Roman" w:cs="Times New Roman"/>
          <w:color w:val="000000"/>
          <w:lang w:eastAsia="lt-LT"/>
        </w:rPr>
        <w:t>daugiausia dėl padidėjusio eksporto į Argentiną.</w:t>
      </w:r>
    </w:p>
    <w:p w14:paraId="3DD85BE7" w14:textId="5B93DE21" w:rsidR="006A5966" w:rsidRPr="001B7B64" w:rsidRDefault="006A5966" w:rsidP="004132B9">
      <w:pPr>
        <w:shd w:val="clear" w:color="auto" w:fill="FFFFFF"/>
        <w:textAlignment w:val="baseline"/>
        <w:rPr>
          <w:rFonts w:ascii="Times New Roman" w:eastAsia="Times New Roman" w:hAnsi="Times New Roman" w:cs="Times New Roman"/>
          <w:color w:val="000000"/>
          <w:lang w:eastAsia="lt-LT"/>
        </w:rPr>
      </w:pPr>
      <w:r w:rsidRPr="001B7B64">
        <w:rPr>
          <w:rFonts w:ascii="Times New Roman" w:eastAsia="Times New Roman" w:hAnsi="Times New Roman" w:cs="Times New Roman"/>
          <w:color w:val="000000"/>
          <w:lang w:eastAsia="lt-LT"/>
        </w:rPr>
        <w:t>Importas iš „</w:t>
      </w:r>
      <w:proofErr w:type="spellStart"/>
      <w:r w:rsidRPr="001B7B64">
        <w:rPr>
          <w:rFonts w:ascii="Times New Roman" w:eastAsia="Times New Roman" w:hAnsi="Times New Roman" w:cs="Times New Roman"/>
          <w:color w:val="000000"/>
          <w:lang w:eastAsia="lt-LT"/>
        </w:rPr>
        <w:t>Mercosur</w:t>
      </w:r>
      <w:proofErr w:type="spellEnd"/>
      <w:r w:rsidRPr="001B7B64">
        <w:rPr>
          <w:rFonts w:ascii="Times New Roman" w:eastAsia="Times New Roman" w:hAnsi="Times New Roman" w:cs="Times New Roman"/>
          <w:color w:val="000000"/>
          <w:lang w:eastAsia="lt-LT"/>
        </w:rPr>
        <w:t>“ partnerių į Braziliją per pirmuosius 11 mėnesių sudarė 16,9 mlrd. JAV dolerių, tai yra 4,1 % mažiau nei tuo pačiu 2024 m. laikotarpiu.</w:t>
      </w:r>
    </w:p>
    <w:p w14:paraId="2E216716" w14:textId="359C5819" w:rsidR="006A5966" w:rsidRPr="001B7B64" w:rsidRDefault="006A5966" w:rsidP="004132B9">
      <w:pPr>
        <w:shd w:val="clear" w:color="auto" w:fill="FFFFFF"/>
        <w:textAlignment w:val="baseline"/>
        <w:rPr>
          <w:rFonts w:ascii="Times New Roman" w:eastAsia="Times New Roman" w:hAnsi="Times New Roman" w:cs="Times New Roman"/>
          <w:color w:val="000000"/>
          <w:lang w:eastAsia="lt-LT"/>
        </w:rPr>
      </w:pPr>
      <w:r w:rsidRPr="001B7B64">
        <w:rPr>
          <w:rFonts w:ascii="Times New Roman" w:eastAsia="Times New Roman" w:hAnsi="Times New Roman" w:cs="Times New Roman"/>
          <w:color w:val="000000"/>
          <w:lang w:eastAsia="lt-LT"/>
        </w:rPr>
        <w:lastRenderedPageBreak/>
        <w:t>Tame pačiame dokumente teigiama, kad prekyba bloke nuo jo sukūrimo išaugo daugiau nei dešimt kartų – nuo ​​4,5 mlrd. JAV dolerių 1991 m. iki 49 mlrd. JAV dolerių 2024 m., nors, palyginti su 2023 m., ji šiek tiek sumažėjo – 1,6 %.</w:t>
      </w:r>
    </w:p>
    <w:p w14:paraId="7F18F933" w14:textId="77777777" w:rsidR="006A5966" w:rsidRPr="001B7B64" w:rsidRDefault="006A5966" w:rsidP="004132B9">
      <w:pPr>
        <w:pStyle w:val="null"/>
        <w:spacing w:before="0" w:beforeAutospacing="0" w:after="0" w:afterAutospacing="0"/>
        <w:jc w:val="both"/>
        <w:rPr>
          <w:rStyle w:val="null1"/>
          <w:sz w:val="22"/>
          <w:szCs w:val="22"/>
          <w:lang w:val="pt-BR"/>
        </w:rPr>
      </w:pPr>
    </w:p>
    <w:p w14:paraId="34D49A7B" w14:textId="77777777" w:rsidR="001B7B64" w:rsidRPr="001B7B64" w:rsidRDefault="001B7B64" w:rsidP="001B7B64">
      <w:pPr>
        <w:jc w:val="both"/>
        <w:rPr>
          <w:rFonts w:ascii="Times New Roman" w:hAnsi="Times New Roman" w:cs="Times New Roman"/>
          <w:lang w:val="pt-BR"/>
        </w:rPr>
      </w:pPr>
      <w:r w:rsidRPr="001B7B64">
        <w:rPr>
          <w:rFonts w:ascii="Times New Roman" w:hAnsi="Times New Roman" w:cs="Times New Roman"/>
          <w:b/>
          <w:bCs/>
          <w:lang w:val="pt-BR"/>
        </w:rPr>
        <w:t xml:space="preserve">Brazilijos Nacionalinė pramonės konfederacija (CNI) teigia, kad Meksikos sprendimas padidinti importo tarifus Brazilijai gali paveikti 1,7 mlrd. JAV dolerių Brazilijos pramonės eksporto. </w:t>
      </w:r>
      <w:r w:rsidRPr="001B7B64">
        <w:rPr>
          <w:rFonts w:ascii="Times New Roman" w:hAnsi="Times New Roman" w:cs="Times New Roman"/>
          <w:lang w:val="pt-BR"/>
        </w:rPr>
        <w:t>Įstatymo projektą patvirtino Meksikos Kongresas, o dabar jį pasirašys prezidentė Claudia Sheinbaum. Be Brazilijos, tarifų padidinimas paveiks Kiniją ir dar devynias šalis. Pasak CNI, patvirtintame pasiūlyme numatytas importo tarifų padidinimas 983 produktams iš 19 pramonės sektorių. Brazilija būtų penkta labiausiai paveikta šalis, o tarifai paveiktų 232 Brazilijos gamybos pramonės produktus, kurių bendra vertė siekia 1,7 mlrd. JAV dolerių ir kurie sudarė maždaug 14,7 % eksporto į Meksiką 2024 m.</w:t>
      </w:r>
    </w:p>
    <w:p w14:paraId="1C7283BA" w14:textId="77777777" w:rsidR="007D2EE0" w:rsidRPr="001B7B64" w:rsidRDefault="007D2EE0" w:rsidP="004132B9">
      <w:pPr>
        <w:rPr>
          <w:rFonts w:ascii="Times New Roman" w:hAnsi="Times New Roman" w:cs="Times New Roman"/>
          <w:b/>
          <w:bCs/>
          <w:lang w:val="pt-BR"/>
        </w:rPr>
      </w:pPr>
    </w:p>
    <w:p w14:paraId="1E90E543" w14:textId="61C3E946" w:rsidR="007D2EE0" w:rsidRPr="001B7B64" w:rsidRDefault="004B240C" w:rsidP="004132B9">
      <w:pPr>
        <w:rPr>
          <w:rFonts w:ascii="Times New Roman" w:hAnsi="Times New Roman" w:cs="Times New Roman"/>
          <w:b/>
          <w:bCs/>
          <w:lang w:val="pt-BR"/>
        </w:rPr>
      </w:pPr>
      <w:r w:rsidRPr="001B7B64">
        <w:rPr>
          <w:rFonts w:ascii="Times New Roman" w:hAnsi="Times New Roman" w:cs="Times New Roman"/>
          <w:b/>
          <w:bCs/>
          <w:lang w:val="pt-BR"/>
        </w:rPr>
        <w:t>Brazilija 2025 m. aplenkė J</w:t>
      </w:r>
      <w:r w:rsidRPr="001B7B64">
        <w:rPr>
          <w:rFonts w:ascii="Times New Roman" w:hAnsi="Times New Roman" w:cs="Times New Roman"/>
          <w:b/>
          <w:bCs/>
          <w:lang w:val="pt-BR"/>
        </w:rPr>
        <w:t>AV</w:t>
      </w:r>
      <w:r w:rsidRPr="001B7B64">
        <w:rPr>
          <w:rFonts w:ascii="Times New Roman" w:hAnsi="Times New Roman" w:cs="Times New Roman"/>
          <w:b/>
          <w:bCs/>
          <w:lang w:val="pt-BR"/>
        </w:rPr>
        <w:t xml:space="preserve"> ir tapo didžiausia jautienos ir veršienos gamintoja pasaulyje. </w:t>
      </w:r>
      <w:r w:rsidRPr="001B7B64">
        <w:rPr>
          <w:rFonts w:ascii="Times New Roman" w:hAnsi="Times New Roman" w:cs="Times New Roman"/>
          <w:lang w:val="pt-BR"/>
        </w:rPr>
        <w:t xml:space="preserve">Remiantis JAV Žemės ūkio departamento gruodžio 9 d. paskelbtais duomenimis, Brazilija </w:t>
      </w:r>
      <w:r w:rsidRPr="001B7B64">
        <w:rPr>
          <w:rFonts w:ascii="Times New Roman" w:hAnsi="Times New Roman" w:cs="Times New Roman"/>
          <w:lang w:val="pt-BR"/>
        </w:rPr>
        <w:t>pagamino</w:t>
      </w:r>
      <w:r w:rsidRPr="001B7B64">
        <w:rPr>
          <w:rFonts w:ascii="Times New Roman" w:hAnsi="Times New Roman" w:cs="Times New Roman"/>
          <w:lang w:val="pt-BR"/>
        </w:rPr>
        <w:t xml:space="preserve"> 12,35 mln. tonų  jautienos, palyginti su 11,81 mln. tonų JAV. Iš karto po JAV seka Kinija, kurios gamyba siekia 7,79 mln. tonų, ES – 6,47 mln. tonų, ir Indija – 4,63 mln. tonų. Iš viso pasaulyje pagaminta 61,94 mln. tonų.</w:t>
      </w:r>
    </w:p>
    <w:p w14:paraId="7FEEF216" w14:textId="77777777" w:rsidR="000B4EFB" w:rsidRPr="001B7B64" w:rsidRDefault="000B4EFB" w:rsidP="004132B9">
      <w:pPr>
        <w:rPr>
          <w:rFonts w:ascii="Times New Roman" w:eastAsia="Times New Roman" w:hAnsi="Times New Roman" w:cs="Times New Roman"/>
          <w:lang w:eastAsia="lt-LT"/>
        </w:rPr>
      </w:pPr>
    </w:p>
    <w:p w14:paraId="32E0B148" w14:textId="1327FBAE" w:rsidR="002C4ED9" w:rsidRPr="002C4ED9" w:rsidRDefault="002C4ED9" w:rsidP="004132B9">
      <w:pPr>
        <w:rPr>
          <w:rFonts w:ascii="Times New Roman" w:eastAsia="Times New Roman" w:hAnsi="Times New Roman" w:cs="Times New Roman"/>
          <w:b/>
          <w:bCs/>
          <w:lang w:eastAsia="lt-LT"/>
        </w:rPr>
      </w:pPr>
      <w:r w:rsidRPr="002C4ED9">
        <w:rPr>
          <w:rFonts w:ascii="Times New Roman" w:eastAsia="Times New Roman" w:hAnsi="Times New Roman" w:cs="Times New Roman"/>
          <w:b/>
          <w:bCs/>
          <w:lang w:eastAsia="lt-LT"/>
        </w:rPr>
        <w:t xml:space="preserve">2025 m. </w:t>
      </w:r>
      <w:proofErr w:type="spellStart"/>
      <w:r w:rsidRPr="002C4ED9">
        <w:rPr>
          <w:rFonts w:ascii="Times New Roman" w:eastAsia="Times New Roman" w:hAnsi="Times New Roman" w:cs="Times New Roman"/>
          <w:b/>
          <w:bCs/>
          <w:lang w:eastAsia="lt-LT"/>
        </w:rPr>
        <w:t>Banco</w:t>
      </w:r>
      <w:proofErr w:type="spellEnd"/>
      <w:r w:rsidRPr="002C4ED9">
        <w:rPr>
          <w:rFonts w:ascii="Times New Roman" w:eastAsia="Times New Roman" w:hAnsi="Times New Roman" w:cs="Times New Roman"/>
          <w:b/>
          <w:bCs/>
          <w:lang w:eastAsia="lt-LT"/>
        </w:rPr>
        <w:t xml:space="preserve"> </w:t>
      </w:r>
      <w:proofErr w:type="spellStart"/>
      <w:r w:rsidRPr="002C4ED9">
        <w:rPr>
          <w:rFonts w:ascii="Times New Roman" w:eastAsia="Times New Roman" w:hAnsi="Times New Roman" w:cs="Times New Roman"/>
          <w:b/>
          <w:bCs/>
          <w:lang w:eastAsia="lt-LT"/>
        </w:rPr>
        <w:t>Master</w:t>
      </w:r>
      <w:proofErr w:type="spellEnd"/>
      <w:r w:rsidRPr="002C4ED9">
        <w:rPr>
          <w:rFonts w:ascii="Times New Roman" w:eastAsia="Times New Roman" w:hAnsi="Times New Roman" w:cs="Times New Roman"/>
          <w:b/>
          <w:bCs/>
          <w:lang w:eastAsia="lt-LT"/>
        </w:rPr>
        <w:t xml:space="preserve">, vidutinio dydžio Brazilijos finansų institucija, pateko į plataus masto teisines ir reguliacines procedūras po to, kai Brazilijos centrinis bankas nustatė rimtus pažeidimus, susijusius su kredito operacijomis ir likvidumo valdymu. 2025 m. lapkričio 18 d. banko veikla buvo sustabdyta ir pradėta jo </w:t>
      </w:r>
      <w:proofErr w:type="spellStart"/>
      <w:r w:rsidRPr="002C4ED9">
        <w:rPr>
          <w:rFonts w:ascii="Times New Roman" w:eastAsia="Times New Roman" w:hAnsi="Times New Roman" w:cs="Times New Roman"/>
          <w:b/>
          <w:bCs/>
          <w:lang w:eastAsia="lt-LT"/>
        </w:rPr>
        <w:t>ekstrateisminė</w:t>
      </w:r>
      <w:proofErr w:type="spellEnd"/>
      <w:r w:rsidRPr="002C4ED9">
        <w:rPr>
          <w:rFonts w:ascii="Times New Roman" w:eastAsia="Times New Roman" w:hAnsi="Times New Roman" w:cs="Times New Roman"/>
          <w:b/>
          <w:bCs/>
          <w:lang w:eastAsia="lt-LT"/>
        </w:rPr>
        <w:t xml:space="preserve"> likvidacija, remiantis </w:t>
      </w:r>
      <w:r w:rsidRPr="002C4ED9">
        <w:rPr>
          <w:rFonts w:ascii="Times New Roman" w:eastAsia="Times New Roman" w:hAnsi="Times New Roman" w:cs="Times New Roman"/>
          <w:b/>
          <w:bCs/>
          <w:i/>
          <w:iCs/>
          <w:lang w:eastAsia="lt-LT"/>
        </w:rPr>
        <w:t>sunkiais reguliavimo pažeidimais ir reikšminga likvidumo krize</w:t>
      </w:r>
      <w:r w:rsidRPr="002C4ED9">
        <w:rPr>
          <w:rFonts w:ascii="Times New Roman" w:eastAsia="Times New Roman" w:hAnsi="Times New Roman" w:cs="Times New Roman"/>
          <w:b/>
          <w:bCs/>
          <w:lang w:eastAsia="lt-LT"/>
        </w:rPr>
        <w:t xml:space="preserve">. </w:t>
      </w:r>
    </w:p>
    <w:p w14:paraId="70FDE916" w14:textId="30702AF7" w:rsidR="002C4ED9" w:rsidRPr="002C4ED9" w:rsidRDefault="002C4ED9" w:rsidP="004132B9">
      <w:pPr>
        <w:rPr>
          <w:rFonts w:ascii="Times New Roman" w:eastAsia="Times New Roman" w:hAnsi="Times New Roman" w:cs="Times New Roman"/>
          <w:lang w:eastAsia="lt-LT"/>
        </w:rPr>
      </w:pPr>
      <w:r w:rsidRPr="002C4ED9">
        <w:rPr>
          <w:rFonts w:ascii="Times New Roman" w:eastAsia="Times New Roman" w:hAnsi="Times New Roman" w:cs="Times New Roman"/>
          <w:lang w:eastAsia="lt-LT"/>
        </w:rPr>
        <w:t xml:space="preserve">Centrinio banko atlikta priežiūra atskleidė galimai fiktyvias ar be užstato atliktas kreditų portfelio pardavimo operacijas, </w:t>
      </w:r>
      <w:r w:rsidR="000B4EFB" w:rsidRPr="001B7B64">
        <w:rPr>
          <w:rFonts w:ascii="Times New Roman" w:eastAsia="Times New Roman" w:hAnsi="Times New Roman" w:cs="Times New Roman"/>
          <w:lang w:eastAsia="lt-LT"/>
        </w:rPr>
        <w:t xml:space="preserve">kurių </w:t>
      </w:r>
      <w:r w:rsidRPr="002C4ED9">
        <w:rPr>
          <w:rFonts w:ascii="Times New Roman" w:eastAsia="Times New Roman" w:hAnsi="Times New Roman" w:cs="Times New Roman"/>
          <w:lang w:eastAsia="lt-LT"/>
        </w:rPr>
        <w:t xml:space="preserve">vertė gali siekti apie 12,2 mlrd. BRL. </w:t>
      </w:r>
    </w:p>
    <w:p w14:paraId="7D1D8549" w14:textId="29FA649D" w:rsidR="002C4ED9" w:rsidRPr="001B7B64" w:rsidRDefault="002C4ED9" w:rsidP="004132B9">
      <w:pPr>
        <w:rPr>
          <w:rFonts w:ascii="Times New Roman" w:eastAsia="Times New Roman" w:hAnsi="Times New Roman" w:cs="Times New Roman"/>
          <w:lang w:eastAsia="lt-LT"/>
        </w:rPr>
      </w:pPr>
      <w:r w:rsidRPr="002C4ED9">
        <w:rPr>
          <w:rFonts w:ascii="Times New Roman" w:eastAsia="Times New Roman" w:hAnsi="Times New Roman" w:cs="Times New Roman"/>
          <w:lang w:eastAsia="lt-LT"/>
        </w:rPr>
        <w:t xml:space="preserve">Bylą lydi ir platesnis politinis rezonansas. Tyrimuose minimas </w:t>
      </w:r>
      <w:proofErr w:type="spellStart"/>
      <w:r w:rsidRPr="002C4ED9">
        <w:rPr>
          <w:rFonts w:ascii="Times New Roman" w:eastAsia="Times New Roman" w:hAnsi="Times New Roman" w:cs="Times New Roman"/>
          <w:lang w:eastAsia="lt-LT"/>
        </w:rPr>
        <w:t>Banco</w:t>
      </w:r>
      <w:proofErr w:type="spellEnd"/>
      <w:r w:rsidRPr="002C4ED9">
        <w:rPr>
          <w:rFonts w:ascii="Times New Roman" w:eastAsia="Times New Roman" w:hAnsi="Times New Roman" w:cs="Times New Roman"/>
          <w:lang w:eastAsia="lt-LT"/>
        </w:rPr>
        <w:t xml:space="preserve"> </w:t>
      </w:r>
      <w:proofErr w:type="spellStart"/>
      <w:r w:rsidRPr="002C4ED9">
        <w:rPr>
          <w:rFonts w:ascii="Times New Roman" w:eastAsia="Times New Roman" w:hAnsi="Times New Roman" w:cs="Times New Roman"/>
          <w:lang w:eastAsia="lt-LT"/>
        </w:rPr>
        <w:t>Master</w:t>
      </w:r>
      <w:proofErr w:type="spellEnd"/>
      <w:r w:rsidRPr="002C4ED9">
        <w:rPr>
          <w:rFonts w:ascii="Times New Roman" w:eastAsia="Times New Roman" w:hAnsi="Times New Roman" w:cs="Times New Roman"/>
          <w:lang w:eastAsia="lt-LT"/>
        </w:rPr>
        <w:t xml:space="preserve"> savininkas </w:t>
      </w:r>
      <w:proofErr w:type="spellStart"/>
      <w:r w:rsidRPr="002C4ED9">
        <w:rPr>
          <w:rFonts w:ascii="Times New Roman" w:eastAsia="Times New Roman" w:hAnsi="Times New Roman" w:cs="Times New Roman"/>
          <w:lang w:eastAsia="lt-LT"/>
        </w:rPr>
        <w:t>Daniel</w:t>
      </w:r>
      <w:proofErr w:type="spellEnd"/>
      <w:r w:rsidRPr="002C4ED9">
        <w:rPr>
          <w:rFonts w:ascii="Times New Roman" w:eastAsia="Times New Roman" w:hAnsi="Times New Roman" w:cs="Times New Roman"/>
          <w:lang w:eastAsia="lt-LT"/>
        </w:rPr>
        <w:t xml:space="preserve"> </w:t>
      </w:r>
      <w:proofErr w:type="spellStart"/>
      <w:r w:rsidRPr="002C4ED9">
        <w:rPr>
          <w:rFonts w:ascii="Times New Roman" w:eastAsia="Times New Roman" w:hAnsi="Times New Roman" w:cs="Times New Roman"/>
          <w:lang w:eastAsia="lt-LT"/>
        </w:rPr>
        <w:t>Vorcaro</w:t>
      </w:r>
      <w:proofErr w:type="spellEnd"/>
      <w:r w:rsidRPr="002C4ED9">
        <w:rPr>
          <w:rFonts w:ascii="Times New Roman" w:eastAsia="Times New Roman" w:hAnsi="Times New Roman" w:cs="Times New Roman"/>
          <w:lang w:eastAsia="lt-LT"/>
        </w:rPr>
        <w:t>, kuris 2025 m. lapkritį buvo suimtas, o vėliau paleistas su elektronine stebėjimo priemone. Be to, atskiri pranešimai rodo, kad kai kurios banko sudarytos teisinės paslaugų sutartys gali būti susijusios su Aukščiausiojo Teismo teisėjų artimųjų firmomis, kas padidino politinį jautrumą ir paskatino iniciatyvas dėl parlamento tyrimo komisijos sudarymo. Tyrimai ir teisiniai procesai toliau tęsiami</w:t>
      </w:r>
      <w:r w:rsidR="000B4EFB" w:rsidRPr="001B7B64">
        <w:rPr>
          <w:rFonts w:ascii="Times New Roman" w:eastAsia="Times New Roman" w:hAnsi="Times New Roman" w:cs="Times New Roman"/>
          <w:lang w:eastAsia="lt-LT"/>
        </w:rPr>
        <w:t>.</w:t>
      </w:r>
    </w:p>
    <w:p w14:paraId="075C2B26" w14:textId="70317022" w:rsidR="007808BB" w:rsidRPr="002C4ED9" w:rsidRDefault="007808BB" w:rsidP="004132B9">
      <w:pPr>
        <w:rPr>
          <w:rFonts w:ascii="Times New Roman" w:eastAsia="Times New Roman" w:hAnsi="Times New Roman" w:cs="Times New Roman"/>
          <w:lang w:eastAsia="lt-LT"/>
        </w:rPr>
      </w:pPr>
      <w:r w:rsidRPr="001B7B64">
        <w:rPr>
          <w:rFonts w:ascii="Times New Roman" w:eastAsia="Times New Roman" w:hAnsi="Times New Roman" w:cs="Times New Roman"/>
          <w:b/>
          <w:bCs/>
          <w:lang w:eastAsia="lt-LT"/>
        </w:rPr>
        <w:t xml:space="preserve">Tikėtina, kad </w:t>
      </w:r>
      <w:r w:rsidRPr="001B7B64">
        <w:rPr>
          <w:rFonts w:ascii="Times New Roman" w:eastAsia="Times New Roman" w:hAnsi="Times New Roman" w:cs="Times New Roman"/>
          <w:b/>
          <w:bCs/>
          <w:lang w:eastAsia="lt-LT"/>
        </w:rPr>
        <w:t xml:space="preserve">Brazilijos Aukščiausiojo Teismo ir Federalinio audito teismo veiksmai </w:t>
      </w:r>
      <w:proofErr w:type="spellStart"/>
      <w:r w:rsidRPr="001B7B64">
        <w:rPr>
          <w:rFonts w:ascii="Times New Roman" w:eastAsia="Times New Roman" w:hAnsi="Times New Roman" w:cs="Times New Roman"/>
          <w:b/>
          <w:bCs/>
          <w:lang w:eastAsia="lt-LT"/>
        </w:rPr>
        <w:t>Banco</w:t>
      </w:r>
      <w:proofErr w:type="spellEnd"/>
      <w:r w:rsidRPr="001B7B64">
        <w:rPr>
          <w:rFonts w:ascii="Times New Roman" w:eastAsia="Times New Roman" w:hAnsi="Times New Roman" w:cs="Times New Roman"/>
          <w:b/>
          <w:bCs/>
          <w:lang w:eastAsia="lt-LT"/>
        </w:rPr>
        <w:t xml:space="preserve"> </w:t>
      </w:r>
      <w:proofErr w:type="spellStart"/>
      <w:r w:rsidRPr="001B7B64">
        <w:rPr>
          <w:rFonts w:ascii="Times New Roman" w:eastAsia="Times New Roman" w:hAnsi="Times New Roman" w:cs="Times New Roman"/>
          <w:b/>
          <w:bCs/>
          <w:lang w:eastAsia="lt-LT"/>
        </w:rPr>
        <w:t>Master</w:t>
      </w:r>
      <w:proofErr w:type="spellEnd"/>
      <w:r w:rsidRPr="001B7B64">
        <w:rPr>
          <w:rFonts w:ascii="Times New Roman" w:eastAsia="Times New Roman" w:hAnsi="Times New Roman" w:cs="Times New Roman"/>
          <w:b/>
          <w:bCs/>
          <w:lang w:eastAsia="lt-LT"/>
        </w:rPr>
        <w:t xml:space="preserve"> likvidavimo proces</w:t>
      </w:r>
      <w:r w:rsidRPr="001B7B64">
        <w:rPr>
          <w:rFonts w:ascii="Times New Roman" w:eastAsia="Times New Roman" w:hAnsi="Times New Roman" w:cs="Times New Roman"/>
          <w:b/>
          <w:bCs/>
          <w:lang w:eastAsia="lt-LT"/>
        </w:rPr>
        <w:t>e</w:t>
      </w:r>
      <w:r w:rsidRPr="001B7B64">
        <w:rPr>
          <w:rFonts w:ascii="Times New Roman" w:eastAsia="Times New Roman" w:hAnsi="Times New Roman" w:cs="Times New Roman"/>
          <w:b/>
          <w:bCs/>
          <w:lang w:eastAsia="lt-LT"/>
        </w:rPr>
        <w:t xml:space="preserve"> neigiamai paveiks TVF ir Pasaulio banko atliekamą Brazilijos finansų sistemos patikimumo vertinimą</w:t>
      </w:r>
      <w:r w:rsidRPr="001B7B64">
        <w:rPr>
          <w:rFonts w:ascii="Times New Roman" w:eastAsia="Times New Roman" w:hAnsi="Times New Roman" w:cs="Times New Roman"/>
          <w:lang w:eastAsia="lt-LT"/>
        </w:rPr>
        <w:t xml:space="preserve">. </w:t>
      </w:r>
      <w:r w:rsidRPr="001B7B64">
        <w:rPr>
          <w:rFonts w:ascii="Times New Roman" w:eastAsia="Times New Roman" w:hAnsi="Times New Roman" w:cs="Times New Roman"/>
          <w:lang w:eastAsia="lt-LT"/>
        </w:rPr>
        <w:t>Š</w:t>
      </w:r>
      <w:r w:rsidRPr="001B7B64">
        <w:rPr>
          <w:rFonts w:ascii="Times New Roman" w:eastAsia="Times New Roman" w:hAnsi="Times New Roman" w:cs="Times New Roman"/>
          <w:lang w:eastAsia="lt-LT"/>
        </w:rPr>
        <w:t>is klausimas buvo iškeltas TVF ir P</w:t>
      </w:r>
      <w:r w:rsidRPr="001B7B64">
        <w:rPr>
          <w:rFonts w:ascii="Times New Roman" w:eastAsia="Times New Roman" w:hAnsi="Times New Roman" w:cs="Times New Roman"/>
          <w:lang w:eastAsia="lt-LT"/>
        </w:rPr>
        <w:t xml:space="preserve">B </w:t>
      </w:r>
      <w:r w:rsidRPr="001B7B64">
        <w:rPr>
          <w:rFonts w:ascii="Times New Roman" w:eastAsia="Times New Roman" w:hAnsi="Times New Roman" w:cs="Times New Roman"/>
          <w:lang w:eastAsia="lt-LT"/>
        </w:rPr>
        <w:t>delegacijos vizito Brazilijoje metu gruodžio viduryje</w:t>
      </w:r>
      <w:r w:rsidRPr="001B7B64">
        <w:rPr>
          <w:rFonts w:ascii="Times New Roman" w:eastAsia="Times New Roman" w:hAnsi="Times New Roman" w:cs="Times New Roman"/>
          <w:lang w:eastAsia="lt-LT"/>
        </w:rPr>
        <w:t>.</w:t>
      </w:r>
    </w:p>
    <w:p w14:paraId="5E4188BF" w14:textId="77777777" w:rsidR="000B4EFB" w:rsidRPr="001B7B64" w:rsidRDefault="000B4EFB" w:rsidP="004132B9">
      <w:pPr>
        <w:jc w:val="both"/>
        <w:rPr>
          <w:rFonts w:ascii="Times New Roman" w:eastAsia="Times New Roman" w:hAnsi="Times New Roman" w:cs="Times New Roman"/>
          <w:color w:val="1E1E21"/>
          <w:lang w:eastAsia="lt-LT"/>
        </w:rPr>
      </w:pPr>
    </w:p>
    <w:p w14:paraId="32D60874" w14:textId="34027B50" w:rsidR="004B240C" w:rsidRPr="001B7B64" w:rsidRDefault="004B240C" w:rsidP="004132B9">
      <w:pPr>
        <w:jc w:val="both"/>
        <w:rPr>
          <w:rFonts w:ascii="Times New Roman" w:hAnsi="Times New Roman" w:cs="Times New Roman"/>
          <w:lang w:val="pt-BR"/>
        </w:rPr>
      </w:pPr>
      <w:r w:rsidRPr="001B7B64">
        <w:rPr>
          <w:rFonts w:ascii="Times New Roman" w:hAnsi="Times New Roman" w:cs="Times New Roman"/>
          <w:b/>
          <w:bCs/>
        </w:rPr>
        <w:t xml:space="preserve">„CMOC Group“, viena didžiausių Kinijos kasybos bendrovių, išplėtė savo veiklą tauriųjų metalų sektoriuje, už maždaug 1 mlrd. </w:t>
      </w:r>
      <w:r w:rsidRPr="001B7B64">
        <w:rPr>
          <w:rFonts w:ascii="Times New Roman" w:hAnsi="Times New Roman" w:cs="Times New Roman"/>
          <w:b/>
          <w:bCs/>
          <w:lang w:val="pt-BR"/>
        </w:rPr>
        <w:t xml:space="preserve">JAV dolerių įsigijusi „Equinox Gold“ Brazilijoje. </w:t>
      </w:r>
      <w:r w:rsidRPr="001B7B64">
        <w:rPr>
          <w:rFonts w:ascii="Times New Roman" w:hAnsi="Times New Roman" w:cs="Times New Roman"/>
          <w:lang w:val="pt-BR"/>
        </w:rPr>
        <w:t>Sandori</w:t>
      </w:r>
      <w:r w:rsidRPr="001B7B64">
        <w:rPr>
          <w:rFonts w:ascii="Times New Roman" w:hAnsi="Times New Roman" w:cs="Times New Roman"/>
          <w:lang w:val="pt-BR"/>
        </w:rPr>
        <w:t>u</w:t>
      </w:r>
      <w:r w:rsidRPr="001B7B64">
        <w:rPr>
          <w:rFonts w:ascii="Times New Roman" w:hAnsi="Times New Roman" w:cs="Times New Roman"/>
          <w:lang w:val="pt-BR"/>
        </w:rPr>
        <w:t xml:space="preserve"> CMOC perims visišką dviejų „Equinox“ padalinių</w:t>
      </w:r>
      <w:r w:rsidRPr="001B7B64">
        <w:rPr>
          <w:rFonts w:ascii="Times New Roman" w:hAnsi="Times New Roman" w:cs="Times New Roman"/>
          <w:lang w:val="pt-BR"/>
        </w:rPr>
        <w:t>,</w:t>
      </w:r>
      <w:r w:rsidRPr="001B7B64">
        <w:rPr>
          <w:rFonts w:ascii="Times New Roman" w:hAnsi="Times New Roman" w:cs="Times New Roman"/>
          <w:lang w:val="pt-BR"/>
        </w:rPr>
        <w:t xml:space="preserve"> „Leagold LatAm Holdings“ ir „Luna Gold“, kuriems priklauso kelios kasyklos ir mineralų telkiniai Brazilijoje, kontrolę. </w:t>
      </w:r>
      <w:r w:rsidR="00271544" w:rsidRPr="001B7B64">
        <w:rPr>
          <w:rFonts w:ascii="Times New Roman" w:hAnsi="Times New Roman" w:cs="Times New Roman"/>
          <w:lang w:val="pt-BR"/>
        </w:rPr>
        <w:t>Equinox gaus 900 mln. JAV dolerių grynaisiais ir papildomą iki 115 mln. JAV dolerių sąlyginį mokėjimą praėjus vieneriems metams po sandorio užbaigimo.</w:t>
      </w:r>
    </w:p>
    <w:p w14:paraId="4CBC600D" w14:textId="77777777" w:rsidR="00271544" w:rsidRPr="001B7B64" w:rsidRDefault="00271544" w:rsidP="004132B9">
      <w:pPr>
        <w:jc w:val="both"/>
        <w:rPr>
          <w:rFonts w:ascii="Times New Roman" w:hAnsi="Times New Roman" w:cs="Times New Roman"/>
          <w:b/>
          <w:bCs/>
          <w:lang w:val="pt-BR"/>
        </w:rPr>
      </w:pPr>
    </w:p>
    <w:p w14:paraId="55EBF56B" w14:textId="77777777" w:rsidR="00733885" w:rsidRPr="001B7B64" w:rsidRDefault="00733885" w:rsidP="00733885">
      <w:pPr>
        <w:jc w:val="both"/>
        <w:rPr>
          <w:rFonts w:ascii="Times New Roman" w:hAnsi="Times New Roman" w:cs="Times New Roman"/>
          <w:lang w:val="pt-BR"/>
        </w:rPr>
      </w:pPr>
      <w:r w:rsidRPr="001B7B64">
        <w:rPr>
          <w:rFonts w:ascii="Times New Roman" w:hAnsi="Times New Roman" w:cs="Times New Roman"/>
          <w:b/>
          <w:bCs/>
          <w:lang w:val="pt-BR"/>
        </w:rPr>
        <w:t xml:space="preserve">Nors Brazilijos ir JAV vyriausybės dar nepasiekė susitarimo dėl svarbiausių mineralų, dvi kasybos įmonės, turinčios pažangių retųjų žemių projektų Brazilijoje, jau pasirašė finansavimo sutartis, kurios galėtų suteikti Jungtinėms Valstijoms pranašumą gaunant jų produkciją. </w:t>
      </w:r>
      <w:r w:rsidRPr="001B7B64">
        <w:rPr>
          <w:rFonts w:ascii="Times New Roman" w:hAnsi="Times New Roman" w:cs="Times New Roman"/>
          <w:lang w:val="pt-BR"/>
        </w:rPr>
        <w:t>Goias valstijoje esančios kasybos įmonės „Serra Verde“ ir „Aclara“ neseniai pasirašė finansavimo sutartis su JAV valstybiniu banku DFC (Development Finance Corporation) dėl sandorių, kurie galėtų išsivystyti į didesnius projektus. Pavyzdžiui, pagal paskolos sutarties su „Aclara“ sąlygas DFC ateityje gali konvertuoti skolas į akcijas.</w:t>
      </w:r>
    </w:p>
    <w:p w14:paraId="36C62737" w14:textId="77777777" w:rsidR="00733885" w:rsidRPr="001B7B64" w:rsidRDefault="00733885" w:rsidP="00733885">
      <w:pPr>
        <w:jc w:val="both"/>
        <w:rPr>
          <w:rFonts w:ascii="Times New Roman" w:hAnsi="Times New Roman" w:cs="Times New Roman"/>
          <w:lang w:val="pt-BR"/>
        </w:rPr>
      </w:pPr>
    </w:p>
    <w:p w14:paraId="3373C28C" w14:textId="0674C57A" w:rsidR="000B4EFB" w:rsidRPr="001B7B64" w:rsidRDefault="0080264E" w:rsidP="004132B9">
      <w:pPr>
        <w:shd w:val="clear" w:color="auto" w:fill="FFFFFF"/>
        <w:rPr>
          <w:rFonts w:ascii="Times New Roman" w:eastAsia="Times New Roman" w:hAnsi="Times New Roman" w:cs="Times New Roman"/>
          <w:b/>
          <w:bCs/>
          <w:color w:val="333333"/>
          <w:lang w:eastAsia="lt-LT"/>
        </w:rPr>
      </w:pPr>
      <w:r w:rsidRPr="001B7B64">
        <w:rPr>
          <w:rFonts w:ascii="Times New Roman" w:eastAsia="Times New Roman" w:hAnsi="Times New Roman" w:cs="Times New Roman"/>
          <w:b/>
          <w:bCs/>
          <w:color w:val="333333"/>
          <w:lang w:eastAsia="lt-LT"/>
        </w:rPr>
        <w:t xml:space="preserve">Brazilijos </w:t>
      </w:r>
      <w:r w:rsidRPr="001B7B64">
        <w:rPr>
          <w:rFonts w:ascii="Times New Roman" w:eastAsia="Times New Roman" w:hAnsi="Times New Roman" w:cs="Times New Roman"/>
          <w:b/>
          <w:bCs/>
          <w:color w:val="333333"/>
          <w:lang w:eastAsia="lt-LT"/>
        </w:rPr>
        <w:t>vyriausybė patvirtino klimato planą</w:t>
      </w:r>
      <w:r w:rsidRPr="001B7B64">
        <w:rPr>
          <w:rFonts w:ascii="Times New Roman" w:eastAsia="Times New Roman" w:hAnsi="Times New Roman" w:cs="Times New Roman"/>
          <w:b/>
          <w:bCs/>
          <w:color w:val="333333"/>
          <w:lang w:eastAsia="lt-LT"/>
        </w:rPr>
        <w:t xml:space="preserve">, kuris </w:t>
      </w:r>
      <w:r w:rsidR="000B4EFB" w:rsidRPr="001B7B64">
        <w:rPr>
          <w:rFonts w:ascii="Times New Roman" w:eastAsia="Times New Roman" w:hAnsi="Times New Roman" w:cs="Times New Roman"/>
          <w:b/>
          <w:bCs/>
          <w:color w:val="333333"/>
          <w:lang w:eastAsia="lt-LT"/>
        </w:rPr>
        <w:t xml:space="preserve">yra viena iš pagrindinių </w:t>
      </w:r>
      <w:proofErr w:type="spellStart"/>
      <w:r w:rsidR="000B4EFB" w:rsidRPr="001B7B64">
        <w:rPr>
          <w:rFonts w:ascii="Times New Roman" w:eastAsia="Times New Roman" w:hAnsi="Times New Roman" w:cs="Times New Roman"/>
          <w:b/>
          <w:bCs/>
          <w:color w:val="333333"/>
          <w:lang w:eastAsia="lt-LT"/>
        </w:rPr>
        <w:t>Lulos</w:t>
      </w:r>
      <w:proofErr w:type="spellEnd"/>
      <w:r w:rsidR="000B4EFB" w:rsidRPr="001B7B64">
        <w:rPr>
          <w:rFonts w:ascii="Times New Roman" w:eastAsia="Times New Roman" w:hAnsi="Times New Roman" w:cs="Times New Roman"/>
          <w:b/>
          <w:bCs/>
          <w:color w:val="333333"/>
          <w:lang w:eastAsia="lt-LT"/>
        </w:rPr>
        <w:t xml:space="preserve"> vyriausybės klimato politikos krypčių, o Aplinkos ministerija ketino jį pristatyti COP30 </w:t>
      </w:r>
      <w:proofErr w:type="spellStart"/>
      <w:r w:rsidR="000B4EFB" w:rsidRPr="001B7B64">
        <w:rPr>
          <w:rFonts w:ascii="Times New Roman" w:eastAsia="Times New Roman" w:hAnsi="Times New Roman" w:cs="Times New Roman"/>
          <w:b/>
          <w:bCs/>
          <w:color w:val="333333"/>
          <w:lang w:eastAsia="lt-LT"/>
        </w:rPr>
        <w:t>Beleme</w:t>
      </w:r>
      <w:proofErr w:type="spellEnd"/>
      <w:r w:rsidR="000B4EFB" w:rsidRPr="001B7B64">
        <w:rPr>
          <w:rFonts w:ascii="Times New Roman" w:eastAsia="Times New Roman" w:hAnsi="Times New Roman" w:cs="Times New Roman"/>
          <w:b/>
          <w:bCs/>
          <w:color w:val="333333"/>
          <w:lang w:eastAsia="lt-LT"/>
        </w:rPr>
        <w:t>, tačiau Žemės ūkio ministerija jį blokavo dėl nesutarimų.</w:t>
      </w:r>
    </w:p>
    <w:p w14:paraId="4B78FC2D" w14:textId="7CFB2382" w:rsidR="000B4EFB" w:rsidRPr="001B7B64" w:rsidRDefault="000B4EFB" w:rsidP="004132B9">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Klimato planą sudaro dokumentų rinkinys, kuriame nustatomos CO2 išmetimo mažinimo Brazilijoje gairės pagal sektorius</w:t>
      </w:r>
      <w:r w:rsidR="0080264E" w:rsidRPr="001B7B64">
        <w:rPr>
          <w:rFonts w:ascii="Times New Roman" w:eastAsia="Times New Roman" w:hAnsi="Times New Roman" w:cs="Times New Roman"/>
          <w:color w:val="333333"/>
          <w:lang w:eastAsia="lt-LT"/>
        </w:rPr>
        <w:t xml:space="preserve">, siekiant </w:t>
      </w:r>
      <w:r w:rsidRPr="001B7B64">
        <w:rPr>
          <w:rFonts w:ascii="Times New Roman" w:eastAsia="Times New Roman" w:hAnsi="Times New Roman" w:cs="Times New Roman"/>
          <w:color w:val="333333"/>
          <w:lang w:eastAsia="lt-LT"/>
        </w:rPr>
        <w:t xml:space="preserve">užtikrinti nacionalinio </w:t>
      </w:r>
      <w:proofErr w:type="spellStart"/>
      <w:r w:rsidRPr="001B7B64">
        <w:rPr>
          <w:rFonts w:ascii="Times New Roman" w:eastAsia="Times New Roman" w:hAnsi="Times New Roman" w:cs="Times New Roman"/>
          <w:color w:val="333333"/>
          <w:lang w:eastAsia="lt-LT"/>
        </w:rPr>
        <w:t>dekarbonizacijos</w:t>
      </w:r>
      <w:proofErr w:type="spellEnd"/>
      <w:r w:rsidRPr="001B7B64">
        <w:rPr>
          <w:rFonts w:ascii="Times New Roman" w:eastAsia="Times New Roman" w:hAnsi="Times New Roman" w:cs="Times New Roman"/>
          <w:color w:val="333333"/>
          <w:lang w:eastAsia="lt-LT"/>
        </w:rPr>
        <w:t xml:space="preserve"> tikslo, kurio kiekviena šalis įsipareigoja pagal Paryžiaus susitarimą</w:t>
      </w:r>
      <w:r w:rsidR="0080264E" w:rsidRPr="001B7B64">
        <w:rPr>
          <w:rFonts w:ascii="Times New Roman" w:eastAsia="Times New Roman" w:hAnsi="Times New Roman" w:cs="Times New Roman"/>
          <w:color w:val="333333"/>
          <w:lang w:eastAsia="lt-LT"/>
        </w:rPr>
        <w:t>, įgyvendinimą.</w:t>
      </w:r>
    </w:p>
    <w:p w14:paraId="7B6F1666" w14:textId="22495418" w:rsidR="000B4EFB" w:rsidRPr="001B7B64" w:rsidRDefault="000B4EFB" w:rsidP="004132B9">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Vyriausybė jau buvo su</w:t>
      </w:r>
      <w:r w:rsidR="0080264E" w:rsidRPr="001B7B64">
        <w:rPr>
          <w:rFonts w:ascii="Times New Roman" w:eastAsia="Times New Roman" w:hAnsi="Times New Roman" w:cs="Times New Roman"/>
          <w:color w:val="333333"/>
          <w:lang w:eastAsia="lt-LT"/>
        </w:rPr>
        <w:t>si</w:t>
      </w:r>
      <w:r w:rsidRPr="001B7B64">
        <w:rPr>
          <w:rFonts w:ascii="Times New Roman" w:eastAsia="Times New Roman" w:hAnsi="Times New Roman" w:cs="Times New Roman"/>
          <w:color w:val="333333"/>
          <w:lang w:eastAsia="lt-LT"/>
        </w:rPr>
        <w:t>tar</w:t>
      </w:r>
      <w:r w:rsidR="0080264E" w:rsidRPr="001B7B64">
        <w:rPr>
          <w:rFonts w:ascii="Times New Roman" w:eastAsia="Times New Roman" w:hAnsi="Times New Roman" w:cs="Times New Roman"/>
          <w:color w:val="333333"/>
          <w:lang w:eastAsia="lt-LT"/>
        </w:rPr>
        <w:t>usi</w:t>
      </w:r>
      <w:r w:rsidRPr="001B7B64">
        <w:rPr>
          <w:rFonts w:ascii="Times New Roman" w:eastAsia="Times New Roman" w:hAnsi="Times New Roman" w:cs="Times New Roman"/>
          <w:color w:val="333333"/>
          <w:lang w:eastAsia="lt-LT"/>
        </w:rPr>
        <w:t xml:space="preserve"> dėl beveik visų </w:t>
      </w:r>
      <w:r w:rsidR="0080264E" w:rsidRPr="001B7B64">
        <w:rPr>
          <w:rFonts w:ascii="Times New Roman" w:eastAsia="Times New Roman" w:hAnsi="Times New Roman" w:cs="Times New Roman"/>
          <w:color w:val="333333"/>
          <w:lang w:eastAsia="lt-LT"/>
        </w:rPr>
        <w:t xml:space="preserve">plano </w:t>
      </w:r>
      <w:r w:rsidRPr="001B7B64">
        <w:rPr>
          <w:rFonts w:ascii="Times New Roman" w:eastAsia="Times New Roman" w:hAnsi="Times New Roman" w:cs="Times New Roman"/>
          <w:color w:val="333333"/>
          <w:lang w:eastAsia="lt-LT"/>
        </w:rPr>
        <w:t>dokumentų, tačiau nesutarimai dėl Žemės ūkio ir gyvulininkystės plano sustabdė diskusijas.</w:t>
      </w:r>
    </w:p>
    <w:p w14:paraId="6FBB2EE7" w14:textId="77777777" w:rsidR="000B4EFB" w:rsidRPr="001B7B64" w:rsidRDefault="000B4EFB" w:rsidP="004132B9">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lastRenderedPageBreak/>
        <w:t>Klimato plane kiekvienas sektorius turi CO2 mažinimo tikslus, ir kadangi pagrindinė išmetamųjų teršalų priežastis Brazilijoje yra miškų naikinimas, su juo susijusiai veiklai buvo nustatyti ambicingiausi tikslai.</w:t>
      </w:r>
    </w:p>
    <w:p w14:paraId="5FDF0ED2" w14:textId="77777777" w:rsidR="000B4EFB" w:rsidRPr="001B7B64" w:rsidRDefault="000B4EFB" w:rsidP="004132B9">
      <w:pPr>
        <w:shd w:val="clear" w:color="auto" w:fill="FFFFFF"/>
        <w:rPr>
          <w:rFonts w:ascii="Times New Roman" w:eastAsia="Times New Roman" w:hAnsi="Times New Roman" w:cs="Times New Roman"/>
          <w:color w:val="333333"/>
          <w:lang w:eastAsia="lt-LT"/>
        </w:rPr>
      </w:pPr>
      <w:r w:rsidRPr="001B7B64">
        <w:rPr>
          <w:rFonts w:ascii="Times New Roman" w:eastAsia="Times New Roman" w:hAnsi="Times New Roman" w:cs="Times New Roman"/>
          <w:color w:val="333333"/>
          <w:lang w:eastAsia="lt-LT"/>
        </w:rPr>
        <w:t>Viena iš žemės ūkio sektoriaus kritikos vietų taip pat buvo ta, kad plane nenumatytos jokios finansinės paskatos sektoriui.</w:t>
      </w:r>
    </w:p>
    <w:p w14:paraId="3534FA49" w14:textId="2B6008B8" w:rsidR="000B4EFB" w:rsidRPr="001B7B64" w:rsidRDefault="0080264E" w:rsidP="004132B9">
      <w:pPr>
        <w:shd w:val="clear" w:color="auto" w:fill="FFFFFF"/>
        <w:rPr>
          <w:rFonts w:ascii="Times New Roman" w:eastAsia="Times New Roman" w:hAnsi="Times New Roman" w:cs="Times New Roman"/>
          <w:b/>
          <w:bCs/>
          <w:color w:val="333333"/>
          <w:lang w:eastAsia="lt-LT"/>
        </w:rPr>
      </w:pPr>
      <w:r w:rsidRPr="001B7B64">
        <w:rPr>
          <w:rFonts w:ascii="Times New Roman" w:eastAsia="Times New Roman" w:hAnsi="Times New Roman" w:cs="Times New Roman"/>
          <w:color w:val="333333"/>
          <w:lang w:eastAsia="lt-LT"/>
        </w:rPr>
        <w:t>G</w:t>
      </w:r>
      <w:r w:rsidR="000B4EFB" w:rsidRPr="001B7B64">
        <w:rPr>
          <w:rFonts w:ascii="Times New Roman" w:eastAsia="Times New Roman" w:hAnsi="Times New Roman" w:cs="Times New Roman"/>
          <w:color w:val="333333"/>
          <w:lang w:eastAsia="lt-LT"/>
        </w:rPr>
        <w:t xml:space="preserve">alutinėje </w:t>
      </w:r>
      <w:r w:rsidRPr="001B7B64">
        <w:rPr>
          <w:rFonts w:ascii="Times New Roman" w:eastAsia="Times New Roman" w:hAnsi="Times New Roman" w:cs="Times New Roman"/>
          <w:color w:val="333333"/>
          <w:lang w:eastAsia="lt-LT"/>
        </w:rPr>
        <w:t>plano</w:t>
      </w:r>
      <w:r w:rsidR="000B4EFB" w:rsidRPr="001B7B64">
        <w:rPr>
          <w:rFonts w:ascii="Times New Roman" w:eastAsia="Times New Roman" w:hAnsi="Times New Roman" w:cs="Times New Roman"/>
          <w:color w:val="333333"/>
          <w:lang w:eastAsia="lt-LT"/>
        </w:rPr>
        <w:t xml:space="preserve"> versijoje nurodyti ekonominiai veiksmai, kuriuos turi priimti federalinė vyriausybė</w:t>
      </w:r>
      <w:r w:rsidRPr="001B7B64">
        <w:rPr>
          <w:rFonts w:ascii="Times New Roman" w:eastAsia="Times New Roman" w:hAnsi="Times New Roman" w:cs="Times New Roman"/>
          <w:color w:val="333333"/>
          <w:lang w:eastAsia="lt-LT"/>
        </w:rPr>
        <w:t xml:space="preserve">. </w:t>
      </w:r>
      <w:r w:rsidRPr="001B7B64">
        <w:rPr>
          <w:rFonts w:ascii="Times New Roman" w:eastAsia="Times New Roman" w:hAnsi="Times New Roman" w:cs="Times New Roman"/>
          <w:b/>
          <w:bCs/>
          <w:color w:val="333333"/>
          <w:lang w:eastAsia="lt-LT"/>
        </w:rPr>
        <w:t>A</w:t>
      </w:r>
      <w:r w:rsidR="000B4EFB" w:rsidRPr="001B7B64">
        <w:rPr>
          <w:rFonts w:ascii="Times New Roman" w:eastAsia="Times New Roman" w:hAnsi="Times New Roman" w:cs="Times New Roman"/>
          <w:b/>
          <w:bCs/>
          <w:color w:val="333333"/>
          <w:lang w:eastAsia="lt-LT"/>
        </w:rPr>
        <w:t>nksčiau plane buvo numatytas tik įsipareigojimas mažinti miškų naikinimą ir išmetamųjų teršalų kiekį, dabar jame taip pat numatyti sektoriaus finansinio kompensavimo tikslai.</w:t>
      </w:r>
    </w:p>
    <w:p w14:paraId="2B28B4C0" w14:textId="77777777" w:rsidR="00412723" w:rsidRPr="001B7B64" w:rsidRDefault="00412723" w:rsidP="004132B9">
      <w:pPr>
        <w:jc w:val="both"/>
        <w:rPr>
          <w:rFonts w:ascii="Times New Roman" w:hAnsi="Times New Roman" w:cs="Times New Roman"/>
          <w:b/>
          <w:bCs/>
        </w:rPr>
      </w:pPr>
    </w:p>
    <w:p w14:paraId="6911BABC" w14:textId="75CCB530" w:rsidR="008833C3" w:rsidRPr="001B7B64" w:rsidRDefault="008833C3" w:rsidP="004132B9">
      <w:pPr>
        <w:jc w:val="both"/>
        <w:rPr>
          <w:rFonts w:ascii="Times New Roman" w:hAnsi="Times New Roman" w:cs="Times New Roman"/>
          <w:color w:val="000000"/>
          <w:lang w:val="pt-BR"/>
        </w:rPr>
      </w:pPr>
      <w:r w:rsidRPr="001B7B64">
        <w:rPr>
          <w:rFonts w:ascii="Times New Roman" w:hAnsi="Times New Roman" w:cs="Times New Roman"/>
          <w:b/>
          <w:bCs/>
          <w:color w:val="000000"/>
        </w:rPr>
        <w:t>„</w:t>
      </w:r>
      <w:proofErr w:type="spellStart"/>
      <w:r w:rsidRPr="001B7B64">
        <w:rPr>
          <w:rFonts w:ascii="Times New Roman" w:hAnsi="Times New Roman" w:cs="Times New Roman"/>
          <w:b/>
          <w:bCs/>
          <w:color w:val="000000"/>
        </w:rPr>
        <w:t>Embraer</w:t>
      </w:r>
      <w:proofErr w:type="spellEnd"/>
      <w:r w:rsidRPr="001B7B64">
        <w:rPr>
          <w:rFonts w:ascii="Times New Roman" w:hAnsi="Times New Roman" w:cs="Times New Roman"/>
          <w:b/>
          <w:bCs/>
          <w:color w:val="000000"/>
        </w:rPr>
        <w:t>“ yra pakankamai stipri gamintoja, kad galėtų konkuruoti su „</w:t>
      </w:r>
      <w:proofErr w:type="spellStart"/>
      <w:r w:rsidRPr="001B7B64">
        <w:rPr>
          <w:rFonts w:ascii="Times New Roman" w:hAnsi="Times New Roman" w:cs="Times New Roman"/>
          <w:b/>
          <w:bCs/>
          <w:color w:val="000000"/>
        </w:rPr>
        <w:t>Airbus</w:t>
      </w:r>
      <w:proofErr w:type="spellEnd"/>
      <w:r w:rsidRPr="001B7B64">
        <w:rPr>
          <w:rFonts w:ascii="Times New Roman" w:hAnsi="Times New Roman" w:cs="Times New Roman"/>
          <w:b/>
          <w:bCs/>
          <w:color w:val="000000"/>
        </w:rPr>
        <w:t>“ ir „Boeing“ didesnių orlaivių gamyboje</w:t>
      </w:r>
      <w:r w:rsidRPr="001B7B64">
        <w:rPr>
          <w:rFonts w:ascii="Times New Roman" w:hAnsi="Times New Roman" w:cs="Times New Roman"/>
          <w:color w:val="000000"/>
        </w:rPr>
        <w:t xml:space="preserve">, </w:t>
      </w:r>
      <w:r w:rsidRPr="001B7B64">
        <w:rPr>
          <w:rFonts w:ascii="Times New Roman" w:hAnsi="Times New Roman" w:cs="Times New Roman"/>
          <w:color w:val="000000"/>
        </w:rPr>
        <w:t>teig</w:t>
      </w:r>
      <w:r w:rsidRPr="001B7B64">
        <w:rPr>
          <w:rFonts w:ascii="Times New Roman" w:hAnsi="Times New Roman" w:cs="Times New Roman"/>
          <w:color w:val="000000"/>
        </w:rPr>
        <w:t xml:space="preserve">ė „Lufthansa“ grupės generalinis direktorius. </w:t>
      </w:r>
      <w:r w:rsidRPr="001B7B64">
        <w:rPr>
          <w:rFonts w:ascii="Times New Roman" w:hAnsi="Times New Roman" w:cs="Times New Roman"/>
          <w:color w:val="000000"/>
          <w:lang w:val="pt-BR"/>
        </w:rPr>
        <w:t>Jis</w:t>
      </w:r>
      <w:r w:rsidRPr="001B7B64">
        <w:rPr>
          <w:rFonts w:ascii="Times New Roman" w:hAnsi="Times New Roman" w:cs="Times New Roman"/>
          <w:color w:val="000000"/>
          <w:lang w:val="pt-BR"/>
        </w:rPr>
        <w:t xml:space="preserve"> atvyko į Braziliją susitik</w:t>
      </w:r>
      <w:r w:rsidRPr="001B7B64">
        <w:rPr>
          <w:rFonts w:ascii="Times New Roman" w:hAnsi="Times New Roman" w:cs="Times New Roman"/>
          <w:color w:val="000000"/>
          <w:lang w:val="pt-BR"/>
        </w:rPr>
        <w:t>ti</w:t>
      </w:r>
      <w:r w:rsidRPr="001B7B64">
        <w:rPr>
          <w:rFonts w:ascii="Times New Roman" w:hAnsi="Times New Roman" w:cs="Times New Roman"/>
          <w:color w:val="000000"/>
          <w:lang w:val="pt-BR"/>
        </w:rPr>
        <w:t xml:space="preserve"> su „Embraer“ vadovybe</w:t>
      </w:r>
      <w:r w:rsidRPr="001B7B64">
        <w:rPr>
          <w:rFonts w:ascii="Times New Roman" w:hAnsi="Times New Roman" w:cs="Times New Roman"/>
          <w:color w:val="000000"/>
          <w:lang w:val="pt-BR"/>
        </w:rPr>
        <w:t xml:space="preserve"> ir aptarti</w:t>
      </w:r>
      <w:r w:rsidRPr="001B7B64">
        <w:rPr>
          <w:rFonts w:ascii="Times New Roman" w:hAnsi="Times New Roman" w:cs="Times New Roman"/>
          <w:color w:val="000000"/>
          <w:lang w:val="pt-BR"/>
        </w:rPr>
        <w:t xml:space="preserve"> inovacij</w:t>
      </w:r>
      <w:r w:rsidRPr="001B7B64">
        <w:rPr>
          <w:rFonts w:ascii="Times New Roman" w:hAnsi="Times New Roman" w:cs="Times New Roman"/>
          <w:color w:val="000000"/>
          <w:lang w:val="pt-BR"/>
        </w:rPr>
        <w:t>a</w:t>
      </w:r>
      <w:r w:rsidRPr="001B7B64">
        <w:rPr>
          <w:rFonts w:ascii="Times New Roman" w:hAnsi="Times New Roman" w:cs="Times New Roman"/>
          <w:color w:val="000000"/>
          <w:lang w:val="pt-BR"/>
        </w:rPr>
        <w:t>s aviacijos sektoriuje, kuris pastaraisiais metais</w:t>
      </w:r>
      <w:r w:rsidRPr="001B7B64">
        <w:rPr>
          <w:rFonts w:ascii="Times New Roman" w:hAnsi="Times New Roman" w:cs="Times New Roman"/>
          <w:color w:val="000000"/>
          <w:lang w:val="pt-BR"/>
        </w:rPr>
        <w:t xml:space="preserve"> esą</w:t>
      </w:r>
      <w:r w:rsidRPr="001B7B64">
        <w:rPr>
          <w:rFonts w:ascii="Times New Roman" w:hAnsi="Times New Roman" w:cs="Times New Roman"/>
          <w:color w:val="000000"/>
          <w:lang w:val="pt-BR"/>
        </w:rPr>
        <w:t xml:space="preserve"> vystėsi lėtai.</w:t>
      </w:r>
    </w:p>
    <w:p w14:paraId="707B2A70" w14:textId="77777777" w:rsidR="008833C3" w:rsidRPr="001B7B64" w:rsidRDefault="008833C3" w:rsidP="004132B9">
      <w:pPr>
        <w:jc w:val="both"/>
        <w:rPr>
          <w:rFonts w:ascii="Times New Roman" w:hAnsi="Times New Roman" w:cs="Times New Roman"/>
          <w:color w:val="000000"/>
          <w:lang w:val="pt-BR"/>
        </w:rPr>
      </w:pPr>
    </w:p>
    <w:p w14:paraId="39807669" w14:textId="33C3EDA2" w:rsidR="00C12D88" w:rsidRPr="001B7B64" w:rsidRDefault="00C12D88" w:rsidP="004132B9">
      <w:pPr>
        <w:rPr>
          <w:rFonts w:ascii="Times New Roman" w:hAnsi="Times New Roman" w:cs="Times New Roman"/>
          <w:lang w:val="pt-BR"/>
        </w:rPr>
      </w:pPr>
      <w:r w:rsidRPr="001B7B64">
        <w:rPr>
          <w:rFonts w:ascii="Times New Roman" w:hAnsi="Times New Roman" w:cs="Times New Roman"/>
          <w:b/>
          <w:bCs/>
        </w:rPr>
        <w:t>Švedijos įmon</w:t>
      </w:r>
      <w:r w:rsidR="0015665D" w:rsidRPr="001B7B64">
        <w:rPr>
          <w:rFonts w:ascii="Times New Roman" w:hAnsi="Times New Roman" w:cs="Times New Roman"/>
          <w:b/>
          <w:bCs/>
        </w:rPr>
        <w:t>ei</w:t>
      </w:r>
      <w:r w:rsidRPr="001B7B64">
        <w:rPr>
          <w:rFonts w:ascii="Times New Roman" w:hAnsi="Times New Roman" w:cs="Times New Roman"/>
          <w:b/>
          <w:bCs/>
        </w:rPr>
        <w:t xml:space="preserve"> </w:t>
      </w:r>
      <w:r w:rsidR="0015665D" w:rsidRPr="001B7B64">
        <w:rPr>
          <w:rFonts w:ascii="Times New Roman" w:hAnsi="Times New Roman" w:cs="Times New Roman"/>
          <w:b/>
          <w:bCs/>
        </w:rPr>
        <w:t>„</w:t>
      </w:r>
      <w:proofErr w:type="spellStart"/>
      <w:r w:rsidR="0015665D" w:rsidRPr="001B7B64">
        <w:rPr>
          <w:rFonts w:ascii="Times New Roman" w:hAnsi="Times New Roman" w:cs="Times New Roman"/>
          <w:b/>
          <w:bCs/>
        </w:rPr>
        <w:t>Scania</w:t>
      </w:r>
      <w:proofErr w:type="spellEnd"/>
      <w:r w:rsidR="0015665D" w:rsidRPr="001B7B64">
        <w:rPr>
          <w:rFonts w:ascii="Times New Roman" w:hAnsi="Times New Roman" w:cs="Times New Roman"/>
          <w:b/>
          <w:bCs/>
        </w:rPr>
        <w:t xml:space="preserve">“ priklausanti „LOTS Group“ </w:t>
      </w:r>
      <w:r w:rsidRPr="001B7B64">
        <w:rPr>
          <w:rFonts w:ascii="Times New Roman" w:hAnsi="Times New Roman" w:cs="Times New Roman"/>
          <w:b/>
          <w:bCs/>
        </w:rPr>
        <w:t>stiprina savo strategiją Brazilijoje,</w:t>
      </w:r>
      <w:r w:rsidRPr="001B7B64">
        <w:rPr>
          <w:rFonts w:ascii="Times New Roman" w:hAnsi="Times New Roman" w:cs="Times New Roman"/>
        </w:rPr>
        <w:t xml:space="preserve"> kur 90 % jos verslo yra susijusi su išmaniuoju ir tvariu transportu. </w:t>
      </w:r>
      <w:r w:rsidRPr="001B7B64">
        <w:rPr>
          <w:rFonts w:ascii="Times New Roman" w:hAnsi="Times New Roman" w:cs="Times New Roman"/>
          <w:lang w:val="pt-BR"/>
        </w:rPr>
        <w:t xml:space="preserve">Po aštuonerių metų darbo čia bendrovė prognozuoja, kad šiais metais pasieks nulinį pelną, o 2026 m. – </w:t>
      </w:r>
      <w:r w:rsidR="0015665D" w:rsidRPr="001B7B64">
        <w:rPr>
          <w:rFonts w:ascii="Times New Roman" w:hAnsi="Times New Roman" w:cs="Times New Roman"/>
          <w:lang w:val="pt-BR"/>
        </w:rPr>
        <w:t xml:space="preserve">jau generuos </w:t>
      </w:r>
      <w:r w:rsidRPr="001B7B64">
        <w:rPr>
          <w:rFonts w:ascii="Times New Roman" w:hAnsi="Times New Roman" w:cs="Times New Roman"/>
          <w:lang w:val="pt-BR"/>
        </w:rPr>
        <w:t>pinig</w:t>
      </w:r>
      <w:r w:rsidR="0015665D" w:rsidRPr="001B7B64">
        <w:rPr>
          <w:rFonts w:ascii="Times New Roman" w:hAnsi="Times New Roman" w:cs="Times New Roman"/>
          <w:lang w:val="pt-BR"/>
        </w:rPr>
        <w:t>us</w:t>
      </w:r>
      <w:r w:rsidRPr="001B7B64">
        <w:rPr>
          <w:rFonts w:ascii="Times New Roman" w:hAnsi="Times New Roman" w:cs="Times New Roman"/>
          <w:lang w:val="pt-BR"/>
        </w:rPr>
        <w:t>.</w:t>
      </w:r>
    </w:p>
    <w:p w14:paraId="36DEBC8D" w14:textId="051D3724" w:rsidR="00C12D88" w:rsidRPr="001B7B64" w:rsidRDefault="00C12D88" w:rsidP="004132B9">
      <w:pPr>
        <w:rPr>
          <w:rFonts w:ascii="Times New Roman" w:hAnsi="Times New Roman" w:cs="Times New Roman"/>
          <w:lang w:val="pt-BR"/>
        </w:rPr>
      </w:pPr>
      <w:r w:rsidRPr="001B7B64">
        <w:rPr>
          <w:rFonts w:ascii="Times New Roman" w:hAnsi="Times New Roman" w:cs="Times New Roman"/>
          <w:lang w:val="pt-BR"/>
        </w:rPr>
        <w:t>„LOTS“</w:t>
      </w:r>
      <w:r w:rsidR="0015665D" w:rsidRPr="001B7B64">
        <w:rPr>
          <w:rFonts w:ascii="Times New Roman" w:hAnsi="Times New Roman" w:cs="Times New Roman"/>
          <w:lang w:val="pt-BR"/>
        </w:rPr>
        <w:t xml:space="preserve"> turi </w:t>
      </w:r>
      <w:r w:rsidRPr="001B7B64">
        <w:rPr>
          <w:rFonts w:ascii="Times New Roman" w:hAnsi="Times New Roman" w:cs="Times New Roman"/>
          <w:lang w:val="pt-BR"/>
        </w:rPr>
        <w:t>aiški</w:t>
      </w:r>
      <w:r w:rsidR="0015665D" w:rsidRPr="001B7B64">
        <w:rPr>
          <w:rFonts w:ascii="Times New Roman" w:hAnsi="Times New Roman" w:cs="Times New Roman"/>
          <w:lang w:val="pt-BR"/>
        </w:rPr>
        <w:t>ą</w:t>
      </w:r>
      <w:r w:rsidRPr="001B7B64">
        <w:rPr>
          <w:rFonts w:ascii="Times New Roman" w:hAnsi="Times New Roman" w:cs="Times New Roman"/>
          <w:lang w:val="pt-BR"/>
        </w:rPr>
        <w:t xml:space="preserve"> misij</w:t>
      </w:r>
      <w:r w:rsidR="0015665D" w:rsidRPr="001B7B64">
        <w:rPr>
          <w:rFonts w:ascii="Times New Roman" w:hAnsi="Times New Roman" w:cs="Times New Roman"/>
          <w:lang w:val="pt-BR"/>
        </w:rPr>
        <w:t>ą</w:t>
      </w:r>
      <w:r w:rsidRPr="001B7B64">
        <w:rPr>
          <w:rFonts w:ascii="Times New Roman" w:hAnsi="Times New Roman" w:cs="Times New Roman"/>
          <w:lang w:val="pt-BR"/>
        </w:rPr>
        <w:t xml:space="preserve">: skatinti inovacijas ir pertvarkyti įmonę kaip aukšto lygio logistikos sprendimų teikėją. Nustačius naują kursą, prognozuojama, kad šiais metais pajamos sieks 160 mln. </w:t>
      </w:r>
      <w:r w:rsidR="0015665D" w:rsidRPr="001B7B64">
        <w:rPr>
          <w:rFonts w:ascii="Times New Roman" w:hAnsi="Times New Roman" w:cs="Times New Roman"/>
          <w:lang w:val="pt-BR"/>
        </w:rPr>
        <w:t>BRL</w:t>
      </w:r>
      <w:r w:rsidRPr="001B7B64">
        <w:rPr>
          <w:rFonts w:ascii="Times New Roman" w:hAnsi="Times New Roman" w:cs="Times New Roman"/>
          <w:lang w:val="pt-BR"/>
        </w:rPr>
        <w:t xml:space="preserve"> (palyginti su 130 mln. randų praėjusiais metais), o kitais metais pasiek</w:t>
      </w:r>
      <w:r w:rsidR="0015665D" w:rsidRPr="001B7B64">
        <w:rPr>
          <w:rFonts w:ascii="Times New Roman" w:hAnsi="Times New Roman" w:cs="Times New Roman"/>
          <w:lang w:val="pt-BR"/>
        </w:rPr>
        <w:t>s</w:t>
      </w:r>
      <w:r w:rsidRPr="001B7B64">
        <w:rPr>
          <w:rFonts w:ascii="Times New Roman" w:hAnsi="Times New Roman" w:cs="Times New Roman"/>
          <w:lang w:val="pt-BR"/>
        </w:rPr>
        <w:t xml:space="preserve"> 250 mln. </w:t>
      </w:r>
      <w:r w:rsidR="0015665D" w:rsidRPr="001B7B64">
        <w:rPr>
          <w:rFonts w:ascii="Times New Roman" w:hAnsi="Times New Roman" w:cs="Times New Roman"/>
          <w:lang w:val="pt-BR"/>
        </w:rPr>
        <w:t>BRL</w:t>
      </w:r>
      <w:r w:rsidRPr="001B7B64">
        <w:rPr>
          <w:rFonts w:ascii="Times New Roman" w:hAnsi="Times New Roman" w:cs="Times New Roman"/>
          <w:lang w:val="pt-BR"/>
        </w:rPr>
        <w:t>. Įmonė, veikianti Europos ir Lotynų Amerikos šalyse, 90 % savo pajamų gauna Brazilijoje.</w:t>
      </w:r>
    </w:p>
    <w:p w14:paraId="11C6CA0F" w14:textId="62D71676" w:rsidR="00C12D88" w:rsidRPr="001B7B64" w:rsidRDefault="00C12D88" w:rsidP="004132B9">
      <w:pPr>
        <w:rPr>
          <w:rFonts w:ascii="Times New Roman" w:hAnsi="Times New Roman" w:cs="Times New Roman"/>
          <w:lang w:val="pt-BR"/>
        </w:rPr>
      </w:pPr>
      <w:r w:rsidRPr="001B7B64">
        <w:rPr>
          <w:rFonts w:ascii="Times New Roman" w:hAnsi="Times New Roman" w:cs="Times New Roman"/>
          <w:lang w:val="pt-BR"/>
        </w:rPr>
        <w:t xml:space="preserve">Pastarieji keleri metai buvo skirti investicijoms, uždarymui su nuostoliais, </w:t>
      </w:r>
      <w:r w:rsidR="0015665D" w:rsidRPr="001B7B64">
        <w:rPr>
          <w:rFonts w:ascii="Times New Roman" w:hAnsi="Times New Roman" w:cs="Times New Roman"/>
          <w:lang w:val="pt-BR"/>
        </w:rPr>
        <w:t xml:space="preserve">naujų </w:t>
      </w:r>
      <w:r w:rsidR="0015665D" w:rsidRPr="001B7B64">
        <w:rPr>
          <w:rFonts w:ascii="Times New Roman" w:hAnsi="Times New Roman" w:cs="Times New Roman"/>
          <w:lang w:val="pt-BR"/>
        </w:rPr>
        <w:t xml:space="preserve">pamatų kūrimui, </w:t>
      </w:r>
      <w:r w:rsidRPr="001B7B64">
        <w:rPr>
          <w:rFonts w:ascii="Times New Roman" w:hAnsi="Times New Roman" w:cs="Times New Roman"/>
          <w:lang w:val="pt-BR"/>
        </w:rPr>
        <w:t xml:space="preserve">labai stipriai vadovaujantis startuolių mentalitetu, žvelgiant į ateitį. </w:t>
      </w:r>
      <w:r w:rsidR="0015665D" w:rsidRPr="001B7B64">
        <w:rPr>
          <w:rFonts w:ascii="Times New Roman" w:hAnsi="Times New Roman" w:cs="Times New Roman"/>
          <w:lang w:val="pt-BR"/>
        </w:rPr>
        <w:t>B</w:t>
      </w:r>
      <w:r w:rsidRPr="001B7B64">
        <w:rPr>
          <w:rFonts w:ascii="Times New Roman" w:hAnsi="Times New Roman" w:cs="Times New Roman"/>
          <w:lang w:val="pt-BR"/>
        </w:rPr>
        <w:t>uvo d</w:t>
      </w:r>
      <w:r w:rsidR="0015665D" w:rsidRPr="001B7B64">
        <w:rPr>
          <w:rFonts w:ascii="Times New Roman" w:hAnsi="Times New Roman" w:cs="Times New Roman"/>
          <w:lang w:val="pt-BR"/>
        </w:rPr>
        <w:t>irbama</w:t>
      </w:r>
      <w:r w:rsidRPr="001B7B64">
        <w:rPr>
          <w:rFonts w:ascii="Times New Roman" w:hAnsi="Times New Roman" w:cs="Times New Roman"/>
          <w:lang w:val="pt-BR"/>
        </w:rPr>
        <w:t xml:space="preserve"> su komandos mąstysena.</w:t>
      </w:r>
      <w:r w:rsidR="001B7B64" w:rsidRPr="001B7B64">
        <w:rPr>
          <w:rFonts w:ascii="Times New Roman" w:hAnsi="Times New Roman" w:cs="Times New Roman"/>
          <w:lang w:val="pt-BR"/>
        </w:rPr>
        <w:t xml:space="preserve"> </w:t>
      </w:r>
      <w:r w:rsidRPr="001B7B64">
        <w:rPr>
          <w:rFonts w:ascii="Times New Roman" w:hAnsi="Times New Roman" w:cs="Times New Roman"/>
          <w:lang w:val="pt-BR"/>
        </w:rPr>
        <w:t>Prognozuojama, kad per ateinančius penkerius metus valdomų transporto priemonių skaičius viršys 1000.</w:t>
      </w:r>
    </w:p>
    <w:p w14:paraId="7FDA4C5A" w14:textId="7EED2678" w:rsidR="00C12D88" w:rsidRPr="001B7B64" w:rsidRDefault="0015665D" w:rsidP="004132B9">
      <w:pPr>
        <w:rPr>
          <w:rFonts w:ascii="Times New Roman" w:hAnsi="Times New Roman" w:cs="Times New Roman"/>
          <w:lang w:val="pt-BR"/>
        </w:rPr>
      </w:pPr>
      <w:r w:rsidRPr="001B7B64">
        <w:rPr>
          <w:rFonts w:ascii="Times New Roman" w:hAnsi="Times New Roman" w:cs="Times New Roman"/>
          <w:lang w:val="pt-BR"/>
        </w:rPr>
        <w:t>Valdymas tapo</w:t>
      </w:r>
      <w:r w:rsidR="00C12D88" w:rsidRPr="001B7B64">
        <w:rPr>
          <w:rFonts w:ascii="Times New Roman" w:hAnsi="Times New Roman" w:cs="Times New Roman"/>
          <w:lang w:val="pt-BR"/>
        </w:rPr>
        <w:t xml:space="preserve"> </w:t>
      </w:r>
      <w:r w:rsidRPr="001B7B64">
        <w:rPr>
          <w:rFonts w:ascii="Times New Roman" w:hAnsi="Times New Roman" w:cs="Times New Roman"/>
          <w:lang w:val="pt-BR"/>
        </w:rPr>
        <w:t xml:space="preserve">labiau </w:t>
      </w:r>
      <w:r w:rsidR="00C12D88" w:rsidRPr="001B7B64">
        <w:rPr>
          <w:rFonts w:ascii="Times New Roman" w:hAnsi="Times New Roman" w:cs="Times New Roman"/>
          <w:lang w:val="pt-BR"/>
        </w:rPr>
        <w:t xml:space="preserve">orientuotas į veiklos rezultatus, logistikos operacijas, sunkvežimių turtą. </w:t>
      </w:r>
      <w:r w:rsidRPr="001B7B64">
        <w:rPr>
          <w:rFonts w:ascii="Times New Roman" w:hAnsi="Times New Roman" w:cs="Times New Roman"/>
          <w:lang w:val="pt-BR"/>
        </w:rPr>
        <w:t xml:space="preserve"> Įdiegtas</w:t>
      </w:r>
      <w:r w:rsidR="00C12D88" w:rsidRPr="001B7B64">
        <w:rPr>
          <w:rFonts w:ascii="Times New Roman" w:hAnsi="Times New Roman" w:cs="Times New Roman"/>
          <w:lang w:val="pt-BR"/>
        </w:rPr>
        <w:t xml:space="preserve"> vairuotojų reitingavimas. Remiantis bendrovės duomenimis, vien pagal degalų sąnaudas skirtumas tarp LOTS standartą taikančių ir kitų vairuotojų yra apie 20 % sutaupymas.</w:t>
      </w:r>
      <w:r w:rsidRPr="001B7B64">
        <w:rPr>
          <w:rFonts w:ascii="Times New Roman" w:hAnsi="Times New Roman" w:cs="Times New Roman"/>
          <w:lang w:val="pt-BR"/>
        </w:rPr>
        <w:t xml:space="preserve"> </w:t>
      </w:r>
      <w:r w:rsidR="00C12D88" w:rsidRPr="001B7B64">
        <w:rPr>
          <w:rFonts w:ascii="Times New Roman" w:hAnsi="Times New Roman" w:cs="Times New Roman"/>
          <w:lang w:val="pt-BR"/>
        </w:rPr>
        <w:t xml:space="preserve">Vairuotojų atlyginimai yra susieti su našumu. </w:t>
      </w:r>
      <w:r w:rsidRPr="001B7B64">
        <w:rPr>
          <w:rFonts w:ascii="Times New Roman" w:hAnsi="Times New Roman" w:cs="Times New Roman"/>
          <w:lang w:val="pt-BR"/>
        </w:rPr>
        <w:t>B</w:t>
      </w:r>
      <w:r w:rsidR="00C12D88" w:rsidRPr="001B7B64">
        <w:rPr>
          <w:rFonts w:ascii="Times New Roman" w:hAnsi="Times New Roman" w:cs="Times New Roman"/>
          <w:lang w:val="pt-BR"/>
        </w:rPr>
        <w:t xml:space="preserve">endrovė </w:t>
      </w:r>
      <w:r w:rsidRPr="001B7B64">
        <w:rPr>
          <w:rFonts w:ascii="Times New Roman" w:hAnsi="Times New Roman" w:cs="Times New Roman"/>
          <w:lang w:val="pt-BR"/>
        </w:rPr>
        <w:t xml:space="preserve">taip pat </w:t>
      </w:r>
      <w:r w:rsidR="00C12D88" w:rsidRPr="001B7B64">
        <w:rPr>
          <w:rFonts w:ascii="Times New Roman" w:hAnsi="Times New Roman" w:cs="Times New Roman"/>
          <w:lang w:val="pt-BR"/>
        </w:rPr>
        <w:t>skatina programą „Moterys prie vairo“, kuri skatina moteris dalyvauti sunkiųjų krovinių gabenime ir daro teigiamą socialinį poveikį</w:t>
      </w:r>
      <w:r w:rsidRPr="001B7B64">
        <w:rPr>
          <w:rFonts w:ascii="Times New Roman" w:hAnsi="Times New Roman" w:cs="Times New Roman"/>
          <w:lang w:val="pt-BR"/>
        </w:rPr>
        <w:t>.</w:t>
      </w:r>
    </w:p>
    <w:p w14:paraId="74B00710" w14:textId="4ECC4D2C" w:rsidR="00C12D88" w:rsidRPr="001B7B64" w:rsidRDefault="00C12D88" w:rsidP="004132B9">
      <w:pPr>
        <w:rPr>
          <w:rFonts w:ascii="Times New Roman" w:hAnsi="Times New Roman" w:cs="Times New Roman"/>
          <w:lang w:val="pt-BR"/>
        </w:rPr>
      </w:pPr>
      <w:r w:rsidRPr="001B7B64">
        <w:rPr>
          <w:rFonts w:ascii="Times New Roman" w:hAnsi="Times New Roman" w:cs="Times New Roman"/>
          <w:lang w:val="pt-BR"/>
        </w:rPr>
        <w:t>Tarp logistikos bendrovės klientų yra pati „Scania“, „Volkswagen Trucks and Buses“, „Atvos“ ir „Cocal“, kurios sustiprina „LOTS“ buvimą automobilių, pramonės</w:t>
      </w:r>
      <w:r w:rsidR="0015665D" w:rsidRPr="001B7B64">
        <w:rPr>
          <w:rFonts w:ascii="Times New Roman" w:hAnsi="Times New Roman" w:cs="Times New Roman"/>
          <w:lang w:val="pt-BR"/>
        </w:rPr>
        <w:t>,</w:t>
      </w:r>
      <w:r w:rsidRPr="001B7B64">
        <w:rPr>
          <w:rFonts w:ascii="Times New Roman" w:hAnsi="Times New Roman" w:cs="Times New Roman"/>
          <w:lang w:val="pt-BR"/>
        </w:rPr>
        <w:t xml:space="preserve"> žemės ūkio</w:t>
      </w:r>
      <w:r w:rsidR="0015665D" w:rsidRPr="001B7B64">
        <w:rPr>
          <w:rFonts w:ascii="Times New Roman" w:hAnsi="Times New Roman" w:cs="Times New Roman"/>
          <w:lang w:val="pt-BR"/>
        </w:rPr>
        <w:t>,</w:t>
      </w:r>
      <w:r w:rsidRPr="001B7B64">
        <w:rPr>
          <w:rFonts w:ascii="Times New Roman" w:hAnsi="Times New Roman" w:cs="Times New Roman"/>
          <w:lang w:val="pt-BR"/>
        </w:rPr>
        <w:t xml:space="preserve"> energetikos </w:t>
      </w:r>
      <w:r w:rsidR="0015665D" w:rsidRPr="001B7B64">
        <w:rPr>
          <w:rFonts w:ascii="Times New Roman" w:hAnsi="Times New Roman" w:cs="Times New Roman"/>
          <w:lang w:val="pt-BR"/>
        </w:rPr>
        <w:t>sektoriuose</w:t>
      </w:r>
      <w:r w:rsidRPr="001B7B64">
        <w:rPr>
          <w:rFonts w:ascii="Times New Roman" w:hAnsi="Times New Roman" w:cs="Times New Roman"/>
          <w:lang w:val="pt-BR"/>
        </w:rPr>
        <w:t>.</w:t>
      </w:r>
    </w:p>
    <w:p w14:paraId="11110A31" w14:textId="77777777" w:rsidR="00864D10" w:rsidRPr="001B7B64" w:rsidRDefault="00C12D88" w:rsidP="004132B9">
      <w:pPr>
        <w:rPr>
          <w:rFonts w:ascii="Times New Roman" w:hAnsi="Times New Roman" w:cs="Times New Roman"/>
        </w:rPr>
      </w:pPr>
      <w:r w:rsidRPr="001B7B64">
        <w:rPr>
          <w:rFonts w:ascii="Times New Roman" w:hAnsi="Times New Roman" w:cs="Times New Roman"/>
          <w:lang w:val="pt-BR"/>
        </w:rPr>
        <w:t>„LOTS“ veikia kaip savotiška konsultacijų įmonė įmonėms.</w:t>
      </w:r>
      <w:r w:rsidRPr="001B7B64">
        <w:rPr>
          <w:rFonts w:ascii="Times New Roman" w:hAnsi="Times New Roman" w:cs="Times New Roman"/>
        </w:rPr>
        <w:t xml:space="preserve"> </w:t>
      </w:r>
      <w:r w:rsidRPr="001B7B64">
        <w:rPr>
          <w:rFonts w:ascii="Times New Roman" w:hAnsi="Times New Roman" w:cs="Times New Roman"/>
        </w:rPr>
        <w:t xml:space="preserve">Transporto ir logistikos įmonės siekia skatinti </w:t>
      </w:r>
      <w:proofErr w:type="spellStart"/>
      <w:r w:rsidRPr="001B7B64">
        <w:rPr>
          <w:rFonts w:ascii="Times New Roman" w:hAnsi="Times New Roman" w:cs="Times New Roman"/>
        </w:rPr>
        <w:t>dekarbonizaciją</w:t>
      </w:r>
      <w:proofErr w:type="spellEnd"/>
      <w:r w:rsidRPr="001B7B64">
        <w:rPr>
          <w:rFonts w:ascii="Times New Roman" w:hAnsi="Times New Roman" w:cs="Times New Roman"/>
        </w:rPr>
        <w:t xml:space="preserve"> ir sumažinti savo poveikį aplinkai. 70 % transporto priemonių jau naudoja dujas – tai strategijos, kuria siekiama laipsniškai pakeisti dyzeliną švaresniu kuru, rezultatas.</w:t>
      </w:r>
      <w:r w:rsidR="00864D10" w:rsidRPr="001B7B64">
        <w:rPr>
          <w:rFonts w:ascii="Times New Roman" w:hAnsi="Times New Roman" w:cs="Times New Roman"/>
        </w:rPr>
        <w:t xml:space="preserve"> </w:t>
      </w:r>
    </w:p>
    <w:p w14:paraId="08708AC3" w14:textId="2CCA7617" w:rsidR="00C12D88" w:rsidRPr="001B7B64" w:rsidRDefault="00C12D88" w:rsidP="004132B9">
      <w:pPr>
        <w:rPr>
          <w:rFonts w:ascii="Times New Roman" w:hAnsi="Times New Roman" w:cs="Times New Roman"/>
        </w:rPr>
      </w:pPr>
      <w:r w:rsidRPr="001B7B64">
        <w:rPr>
          <w:rFonts w:ascii="Times New Roman" w:hAnsi="Times New Roman" w:cs="Times New Roman"/>
        </w:rPr>
        <w:t xml:space="preserve">LOTS įžengė į </w:t>
      </w:r>
      <w:proofErr w:type="spellStart"/>
      <w:r w:rsidRPr="001B7B64">
        <w:rPr>
          <w:rFonts w:ascii="Times New Roman" w:hAnsi="Times New Roman" w:cs="Times New Roman"/>
        </w:rPr>
        <w:t>multimodalinį</w:t>
      </w:r>
      <w:proofErr w:type="spellEnd"/>
      <w:r w:rsidRPr="001B7B64">
        <w:rPr>
          <w:rFonts w:ascii="Times New Roman" w:hAnsi="Times New Roman" w:cs="Times New Roman"/>
        </w:rPr>
        <w:t xml:space="preserve"> sektorių, ieškodama kabotažo ir geležinkelių operatorių, be tradicinių kelių transporto operatorių</w:t>
      </w:r>
      <w:r w:rsidR="00864D10" w:rsidRPr="001B7B64">
        <w:rPr>
          <w:rFonts w:ascii="Times New Roman" w:hAnsi="Times New Roman" w:cs="Times New Roman"/>
        </w:rPr>
        <w:t xml:space="preserve">, kuriems </w:t>
      </w:r>
      <w:r w:rsidRPr="001B7B64">
        <w:rPr>
          <w:rFonts w:ascii="Times New Roman" w:hAnsi="Times New Roman" w:cs="Times New Roman"/>
        </w:rPr>
        <w:t>reikia sunkvežimių, kad atliktų paskutinės mylios darbus.</w:t>
      </w:r>
    </w:p>
    <w:p w14:paraId="1CFF18C8" w14:textId="77777777" w:rsidR="00C12D88" w:rsidRPr="001B7B64" w:rsidRDefault="00C12D88" w:rsidP="004132B9">
      <w:pPr>
        <w:rPr>
          <w:rFonts w:ascii="Times New Roman" w:hAnsi="Times New Roman" w:cs="Times New Roman"/>
          <w:lang w:val="pt-BR"/>
        </w:rPr>
      </w:pPr>
    </w:p>
    <w:p w14:paraId="01563E33" w14:textId="2C5BBE7E" w:rsidR="00B55C02" w:rsidRPr="001B7B64" w:rsidRDefault="00B55C02" w:rsidP="004132B9">
      <w:pPr>
        <w:rPr>
          <w:rFonts w:ascii="Times New Roman" w:hAnsi="Times New Roman" w:cs="Times New Roman"/>
          <w:b/>
          <w:bCs/>
          <w:lang w:val="pt-BR"/>
        </w:rPr>
      </w:pPr>
      <w:r w:rsidRPr="001B7B64">
        <w:rPr>
          <w:rFonts w:ascii="Times New Roman" w:hAnsi="Times New Roman" w:cs="Times New Roman"/>
          <w:b/>
          <w:bCs/>
          <w:lang w:val="pt-BR"/>
        </w:rPr>
        <w:t xml:space="preserve">Danijos vėjo energijos </w:t>
      </w:r>
      <w:r w:rsidRPr="001B7B64">
        <w:rPr>
          <w:rFonts w:ascii="Times New Roman" w:hAnsi="Times New Roman" w:cs="Times New Roman"/>
          <w:b/>
          <w:bCs/>
          <w:lang w:val="pt-BR"/>
        </w:rPr>
        <w:t xml:space="preserve">kompanija </w:t>
      </w:r>
      <w:r w:rsidR="00380404" w:rsidRPr="001B7B64">
        <w:rPr>
          <w:rFonts w:ascii="Times New Roman" w:hAnsi="Times New Roman" w:cs="Times New Roman"/>
          <w:b/>
          <w:bCs/>
          <w:lang w:val="pt-BR"/>
        </w:rPr>
        <w:t xml:space="preserve">„Vestas“ </w:t>
      </w:r>
      <w:r w:rsidRPr="001B7B64">
        <w:rPr>
          <w:rFonts w:ascii="Times New Roman" w:hAnsi="Times New Roman" w:cs="Times New Roman"/>
          <w:b/>
          <w:bCs/>
          <w:lang w:val="pt-BR"/>
        </w:rPr>
        <w:t>tapo</w:t>
      </w:r>
      <w:r w:rsidR="00380404" w:rsidRPr="001B7B64">
        <w:rPr>
          <w:rFonts w:ascii="Times New Roman" w:hAnsi="Times New Roman" w:cs="Times New Roman"/>
          <w:b/>
          <w:bCs/>
          <w:lang w:val="pt-BR"/>
        </w:rPr>
        <w:t xml:space="preserve"> lyder</w:t>
      </w:r>
      <w:r w:rsidRPr="001B7B64">
        <w:rPr>
          <w:rFonts w:ascii="Times New Roman" w:hAnsi="Times New Roman" w:cs="Times New Roman"/>
          <w:b/>
          <w:bCs/>
          <w:lang w:val="pt-BR"/>
        </w:rPr>
        <w:t>e</w:t>
      </w:r>
      <w:r w:rsidR="00380404" w:rsidRPr="001B7B64">
        <w:rPr>
          <w:rFonts w:ascii="Times New Roman" w:hAnsi="Times New Roman" w:cs="Times New Roman"/>
          <w:b/>
          <w:bCs/>
          <w:lang w:val="pt-BR"/>
        </w:rPr>
        <w:t xml:space="preserve"> Brazilijos rinkoje, aplenkdama „Siemens“ ir GE</w:t>
      </w:r>
      <w:r w:rsidRPr="001B7B64">
        <w:rPr>
          <w:rFonts w:ascii="Times New Roman" w:hAnsi="Times New Roman" w:cs="Times New Roman"/>
          <w:b/>
          <w:bCs/>
          <w:lang w:val="pt-BR"/>
        </w:rPr>
        <w:t xml:space="preserve">, </w:t>
      </w:r>
      <w:r w:rsidR="00380404" w:rsidRPr="001B7B64">
        <w:rPr>
          <w:rFonts w:ascii="Times New Roman" w:hAnsi="Times New Roman" w:cs="Times New Roman"/>
          <w:b/>
          <w:bCs/>
          <w:lang w:val="pt-BR"/>
        </w:rPr>
        <w:t xml:space="preserve"> šalyje įreng</w:t>
      </w:r>
      <w:r w:rsidRPr="001B7B64">
        <w:rPr>
          <w:rFonts w:ascii="Times New Roman" w:hAnsi="Times New Roman" w:cs="Times New Roman"/>
          <w:b/>
          <w:bCs/>
          <w:lang w:val="pt-BR"/>
        </w:rPr>
        <w:t>usi</w:t>
      </w:r>
      <w:r w:rsidR="00380404" w:rsidRPr="001B7B64">
        <w:rPr>
          <w:rFonts w:ascii="Times New Roman" w:hAnsi="Times New Roman" w:cs="Times New Roman"/>
          <w:b/>
          <w:bCs/>
          <w:lang w:val="pt-BR"/>
        </w:rPr>
        <w:t xml:space="preserve"> 12 GW pajėgumų. </w:t>
      </w:r>
    </w:p>
    <w:p w14:paraId="16BDB944" w14:textId="7757FC88" w:rsidR="00380404" w:rsidRPr="001B7B64" w:rsidRDefault="00B55C02" w:rsidP="004132B9">
      <w:pPr>
        <w:rPr>
          <w:rFonts w:ascii="Times New Roman" w:hAnsi="Times New Roman" w:cs="Times New Roman"/>
          <w:b/>
          <w:bCs/>
          <w:lang w:val="pt-BR"/>
        </w:rPr>
      </w:pPr>
      <w:r w:rsidRPr="001B7B64">
        <w:rPr>
          <w:rFonts w:ascii="Times New Roman" w:hAnsi="Times New Roman" w:cs="Times New Roman"/>
          <w:lang w:val="pt-BR"/>
        </w:rPr>
        <w:t xml:space="preserve">Dabar </w:t>
      </w:r>
      <w:r w:rsidR="00380404" w:rsidRPr="001B7B64">
        <w:rPr>
          <w:rFonts w:ascii="Times New Roman" w:hAnsi="Times New Roman" w:cs="Times New Roman"/>
          <w:lang w:val="pt-BR"/>
        </w:rPr>
        <w:t xml:space="preserve">vėjo energetikos pramonė </w:t>
      </w:r>
      <w:r w:rsidRPr="001B7B64">
        <w:rPr>
          <w:rFonts w:ascii="Times New Roman" w:hAnsi="Times New Roman" w:cs="Times New Roman"/>
          <w:lang w:val="pt-BR"/>
        </w:rPr>
        <w:t>Brazilijoje</w:t>
      </w:r>
      <w:r w:rsidR="00380404" w:rsidRPr="001B7B64">
        <w:rPr>
          <w:rFonts w:ascii="Times New Roman" w:hAnsi="Times New Roman" w:cs="Times New Roman"/>
          <w:lang w:val="pt-BR"/>
        </w:rPr>
        <w:t xml:space="preserve"> susidūr</w:t>
      </w:r>
      <w:r w:rsidRPr="001B7B64">
        <w:rPr>
          <w:rFonts w:ascii="Times New Roman" w:hAnsi="Times New Roman" w:cs="Times New Roman"/>
          <w:lang w:val="pt-BR"/>
        </w:rPr>
        <w:t>ia</w:t>
      </w:r>
      <w:r w:rsidR="00380404" w:rsidRPr="001B7B64">
        <w:rPr>
          <w:rFonts w:ascii="Times New Roman" w:hAnsi="Times New Roman" w:cs="Times New Roman"/>
          <w:lang w:val="pt-BR"/>
        </w:rPr>
        <w:t xml:space="preserve"> su paradoksu elektros energijos sistemoje: nors Brazilija sparčiai žengia į priekį</w:t>
      </w:r>
      <w:r w:rsidR="002921B4" w:rsidRPr="001B7B64">
        <w:rPr>
          <w:rFonts w:ascii="Times New Roman" w:hAnsi="Times New Roman" w:cs="Times New Roman"/>
          <w:lang w:val="pt-BR"/>
        </w:rPr>
        <w:t>,</w:t>
      </w:r>
      <w:r w:rsidR="00380404" w:rsidRPr="001B7B64">
        <w:rPr>
          <w:rFonts w:ascii="Times New Roman" w:hAnsi="Times New Roman" w:cs="Times New Roman"/>
          <w:lang w:val="pt-BR"/>
        </w:rPr>
        <w:t xml:space="preserve"> </w:t>
      </w:r>
      <w:r w:rsidRPr="001B7B64">
        <w:rPr>
          <w:rFonts w:ascii="Times New Roman" w:hAnsi="Times New Roman" w:cs="Times New Roman"/>
          <w:lang w:val="pt-BR"/>
        </w:rPr>
        <w:t xml:space="preserve">kurdama </w:t>
      </w:r>
      <w:r w:rsidR="00380404" w:rsidRPr="001B7B64">
        <w:rPr>
          <w:rFonts w:ascii="Times New Roman" w:hAnsi="Times New Roman" w:cs="Times New Roman"/>
          <w:lang w:val="pt-BR"/>
        </w:rPr>
        <w:t xml:space="preserve">atsinaujinančius energijos šaltinius, paklausa auga lėčiau, todėl kyla spaudimas kainoms ir didėja eksploataciniai iššūkiai, susiję su paskirstymu ir tinklo balansavimu. </w:t>
      </w:r>
      <w:r w:rsidRPr="001B7B64">
        <w:rPr>
          <w:rFonts w:ascii="Times New Roman" w:hAnsi="Times New Roman" w:cs="Times New Roman"/>
          <w:b/>
          <w:bCs/>
          <w:lang w:val="pt-BR"/>
        </w:rPr>
        <w:t>Tačiau</w:t>
      </w:r>
      <w:r w:rsidR="00380404" w:rsidRPr="001B7B64">
        <w:rPr>
          <w:rFonts w:ascii="Times New Roman" w:hAnsi="Times New Roman" w:cs="Times New Roman"/>
          <w:b/>
          <w:bCs/>
          <w:lang w:val="pt-BR"/>
        </w:rPr>
        <w:t xml:space="preserve"> </w:t>
      </w:r>
      <w:r w:rsidRPr="001B7B64">
        <w:rPr>
          <w:rFonts w:ascii="Times New Roman" w:hAnsi="Times New Roman" w:cs="Times New Roman"/>
          <w:b/>
          <w:bCs/>
          <w:lang w:val="pt-BR"/>
        </w:rPr>
        <w:t>būsimą</w:t>
      </w:r>
      <w:r w:rsidR="00380404" w:rsidRPr="001B7B64">
        <w:rPr>
          <w:rFonts w:ascii="Times New Roman" w:hAnsi="Times New Roman" w:cs="Times New Roman"/>
          <w:b/>
          <w:bCs/>
          <w:lang w:val="pt-BR"/>
        </w:rPr>
        <w:t xml:space="preserve"> plėtros ciklą turėtų mažiau lemti tradicinis vartojimas, o daugiau – naujos intensyvios apkrovos, tokios kaip duomenų centrai ir žaliojo vandenilio projektai.</w:t>
      </w:r>
    </w:p>
    <w:p w14:paraId="4422CDF1" w14:textId="0AC90D51" w:rsidR="00380404" w:rsidRPr="001B7B64" w:rsidRDefault="00380404" w:rsidP="004132B9">
      <w:pPr>
        <w:rPr>
          <w:rFonts w:ascii="Times New Roman" w:hAnsi="Times New Roman" w:cs="Times New Roman"/>
          <w:lang w:val="pt-BR"/>
        </w:rPr>
      </w:pPr>
      <w:r w:rsidRPr="001B7B64">
        <w:rPr>
          <w:rFonts w:ascii="Times New Roman" w:hAnsi="Times New Roman" w:cs="Times New Roman"/>
          <w:lang w:val="pt-BR"/>
        </w:rPr>
        <w:t>828 MW galios „Dom Inocêncio“ vėjo jėgainių parko Piauí su 184 V150</w:t>
      </w:r>
      <w:r w:rsidR="00B55C02" w:rsidRPr="001B7B64">
        <w:rPr>
          <w:rFonts w:ascii="Times New Roman" w:hAnsi="Times New Roman" w:cs="Times New Roman"/>
          <w:lang w:val="pt-BR"/>
        </w:rPr>
        <w:t xml:space="preserve"> </w:t>
      </w:r>
      <w:r w:rsidRPr="001B7B64">
        <w:rPr>
          <w:rFonts w:ascii="Times New Roman" w:hAnsi="Times New Roman" w:cs="Times New Roman"/>
          <w:lang w:val="pt-BR"/>
        </w:rPr>
        <w:t>4,5 MW turbinomis statyba planuojama pradėti 2026 m., o paleidimas – 2028 m. „Vestas“ taip pat bus atsakinga už eksploatavimą ir priežiūrą 25 metus</w:t>
      </w:r>
      <w:r w:rsidR="00B55C02" w:rsidRPr="001B7B64">
        <w:rPr>
          <w:rFonts w:ascii="Times New Roman" w:hAnsi="Times New Roman" w:cs="Times New Roman"/>
          <w:lang w:val="pt-BR"/>
        </w:rPr>
        <w:t>.</w:t>
      </w:r>
    </w:p>
    <w:p w14:paraId="6302E356" w14:textId="6C333F96" w:rsidR="00380404" w:rsidRPr="001B7B64" w:rsidRDefault="00B55C02" w:rsidP="004132B9">
      <w:pPr>
        <w:rPr>
          <w:rFonts w:ascii="Times New Roman" w:hAnsi="Times New Roman" w:cs="Times New Roman"/>
          <w:lang w:val="pt-BR"/>
        </w:rPr>
      </w:pPr>
      <w:r w:rsidRPr="001B7B64">
        <w:rPr>
          <w:rFonts w:ascii="Times New Roman" w:hAnsi="Times New Roman" w:cs="Times New Roman"/>
          <w:lang w:val="pt-BR"/>
        </w:rPr>
        <w:t>D</w:t>
      </w:r>
      <w:r w:rsidR="00380404" w:rsidRPr="001B7B64">
        <w:rPr>
          <w:rFonts w:ascii="Times New Roman" w:hAnsi="Times New Roman" w:cs="Times New Roman"/>
          <w:lang w:val="pt-BR"/>
        </w:rPr>
        <w:t>abartinė įtamp</w:t>
      </w:r>
      <w:r w:rsidRPr="001B7B64">
        <w:rPr>
          <w:rFonts w:ascii="Times New Roman" w:hAnsi="Times New Roman" w:cs="Times New Roman"/>
          <w:lang w:val="pt-BR"/>
        </w:rPr>
        <w:t>a</w:t>
      </w:r>
      <w:r w:rsidR="00380404" w:rsidRPr="001B7B64">
        <w:rPr>
          <w:rFonts w:ascii="Times New Roman" w:hAnsi="Times New Roman" w:cs="Times New Roman"/>
          <w:lang w:val="pt-BR"/>
        </w:rPr>
        <w:t xml:space="preserve"> </w:t>
      </w:r>
      <w:r w:rsidR="002921B4" w:rsidRPr="001B7B64">
        <w:rPr>
          <w:rFonts w:ascii="Times New Roman" w:hAnsi="Times New Roman" w:cs="Times New Roman"/>
          <w:lang w:val="pt-BR"/>
        </w:rPr>
        <w:t xml:space="preserve">Brazilijos </w:t>
      </w:r>
      <w:r w:rsidR="00380404" w:rsidRPr="001B7B64">
        <w:rPr>
          <w:rFonts w:ascii="Times New Roman" w:hAnsi="Times New Roman" w:cs="Times New Roman"/>
          <w:lang w:val="pt-BR"/>
        </w:rPr>
        <w:t>elektros sistem</w:t>
      </w:r>
      <w:r w:rsidRPr="001B7B64">
        <w:rPr>
          <w:rFonts w:ascii="Times New Roman" w:hAnsi="Times New Roman" w:cs="Times New Roman"/>
          <w:lang w:val="pt-BR"/>
        </w:rPr>
        <w:t>oje</w:t>
      </w:r>
      <w:r w:rsidR="00380404" w:rsidRPr="001B7B64">
        <w:rPr>
          <w:rFonts w:ascii="Times New Roman" w:hAnsi="Times New Roman" w:cs="Times New Roman"/>
          <w:lang w:val="pt-BR"/>
        </w:rPr>
        <w:t xml:space="preserve"> kyla dėl reguliavimo iškraipymų, susijusių su saulės energijos gamyba. </w:t>
      </w:r>
      <w:r w:rsidRPr="001B7B64">
        <w:rPr>
          <w:rFonts w:ascii="Times New Roman" w:hAnsi="Times New Roman" w:cs="Times New Roman"/>
          <w:lang w:val="pt-BR"/>
        </w:rPr>
        <w:t xml:space="preserve">Savo laiku </w:t>
      </w:r>
      <w:r w:rsidR="00380404" w:rsidRPr="001B7B64">
        <w:rPr>
          <w:rFonts w:ascii="Times New Roman" w:hAnsi="Times New Roman" w:cs="Times New Roman"/>
          <w:lang w:val="pt-BR"/>
        </w:rPr>
        <w:t xml:space="preserve">ekonominės paskatos paspartino </w:t>
      </w:r>
      <w:r w:rsidRPr="001B7B64">
        <w:rPr>
          <w:rFonts w:ascii="Times New Roman" w:hAnsi="Times New Roman" w:cs="Times New Roman"/>
          <w:lang w:val="pt-BR"/>
        </w:rPr>
        <w:t xml:space="preserve">saulės energijos </w:t>
      </w:r>
      <w:r w:rsidR="00380404" w:rsidRPr="001B7B64">
        <w:rPr>
          <w:rFonts w:ascii="Times New Roman" w:hAnsi="Times New Roman" w:cs="Times New Roman"/>
          <w:lang w:val="pt-BR"/>
        </w:rPr>
        <w:t>projektų diegimą ir sukūrė „piko ir nuosmukio“ dinamiką, kurią sunku valdyti: didel</w:t>
      </w:r>
      <w:r w:rsidRPr="001B7B64">
        <w:rPr>
          <w:rFonts w:ascii="Times New Roman" w:hAnsi="Times New Roman" w:cs="Times New Roman"/>
          <w:lang w:val="pt-BR"/>
        </w:rPr>
        <w:t xml:space="preserve">is energijos tiekimas </w:t>
      </w:r>
      <w:r w:rsidR="00380404" w:rsidRPr="001B7B64">
        <w:rPr>
          <w:rFonts w:ascii="Times New Roman" w:hAnsi="Times New Roman" w:cs="Times New Roman"/>
          <w:lang w:val="pt-BR"/>
        </w:rPr>
        <w:t xml:space="preserve">vidurdienį ir </w:t>
      </w:r>
      <w:r w:rsidRPr="001B7B64">
        <w:rPr>
          <w:rFonts w:ascii="Times New Roman" w:hAnsi="Times New Roman" w:cs="Times New Roman"/>
          <w:lang w:val="pt-BR"/>
        </w:rPr>
        <w:t xml:space="preserve">jo </w:t>
      </w:r>
      <w:r w:rsidR="00380404" w:rsidRPr="001B7B64">
        <w:rPr>
          <w:rFonts w:ascii="Times New Roman" w:hAnsi="Times New Roman" w:cs="Times New Roman"/>
          <w:lang w:val="pt-BR"/>
        </w:rPr>
        <w:t xml:space="preserve">kritimas vėlyvą popietę, tada, kai išauga </w:t>
      </w:r>
      <w:r w:rsidR="008D2C60" w:rsidRPr="001B7B64">
        <w:rPr>
          <w:rFonts w:ascii="Times New Roman" w:hAnsi="Times New Roman" w:cs="Times New Roman"/>
          <w:lang w:val="pt-BR"/>
        </w:rPr>
        <w:t>buitinio vartojimo</w:t>
      </w:r>
      <w:r w:rsidR="00380404" w:rsidRPr="001B7B64">
        <w:rPr>
          <w:rFonts w:ascii="Times New Roman" w:hAnsi="Times New Roman" w:cs="Times New Roman"/>
          <w:lang w:val="pt-BR"/>
        </w:rPr>
        <w:t xml:space="preserve"> paklausa.</w:t>
      </w:r>
      <w:r w:rsidR="008D2C60" w:rsidRPr="001B7B64">
        <w:rPr>
          <w:rFonts w:ascii="Times New Roman" w:hAnsi="Times New Roman" w:cs="Times New Roman"/>
          <w:lang w:val="pt-BR"/>
        </w:rPr>
        <w:t xml:space="preserve"> V</w:t>
      </w:r>
      <w:r w:rsidR="00380404" w:rsidRPr="001B7B64">
        <w:rPr>
          <w:rFonts w:ascii="Times New Roman" w:hAnsi="Times New Roman" w:cs="Times New Roman"/>
          <w:lang w:val="pt-BR"/>
        </w:rPr>
        <w:t xml:space="preserve">ėjo energija paprastai papildo saulės energiją ir padeda sistemai kritinėmis valandomis. </w:t>
      </w:r>
    </w:p>
    <w:p w14:paraId="00CB5E24" w14:textId="03820309" w:rsidR="00380404" w:rsidRPr="001B7B64" w:rsidRDefault="008D2C60" w:rsidP="004132B9">
      <w:pPr>
        <w:rPr>
          <w:rFonts w:ascii="Times New Roman" w:hAnsi="Times New Roman" w:cs="Times New Roman"/>
          <w:lang w:val="pt-BR"/>
        </w:rPr>
      </w:pPr>
      <w:r w:rsidRPr="001B7B64">
        <w:rPr>
          <w:rFonts w:ascii="Times New Roman" w:hAnsi="Times New Roman" w:cs="Times New Roman"/>
          <w:b/>
          <w:bCs/>
          <w:lang w:val="pt-BR"/>
        </w:rPr>
        <w:t>Di</w:t>
      </w:r>
      <w:r w:rsidR="00380404" w:rsidRPr="001B7B64">
        <w:rPr>
          <w:rFonts w:ascii="Times New Roman" w:hAnsi="Times New Roman" w:cs="Times New Roman"/>
          <w:b/>
          <w:bCs/>
          <w:lang w:val="pt-BR"/>
        </w:rPr>
        <w:t>rbtinio intelekto augimas ir skaičiavimo infrastruktūros poreikis pakeitė pasaulinių investicijų į energetiką logiką</w:t>
      </w:r>
      <w:r w:rsidRPr="001B7B64">
        <w:rPr>
          <w:rFonts w:ascii="Times New Roman" w:hAnsi="Times New Roman" w:cs="Times New Roman"/>
          <w:b/>
          <w:bCs/>
          <w:lang w:val="pt-BR"/>
        </w:rPr>
        <w:t xml:space="preserve"> ir sukūrė naują paklausą</w:t>
      </w:r>
      <w:r w:rsidR="00380404" w:rsidRPr="001B7B64">
        <w:rPr>
          <w:rFonts w:ascii="Times New Roman" w:hAnsi="Times New Roman" w:cs="Times New Roman"/>
          <w:lang w:val="pt-BR"/>
        </w:rPr>
        <w:t xml:space="preserve">. Brazilija pritraukia </w:t>
      </w:r>
      <w:r w:rsidRPr="001B7B64">
        <w:rPr>
          <w:rFonts w:ascii="Times New Roman" w:hAnsi="Times New Roman" w:cs="Times New Roman"/>
          <w:lang w:val="pt-BR"/>
        </w:rPr>
        <w:t>atsinaujinan</w:t>
      </w:r>
      <w:r w:rsidRPr="001B7B64">
        <w:rPr>
          <w:rFonts w:ascii="Times New Roman" w:hAnsi="Times New Roman" w:cs="Times New Roman"/>
          <w:lang w:val="pt-BR"/>
        </w:rPr>
        <w:t>čios</w:t>
      </w:r>
      <w:r w:rsidRPr="001B7B64">
        <w:rPr>
          <w:rFonts w:ascii="Times New Roman" w:hAnsi="Times New Roman" w:cs="Times New Roman"/>
          <w:lang w:val="pt-BR"/>
        </w:rPr>
        <w:t xml:space="preserve"> energij</w:t>
      </w:r>
      <w:r w:rsidRPr="001B7B64">
        <w:rPr>
          <w:rFonts w:ascii="Times New Roman" w:hAnsi="Times New Roman" w:cs="Times New Roman"/>
          <w:lang w:val="pt-BR"/>
        </w:rPr>
        <w:t xml:space="preserve">os </w:t>
      </w:r>
      <w:r w:rsidR="00380404" w:rsidRPr="001B7B64">
        <w:rPr>
          <w:rFonts w:ascii="Times New Roman" w:hAnsi="Times New Roman" w:cs="Times New Roman"/>
          <w:lang w:val="pt-BR"/>
        </w:rPr>
        <w:t>projektus</w:t>
      </w:r>
      <w:r w:rsidRPr="001B7B64">
        <w:rPr>
          <w:rFonts w:ascii="Times New Roman" w:hAnsi="Times New Roman" w:cs="Times New Roman"/>
          <w:lang w:val="pt-BR"/>
        </w:rPr>
        <w:t xml:space="preserve"> dėl</w:t>
      </w:r>
      <w:r w:rsidR="00380404" w:rsidRPr="001B7B64">
        <w:rPr>
          <w:rFonts w:ascii="Times New Roman" w:hAnsi="Times New Roman" w:cs="Times New Roman"/>
          <w:lang w:val="pt-BR"/>
        </w:rPr>
        <w:t xml:space="preserve"> gamtin</w:t>
      </w:r>
      <w:r w:rsidRPr="001B7B64">
        <w:rPr>
          <w:rFonts w:ascii="Times New Roman" w:hAnsi="Times New Roman" w:cs="Times New Roman"/>
          <w:lang w:val="pt-BR"/>
        </w:rPr>
        <w:t xml:space="preserve">ių </w:t>
      </w:r>
      <w:r w:rsidR="00380404" w:rsidRPr="001B7B64">
        <w:rPr>
          <w:rFonts w:ascii="Times New Roman" w:hAnsi="Times New Roman" w:cs="Times New Roman"/>
          <w:lang w:val="pt-BR"/>
        </w:rPr>
        <w:t>sąlyg</w:t>
      </w:r>
      <w:r w:rsidRPr="001B7B64">
        <w:rPr>
          <w:rFonts w:ascii="Times New Roman" w:hAnsi="Times New Roman" w:cs="Times New Roman"/>
          <w:lang w:val="pt-BR"/>
        </w:rPr>
        <w:t>ų.</w:t>
      </w:r>
      <w:r w:rsidR="002921B4" w:rsidRPr="001B7B64">
        <w:rPr>
          <w:rFonts w:ascii="Times New Roman" w:hAnsi="Times New Roman" w:cs="Times New Roman"/>
          <w:lang w:val="pt-BR"/>
        </w:rPr>
        <w:t xml:space="preserve"> </w:t>
      </w:r>
      <w:r w:rsidRPr="001B7B64">
        <w:rPr>
          <w:rFonts w:ascii="Times New Roman" w:hAnsi="Times New Roman" w:cs="Times New Roman"/>
          <w:lang w:val="pt-BR"/>
        </w:rPr>
        <w:t>V</w:t>
      </w:r>
      <w:r w:rsidR="00380404" w:rsidRPr="001B7B64">
        <w:rPr>
          <w:rFonts w:ascii="Times New Roman" w:hAnsi="Times New Roman" w:cs="Times New Roman"/>
          <w:lang w:val="pt-BR"/>
        </w:rPr>
        <w:t>yriausybės sprendimas panaikinti importo mokesčius duomenų centrų įrangai sustiprin</w:t>
      </w:r>
      <w:r w:rsidRPr="001B7B64">
        <w:rPr>
          <w:rFonts w:ascii="Times New Roman" w:hAnsi="Times New Roman" w:cs="Times New Roman"/>
          <w:lang w:val="pt-BR"/>
        </w:rPr>
        <w:t>s</w:t>
      </w:r>
      <w:r w:rsidR="00380404" w:rsidRPr="001B7B64">
        <w:rPr>
          <w:rFonts w:ascii="Times New Roman" w:hAnsi="Times New Roman" w:cs="Times New Roman"/>
          <w:lang w:val="pt-BR"/>
        </w:rPr>
        <w:t xml:space="preserve"> šalies patrauklumą šiam sektoriui, sumažinant įrengimo išlaidas ir paspartinant projektus.</w:t>
      </w:r>
    </w:p>
    <w:p w14:paraId="06A81BA4" w14:textId="242C5FE3" w:rsidR="00380404" w:rsidRPr="001B7B64" w:rsidRDefault="00380404" w:rsidP="004132B9">
      <w:pPr>
        <w:rPr>
          <w:rFonts w:ascii="Times New Roman" w:hAnsi="Times New Roman" w:cs="Times New Roman"/>
          <w:lang w:val="pt-BR"/>
        </w:rPr>
      </w:pPr>
      <w:r w:rsidRPr="001B7B64">
        <w:rPr>
          <w:rFonts w:ascii="Times New Roman" w:hAnsi="Times New Roman" w:cs="Times New Roman"/>
          <w:lang w:val="pt-BR"/>
        </w:rPr>
        <w:lastRenderedPageBreak/>
        <w:t xml:space="preserve">Be </w:t>
      </w:r>
      <w:r w:rsidR="008D2C60" w:rsidRPr="001B7B64">
        <w:rPr>
          <w:rFonts w:ascii="Times New Roman" w:hAnsi="Times New Roman" w:cs="Times New Roman"/>
          <w:lang w:val="pt-BR"/>
        </w:rPr>
        <w:t xml:space="preserve">to, </w:t>
      </w:r>
      <w:r w:rsidRPr="001B7B64">
        <w:rPr>
          <w:rFonts w:ascii="Times New Roman" w:hAnsi="Times New Roman" w:cs="Times New Roman"/>
          <w:b/>
          <w:bCs/>
          <w:lang w:val="pt-BR"/>
        </w:rPr>
        <w:t>žali</w:t>
      </w:r>
      <w:r w:rsidR="008D2C60" w:rsidRPr="001B7B64">
        <w:rPr>
          <w:rFonts w:ascii="Times New Roman" w:hAnsi="Times New Roman" w:cs="Times New Roman"/>
          <w:b/>
          <w:bCs/>
          <w:lang w:val="pt-BR"/>
        </w:rPr>
        <w:t>asis</w:t>
      </w:r>
      <w:r w:rsidRPr="001B7B64">
        <w:rPr>
          <w:rFonts w:ascii="Times New Roman" w:hAnsi="Times New Roman" w:cs="Times New Roman"/>
          <w:b/>
          <w:bCs/>
          <w:lang w:val="pt-BR"/>
        </w:rPr>
        <w:t xml:space="preserve"> vandenil</w:t>
      </w:r>
      <w:r w:rsidR="008D2C60" w:rsidRPr="001B7B64">
        <w:rPr>
          <w:rFonts w:ascii="Times New Roman" w:hAnsi="Times New Roman" w:cs="Times New Roman"/>
          <w:b/>
          <w:bCs/>
          <w:lang w:val="pt-BR"/>
        </w:rPr>
        <w:t>is</w:t>
      </w:r>
      <w:r w:rsidRPr="001B7B64">
        <w:rPr>
          <w:rFonts w:ascii="Times New Roman" w:hAnsi="Times New Roman" w:cs="Times New Roman"/>
          <w:b/>
          <w:bCs/>
          <w:lang w:val="pt-BR"/>
        </w:rPr>
        <w:t xml:space="preserve"> kaip vidutinės trukmės ir ilgalaik</w:t>
      </w:r>
      <w:r w:rsidR="008D2C60" w:rsidRPr="001B7B64">
        <w:rPr>
          <w:rFonts w:ascii="Times New Roman" w:hAnsi="Times New Roman" w:cs="Times New Roman"/>
          <w:b/>
          <w:bCs/>
          <w:lang w:val="pt-BR"/>
        </w:rPr>
        <w:t>ė</w:t>
      </w:r>
      <w:r w:rsidRPr="001B7B64">
        <w:rPr>
          <w:rFonts w:ascii="Times New Roman" w:hAnsi="Times New Roman" w:cs="Times New Roman"/>
          <w:b/>
          <w:bCs/>
          <w:lang w:val="pt-BR"/>
        </w:rPr>
        <w:t xml:space="preserve"> galimyb</w:t>
      </w:r>
      <w:r w:rsidR="008D2C60" w:rsidRPr="001B7B64">
        <w:rPr>
          <w:rFonts w:ascii="Times New Roman" w:hAnsi="Times New Roman" w:cs="Times New Roman"/>
          <w:b/>
          <w:bCs/>
          <w:lang w:val="pt-BR"/>
        </w:rPr>
        <w:t>ė</w:t>
      </w:r>
      <w:r w:rsidRPr="001B7B64">
        <w:rPr>
          <w:rFonts w:ascii="Times New Roman" w:hAnsi="Times New Roman" w:cs="Times New Roman"/>
          <w:b/>
          <w:bCs/>
          <w:lang w:val="pt-BR"/>
        </w:rPr>
        <w:t>, pagrįst</w:t>
      </w:r>
      <w:r w:rsidR="008D2C60" w:rsidRPr="001B7B64">
        <w:rPr>
          <w:rFonts w:ascii="Times New Roman" w:hAnsi="Times New Roman" w:cs="Times New Roman"/>
          <w:b/>
          <w:bCs/>
          <w:lang w:val="pt-BR"/>
        </w:rPr>
        <w:t>a</w:t>
      </w:r>
      <w:r w:rsidRPr="001B7B64">
        <w:rPr>
          <w:rFonts w:ascii="Times New Roman" w:hAnsi="Times New Roman" w:cs="Times New Roman"/>
          <w:b/>
          <w:bCs/>
          <w:lang w:val="pt-BR"/>
        </w:rPr>
        <w:t xml:space="preserve"> Brazilijos atsinaujinanči</w:t>
      </w:r>
      <w:r w:rsidR="002921B4" w:rsidRPr="001B7B64">
        <w:rPr>
          <w:rFonts w:ascii="Times New Roman" w:hAnsi="Times New Roman" w:cs="Times New Roman"/>
          <w:b/>
          <w:bCs/>
          <w:lang w:val="pt-BR"/>
        </w:rPr>
        <w:t>os energijos</w:t>
      </w:r>
      <w:r w:rsidRPr="001B7B64">
        <w:rPr>
          <w:rFonts w:ascii="Times New Roman" w:hAnsi="Times New Roman" w:cs="Times New Roman"/>
          <w:b/>
          <w:bCs/>
          <w:lang w:val="pt-BR"/>
        </w:rPr>
        <w:t xml:space="preserve"> potencialu</w:t>
      </w:r>
      <w:r w:rsidRPr="001B7B64">
        <w:rPr>
          <w:rFonts w:ascii="Times New Roman" w:hAnsi="Times New Roman" w:cs="Times New Roman"/>
          <w:lang w:val="pt-BR"/>
        </w:rPr>
        <w:t xml:space="preserve">. </w:t>
      </w:r>
      <w:r w:rsidR="008D2C60" w:rsidRPr="001B7B64">
        <w:rPr>
          <w:rFonts w:ascii="Times New Roman" w:hAnsi="Times New Roman" w:cs="Times New Roman"/>
          <w:lang w:val="pt-BR"/>
        </w:rPr>
        <w:t>Tačiau</w:t>
      </w:r>
      <w:r w:rsidRPr="001B7B64">
        <w:rPr>
          <w:rFonts w:ascii="Times New Roman" w:hAnsi="Times New Roman" w:cs="Times New Roman"/>
          <w:lang w:val="pt-BR"/>
        </w:rPr>
        <w:t xml:space="preserve"> pažangai reikia tobulinti reguliavimo sistemą, ypač siekiant pašalinti iškraipymus ir užtikrinti nuspėjamumą vartotojams ir investuotojams.</w:t>
      </w:r>
    </w:p>
    <w:p w14:paraId="7A3920CE" w14:textId="77777777" w:rsidR="00380404" w:rsidRPr="001B7B64" w:rsidRDefault="00380404" w:rsidP="004132B9">
      <w:pPr>
        <w:rPr>
          <w:rFonts w:ascii="Times New Roman" w:hAnsi="Times New Roman" w:cs="Times New Roman"/>
          <w:lang w:val="pt-BR"/>
        </w:rPr>
      </w:pPr>
    </w:p>
    <w:p w14:paraId="75FDE189" w14:textId="77777777" w:rsidR="001B7B64" w:rsidRPr="001B7B64" w:rsidRDefault="001B7B64" w:rsidP="001B7B64">
      <w:pPr>
        <w:jc w:val="both"/>
        <w:rPr>
          <w:rFonts w:ascii="Times New Roman" w:hAnsi="Times New Roman" w:cs="Times New Roman"/>
        </w:rPr>
      </w:pPr>
      <w:r w:rsidRPr="001B7B64">
        <w:rPr>
          <w:rFonts w:ascii="Times New Roman" w:hAnsi="Times New Roman" w:cs="Times New Roman"/>
          <w:b/>
          <w:bCs/>
        </w:rPr>
        <w:t>Rekordinis 8 milijonų užsienio turistų skaičius Brazilijoje, užregistruotas nuo šių metų sausio iki lapkričio mėnesio</w:t>
      </w:r>
      <w:r w:rsidRPr="001B7B64">
        <w:rPr>
          <w:rFonts w:ascii="Times New Roman" w:hAnsi="Times New Roman" w:cs="Times New Roman"/>
        </w:rPr>
        <w:t xml:space="preserve">, pabrėžia šalies potencialą plėtoti šią veiklą nepaisant struktūrinių kliūčių, tokių kaip infrastruktūra, darbo jėgos kvalifikacija ir visuomenės saugumas. </w:t>
      </w:r>
    </w:p>
    <w:p w14:paraId="77E4DA77" w14:textId="77777777" w:rsidR="00380404" w:rsidRPr="001B7B64" w:rsidRDefault="00380404" w:rsidP="004132B9">
      <w:pPr>
        <w:rPr>
          <w:rFonts w:ascii="Times New Roman" w:hAnsi="Times New Roman" w:cs="Times New Roman"/>
        </w:rPr>
      </w:pPr>
    </w:p>
    <w:p w14:paraId="609A09F4" w14:textId="77777777" w:rsidR="00792D36" w:rsidRPr="001B7B64" w:rsidRDefault="00792D36" w:rsidP="004132B9">
      <w:pPr>
        <w:rPr>
          <w:rFonts w:ascii="Times New Roman" w:hAnsi="Times New Roman" w:cs="Times New Roman"/>
          <w:lang w:val="pt-BR"/>
        </w:rPr>
      </w:pPr>
    </w:p>
    <w:sectPr w:rsidR="00792D36" w:rsidRPr="001B7B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521"/>
    <w:multiLevelType w:val="multilevel"/>
    <w:tmpl w:val="97A89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1FCD"/>
    <w:multiLevelType w:val="multilevel"/>
    <w:tmpl w:val="8C14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47720"/>
    <w:multiLevelType w:val="multilevel"/>
    <w:tmpl w:val="B8D0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F6839"/>
    <w:multiLevelType w:val="multilevel"/>
    <w:tmpl w:val="3CB6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84115"/>
    <w:multiLevelType w:val="multilevel"/>
    <w:tmpl w:val="F7D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E645F"/>
    <w:multiLevelType w:val="multilevel"/>
    <w:tmpl w:val="C7BC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C26D1"/>
    <w:multiLevelType w:val="multilevel"/>
    <w:tmpl w:val="9980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B4DBD"/>
    <w:multiLevelType w:val="multilevel"/>
    <w:tmpl w:val="285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01812"/>
    <w:multiLevelType w:val="multilevel"/>
    <w:tmpl w:val="4E40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82985"/>
    <w:multiLevelType w:val="multilevel"/>
    <w:tmpl w:val="1C9E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C3204"/>
    <w:multiLevelType w:val="multilevel"/>
    <w:tmpl w:val="F57C3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61CB0"/>
    <w:multiLevelType w:val="multilevel"/>
    <w:tmpl w:val="9420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F5EAC"/>
    <w:multiLevelType w:val="multilevel"/>
    <w:tmpl w:val="61E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D03B9"/>
    <w:multiLevelType w:val="multilevel"/>
    <w:tmpl w:val="F9B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63797"/>
    <w:multiLevelType w:val="multilevel"/>
    <w:tmpl w:val="AE4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471BDE"/>
    <w:multiLevelType w:val="multilevel"/>
    <w:tmpl w:val="7002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9438A"/>
    <w:multiLevelType w:val="multilevel"/>
    <w:tmpl w:val="82C4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E74B7D"/>
    <w:multiLevelType w:val="multilevel"/>
    <w:tmpl w:val="5F3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075C35"/>
    <w:multiLevelType w:val="multilevel"/>
    <w:tmpl w:val="2EC6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0924B4"/>
    <w:multiLevelType w:val="multilevel"/>
    <w:tmpl w:val="69B4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1C39ED"/>
    <w:multiLevelType w:val="multilevel"/>
    <w:tmpl w:val="089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1A3EA2"/>
    <w:multiLevelType w:val="multilevel"/>
    <w:tmpl w:val="31A8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B42215"/>
    <w:multiLevelType w:val="multilevel"/>
    <w:tmpl w:val="58041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572085"/>
    <w:multiLevelType w:val="multilevel"/>
    <w:tmpl w:val="7A0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EB2B52"/>
    <w:multiLevelType w:val="multilevel"/>
    <w:tmpl w:val="6890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0D6455"/>
    <w:multiLevelType w:val="multilevel"/>
    <w:tmpl w:val="C2F2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64862"/>
    <w:multiLevelType w:val="multilevel"/>
    <w:tmpl w:val="225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BD03A2"/>
    <w:multiLevelType w:val="multilevel"/>
    <w:tmpl w:val="2DC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5006C4"/>
    <w:multiLevelType w:val="multilevel"/>
    <w:tmpl w:val="6C74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121B32"/>
    <w:multiLevelType w:val="multilevel"/>
    <w:tmpl w:val="226C1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3A17D3"/>
    <w:multiLevelType w:val="multilevel"/>
    <w:tmpl w:val="829E5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F22E45"/>
    <w:multiLevelType w:val="multilevel"/>
    <w:tmpl w:val="9658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CE1E56"/>
    <w:multiLevelType w:val="multilevel"/>
    <w:tmpl w:val="0DAC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D78FC"/>
    <w:multiLevelType w:val="multilevel"/>
    <w:tmpl w:val="452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395F78"/>
    <w:multiLevelType w:val="multilevel"/>
    <w:tmpl w:val="A0D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B32DD8"/>
    <w:multiLevelType w:val="multilevel"/>
    <w:tmpl w:val="E9EE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E44FA4"/>
    <w:multiLevelType w:val="multilevel"/>
    <w:tmpl w:val="2B1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20DF3"/>
    <w:multiLevelType w:val="multilevel"/>
    <w:tmpl w:val="A78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611072"/>
    <w:multiLevelType w:val="multilevel"/>
    <w:tmpl w:val="35C2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3B392E"/>
    <w:multiLevelType w:val="multilevel"/>
    <w:tmpl w:val="C094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5D436D"/>
    <w:multiLevelType w:val="multilevel"/>
    <w:tmpl w:val="DD68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4B07D6"/>
    <w:multiLevelType w:val="multilevel"/>
    <w:tmpl w:val="86E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EB6E4D"/>
    <w:multiLevelType w:val="multilevel"/>
    <w:tmpl w:val="C46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E96E20"/>
    <w:multiLevelType w:val="multilevel"/>
    <w:tmpl w:val="356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56227B"/>
    <w:multiLevelType w:val="multilevel"/>
    <w:tmpl w:val="EB1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674756"/>
    <w:multiLevelType w:val="multilevel"/>
    <w:tmpl w:val="D52A4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0C05D8"/>
    <w:multiLevelType w:val="multilevel"/>
    <w:tmpl w:val="A364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223F0A"/>
    <w:multiLevelType w:val="multilevel"/>
    <w:tmpl w:val="5FF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F25E7A"/>
    <w:multiLevelType w:val="multilevel"/>
    <w:tmpl w:val="5858A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B3688A"/>
    <w:multiLevelType w:val="multilevel"/>
    <w:tmpl w:val="7A58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D906B5"/>
    <w:multiLevelType w:val="multilevel"/>
    <w:tmpl w:val="14BA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793285"/>
    <w:multiLevelType w:val="multilevel"/>
    <w:tmpl w:val="C63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893A57"/>
    <w:multiLevelType w:val="multilevel"/>
    <w:tmpl w:val="9A1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595D26"/>
    <w:multiLevelType w:val="multilevel"/>
    <w:tmpl w:val="954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6D6580"/>
    <w:multiLevelType w:val="multilevel"/>
    <w:tmpl w:val="6800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EF5AF5"/>
    <w:multiLevelType w:val="multilevel"/>
    <w:tmpl w:val="8A5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A9569C"/>
    <w:multiLevelType w:val="multilevel"/>
    <w:tmpl w:val="B2D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197701"/>
    <w:multiLevelType w:val="multilevel"/>
    <w:tmpl w:val="5B8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4221D4"/>
    <w:multiLevelType w:val="multilevel"/>
    <w:tmpl w:val="112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432D79"/>
    <w:multiLevelType w:val="multilevel"/>
    <w:tmpl w:val="7EB6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B12BD3"/>
    <w:multiLevelType w:val="multilevel"/>
    <w:tmpl w:val="F3E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F312DF"/>
    <w:multiLevelType w:val="multilevel"/>
    <w:tmpl w:val="3A90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D7D23E5"/>
    <w:multiLevelType w:val="multilevel"/>
    <w:tmpl w:val="974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D84DD8"/>
    <w:multiLevelType w:val="multilevel"/>
    <w:tmpl w:val="3C9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AB698A"/>
    <w:multiLevelType w:val="multilevel"/>
    <w:tmpl w:val="2F60C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C00775"/>
    <w:multiLevelType w:val="multilevel"/>
    <w:tmpl w:val="A464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4746A6A"/>
    <w:multiLevelType w:val="multilevel"/>
    <w:tmpl w:val="8AAA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2429E0"/>
    <w:multiLevelType w:val="multilevel"/>
    <w:tmpl w:val="70A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5D2F0F"/>
    <w:multiLevelType w:val="multilevel"/>
    <w:tmpl w:val="27F0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F33F8D"/>
    <w:multiLevelType w:val="multilevel"/>
    <w:tmpl w:val="7C00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DB6E0F"/>
    <w:multiLevelType w:val="multilevel"/>
    <w:tmpl w:val="0C80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C91289"/>
    <w:multiLevelType w:val="multilevel"/>
    <w:tmpl w:val="6E900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4A647C"/>
    <w:multiLevelType w:val="multilevel"/>
    <w:tmpl w:val="544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A25F3C"/>
    <w:multiLevelType w:val="multilevel"/>
    <w:tmpl w:val="B6BE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201535"/>
    <w:multiLevelType w:val="multilevel"/>
    <w:tmpl w:val="7E5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BC5F2E"/>
    <w:multiLevelType w:val="multilevel"/>
    <w:tmpl w:val="7896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2854CF"/>
    <w:multiLevelType w:val="multilevel"/>
    <w:tmpl w:val="B700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0A1F2E"/>
    <w:multiLevelType w:val="multilevel"/>
    <w:tmpl w:val="D46A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B24B06"/>
    <w:multiLevelType w:val="multilevel"/>
    <w:tmpl w:val="D5F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E86A63"/>
    <w:multiLevelType w:val="multilevel"/>
    <w:tmpl w:val="728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72538B"/>
    <w:multiLevelType w:val="multilevel"/>
    <w:tmpl w:val="7F2A0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A57722"/>
    <w:multiLevelType w:val="multilevel"/>
    <w:tmpl w:val="615E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145D63"/>
    <w:multiLevelType w:val="multilevel"/>
    <w:tmpl w:val="D5C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4365DA"/>
    <w:multiLevelType w:val="multilevel"/>
    <w:tmpl w:val="41F0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DD162C8"/>
    <w:multiLevelType w:val="multilevel"/>
    <w:tmpl w:val="AC5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484101"/>
    <w:multiLevelType w:val="multilevel"/>
    <w:tmpl w:val="024C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756748"/>
    <w:multiLevelType w:val="multilevel"/>
    <w:tmpl w:val="1CD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84231C"/>
    <w:multiLevelType w:val="multilevel"/>
    <w:tmpl w:val="25DE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7D23BD"/>
    <w:multiLevelType w:val="multilevel"/>
    <w:tmpl w:val="822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47A5CA6"/>
    <w:multiLevelType w:val="multilevel"/>
    <w:tmpl w:val="499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5946CE"/>
    <w:multiLevelType w:val="multilevel"/>
    <w:tmpl w:val="38E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D2F95"/>
    <w:multiLevelType w:val="multilevel"/>
    <w:tmpl w:val="386E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C65E9E"/>
    <w:multiLevelType w:val="multilevel"/>
    <w:tmpl w:val="3368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2B4808"/>
    <w:multiLevelType w:val="multilevel"/>
    <w:tmpl w:val="428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D791081"/>
    <w:multiLevelType w:val="multilevel"/>
    <w:tmpl w:val="D0B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656B3C"/>
    <w:multiLevelType w:val="multilevel"/>
    <w:tmpl w:val="33B6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871D06"/>
    <w:multiLevelType w:val="multilevel"/>
    <w:tmpl w:val="589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1A0EE2"/>
    <w:multiLevelType w:val="multilevel"/>
    <w:tmpl w:val="27A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EF002A"/>
    <w:multiLevelType w:val="multilevel"/>
    <w:tmpl w:val="0CE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1E6A53"/>
    <w:multiLevelType w:val="multilevel"/>
    <w:tmpl w:val="6FBE6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8313DDB"/>
    <w:multiLevelType w:val="multilevel"/>
    <w:tmpl w:val="88F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8470170"/>
    <w:multiLevelType w:val="multilevel"/>
    <w:tmpl w:val="AFE0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8F18C2"/>
    <w:multiLevelType w:val="multilevel"/>
    <w:tmpl w:val="1996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B050A3"/>
    <w:multiLevelType w:val="multilevel"/>
    <w:tmpl w:val="AC0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0D1D14"/>
    <w:multiLevelType w:val="multilevel"/>
    <w:tmpl w:val="9A22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295C91"/>
    <w:multiLevelType w:val="multilevel"/>
    <w:tmpl w:val="C664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F6157A"/>
    <w:multiLevelType w:val="multilevel"/>
    <w:tmpl w:val="25E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695331"/>
    <w:multiLevelType w:val="multilevel"/>
    <w:tmpl w:val="95AE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1E025F"/>
    <w:multiLevelType w:val="multilevel"/>
    <w:tmpl w:val="6DA2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C15CC8"/>
    <w:multiLevelType w:val="multilevel"/>
    <w:tmpl w:val="80C4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402674">
    <w:abstractNumId w:val="55"/>
  </w:num>
  <w:num w:numId="2" w16cid:durableId="489251063">
    <w:abstractNumId w:val="42"/>
  </w:num>
  <w:num w:numId="3" w16cid:durableId="1039548769">
    <w:abstractNumId w:val="95"/>
  </w:num>
  <w:num w:numId="4" w16cid:durableId="809445121">
    <w:abstractNumId w:val="31"/>
  </w:num>
  <w:num w:numId="5" w16cid:durableId="473520771">
    <w:abstractNumId w:val="13"/>
  </w:num>
  <w:num w:numId="6" w16cid:durableId="1375235420">
    <w:abstractNumId w:val="20"/>
  </w:num>
  <w:num w:numId="7" w16cid:durableId="908734054">
    <w:abstractNumId w:val="47"/>
  </w:num>
  <w:num w:numId="8" w16cid:durableId="1155295701">
    <w:abstractNumId w:val="70"/>
  </w:num>
  <w:num w:numId="9" w16cid:durableId="887647368">
    <w:abstractNumId w:val="23"/>
  </w:num>
  <w:num w:numId="10" w16cid:durableId="907348703">
    <w:abstractNumId w:val="82"/>
  </w:num>
  <w:num w:numId="11" w16cid:durableId="608657434">
    <w:abstractNumId w:val="105"/>
  </w:num>
  <w:num w:numId="12" w16cid:durableId="293677101">
    <w:abstractNumId w:val="6"/>
  </w:num>
  <w:num w:numId="13" w16cid:durableId="759982283">
    <w:abstractNumId w:val="94"/>
  </w:num>
  <w:num w:numId="14" w16cid:durableId="753745280">
    <w:abstractNumId w:val="109"/>
  </w:num>
  <w:num w:numId="15" w16cid:durableId="797723617">
    <w:abstractNumId w:val="39"/>
  </w:num>
  <w:num w:numId="16" w16cid:durableId="1340889353">
    <w:abstractNumId w:val="56"/>
  </w:num>
  <w:num w:numId="17" w16cid:durableId="1817918396">
    <w:abstractNumId w:val="77"/>
  </w:num>
  <w:num w:numId="18" w16cid:durableId="2120097752">
    <w:abstractNumId w:val="81"/>
  </w:num>
  <w:num w:numId="19" w16cid:durableId="180822099">
    <w:abstractNumId w:val="35"/>
  </w:num>
  <w:num w:numId="20" w16cid:durableId="666829765">
    <w:abstractNumId w:val="22"/>
  </w:num>
  <w:num w:numId="21" w16cid:durableId="1854758029">
    <w:abstractNumId w:val="51"/>
  </w:num>
  <w:num w:numId="22" w16cid:durableId="1102335939">
    <w:abstractNumId w:val="72"/>
  </w:num>
  <w:num w:numId="23" w16cid:durableId="1606183310">
    <w:abstractNumId w:val="46"/>
  </w:num>
  <w:num w:numId="24" w16cid:durableId="476341285">
    <w:abstractNumId w:val="57"/>
  </w:num>
  <w:num w:numId="25" w16cid:durableId="277372842">
    <w:abstractNumId w:val="62"/>
  </w:num>
  <w:num w:numId="26" w16cid:durableId="1028141239">
    <w:abstractNumId w:val="100"/>
  </w:num>
  <w:num w:numId="27" w16cid:durableId="1970352392">
    <w:abstractNumId w:val="58"/>
  </w:num>
  <w:num w:numId="28" w16cid:durableId="1785880837">
    <w:abstractNumId w:val="73"/>
  </w:num>
  <w:num w:numId="29" w16cid:durableId="913735469">
    <w:abstractNumId w:val="8"/>
  </w:num>
  <w:num w:numId="30" w16cid:durableId="401025276">
    <w:abstractNumId w:val="30"/>
  </w:num>
  <w:num w:numId="31" w16cid:durableId="922179191">
    <w:abstractNumId w:val="99"/>
  </w:num>
  <w:num w:numId="32" w16cid:durableId="967128329">
    <w:abstractNumId w:val="74"/>
  </w:num>
  <w:num w:numId="33" w16cid:durableId="1871524853">
    <w:abstractNumId w:val="85"/>
  </w:num>
  <w:num w:numId="34" w16cid:durableId="1936984005">
    <w:abstractNumId w:val="89"/>
  </w:num>
  <w:num w:numId="35" w16cid:durableId="1409301054">
    <w:abstractNumId w:val="48"/>
  </w:num>
  <w:num w:numId="36" w16cid:durableId="1695887068">
    <w:abstractNumId w:val="10"/>
  </w:num>
  <w:num w:numId="37" w16cid:durableId="1526865662">
    <w:abstractNumId w:val="86"/>
  </w:num>
  <w:num w:numId="38" w16cid:durableId="1107851512">
    <w:abstractNumId w:val="78"/>
  </w:num>
  <w:num w:numId="39" w16cid:durableId="1577133875">
    <w:abstractNumId w:val="61"/>
  </w:num>
  <w:num w:numId="40" w16cid:durableId="858549075">
    <w:abstractNumId w:val="14"/>
  </w:num>
  <w:num w:numId="41" w16cid:durableId="1967738043">
    <w:abstractNumId w:val="34"/>
  </w:num>
  <w:num w:numId="42" w16cid:durableId="2040011198">
    <w:abstractNumId w:val="21"/>
  </w:num>
  <w:num w:numId="43" w16cid:durableId="2025478663">
    <w:abstractNumId w:val="71"/>
  </w:num>
  <w:num w:numId="44" w16cid:durableId="297152786">
    <w:abstractNumId w:val="97"/>
  </w:num>
  <w:num w:numId="45" w16cid:durableId="1165709968">
    <w:abstractNumId w:val="50"/>
  </w:num>
  <w:num w:numId="46" w16cid:durableId="1882787149">
    <w:abstractNumId w:val="24"/>
  </w:num>
  <w:num w:numId="47" w16cid:durableId="509099904">
    <w:abstractNumId w:val="1"/>
  </w:num>
  <w:num w:numId="48" w16cid:durableId="1902326019">
    <w:abstractNumId w:val="101"/>
  </w:num>
  <w:num w:numId="49" w16cid:durableId="964964488">
    <w:abstractNumId w:val="84"/>
  </w:num>
  <w:num w:numId="50" w16cid:durableId="1174876550">
    <w:abstractNumId w:val="75"/>
  </w:num>
  <w:num w:numId="51" w16cid:durableId="1527060241">
    <w:abstractNumId w:val="45"/>
  </w:num>
  <w:num w:numId="52" w16cid:durableId="771321938">
    <w:abstractNumId w:val="11"/>
  </w:num>
  <w:num w:numId="53" w16cid:durableId="1612666077">
    <w:abstractNumId w:val="63"/>
  </w:num>
  <w:num w:numId="54" w16cid:durableId="1717199015">
    <w:abstractNumId w:val="93"/>
  </w:num>
  <w:num w:numId="55" w16cid:durableId="780344048">
    <w:abstractNumId w:val="9"/>
  </w:num>
  <w:num w:numId="56" w16cid:durableId="1850217120">
    <w:abstractNumId w:val="44"/>
  </w:num>
  <w:num w:numId="57" w16cid:durableId="1574969134">
    <w:abstractNumId w:val="59"/>
  </w:num>
  <w:num w:numId="58" w16cid:durableId="452335645">
    <w:abstractNumId w:val="103"/>
  </w:num>
  <w:num w:numId="59" w16cid:durableId="831290336">
    <w:abstractNumId w:val="54"/>
  </w:num>
  <w:num w:numId="60" w16cid:durableId="353926990">
    <w:abstractNumId w:val="88"/>
  </w:num>
  <w:num w:numId="61" w16cid:durableId="1258949820">
    <w:abstractNumId w:val="18"/>
  </w:num>
  <w:num w:numId="62" w16cid:durableId="469595800">
    <w:abstractNumId w:val="65"/>
  </w:num>
  <w:num w:numId="63" w16cid:durableId="692463858">
    <w:abstractNumId w:val="12"/>
  </w:num>
  <w:num w:numId="64" w16cid:durableId="223570101">
    <w:abstractNumId w:val="19"/>
  </w:num>
  <w:num w:numId="65" w16cid:durableId="1871599658">
    <w:abstractNumId w:val="66"/>
  </w:num>
  <w:num w:numId="66" w16cid:durableId="1472476786">
    <w:abstractNumId w:val="2"/>
  </w:num>
  <w:num w:numId="67" w16cid:durableId="329480350">
    <w:abstractNumId w:val="96"/>
  </w:num>
  <w:num w:numId="68" w16cid:durableId="2031836982">
    <w:abstractNumId w:val="37"/>
  </w:num>
  <w:num w:numId="69" w16cid:durableId="1706055998">
    <w:abstractNumId w:val="79"/>
  </w:num>
  <w:num w:numId="70" w16cid:durableId="37752456">
    <w:abstractNumId w:val="5"/>
  </w:num>
  <w:num w:numId="71" w16cid:durableId="2076278482">
    <w:abstractNumId w:val="49"/>
  </w:num>
  <w:num w:numId="72" w16cid:durableId="1420911243">
    <w:abstractNumId w:val="16"/>
  </w:num>
  <w:num w:numId="73" w16cid:durableId="1432551831">
    <w:abstractNumId w:val="102"/>
  </w:num>
  <w:num w:numId="74" w16cid:durableId="1357466090">
    <w:abstractNumId w:val="41"/>
  </w:num>
  <w:num w:numId="75" w16cid:durableId="345593976">
    <w:abstractNumId w:val="69"/>
  </w:num>
  <w:num w:numId="76" w16cid:durableId="830676170">
    <w:abstractNumId w:val="67"/>
  </w:num>
  <w:num w:numId="77" w16cid:durableId="537474568">
    <w:abstractNumId w:val="36"/>
  </w:num>
  <w:num w:numId="78" w16cid:durableId="1851598462">
    <w:abstractNumId w:val="87"/>
  </w:num>
  <w:num w:numId="79" w16cid:durableId="1433088961">
    <w:abstractNumId w:val="91"/>
  </w:num>
  <w:num w:numId="80" w16cid:durableId="1650405310">
    <w:abstractNumId w:val="29"/>
  </w:num>
  <w:num w:numId="81" w16cid:durableId="1574316712">
    <w:abstractNumId w:val="80"/>
  </w:num>
  <w:num w:numId="82" w16cid:durableId="1942832769">
    <w:abstractNumId w:val="28"/>
  </w:num>
  <w:num w:numId="83" w16cid:durableId="1250772923">
    <w:abstractNumId w:val="7"/>
  </w:num>
  <w:num w:numId="84" w16cid:durableId="1218936233">
    <w:abstractNumId w:val="3"/>
  </w:num>
  <w:num w:numId="85" w16cid:durableId="1256094493">
    <w:abstractNumId w:val="17"/>
  </w:num>
  <w:num w:numId="86" w16cid:durableId="1495300606">
    <w:abstractNumId w:val="68"/>
  </w:num>
  <w:num w:numId="87" w16cid:durableId="537745429">
    <w:abstractNumId w:val="4"/>
  </w:num>
  <w:num w:numId="88" w16cid:durableId="812210268">
    <w:abstractNumId w:val="38"/>
  </w:num>
  <w:num w:numId="89" w16cid:durableId="1457868735">
    <w:abstractNumId w:val="104"/>
  </w:num>
  <w:num w:numId="90" w16cid:durableId="201065154">
    <w:abstractNumId w:val="25"/>
  </w:num>
  <w:num w:numId="91" w16cid:durableId="2057971489">
    <w:abstractNumId w:val="90"/>
  </w:num>
  <w:num w:numId="92" w16cid:durableId="1698845167">
    <w:abstractNumId w:val="83"/>
  </w:num>
  <w:num w:numId="93" w16cid:durableId="856230655">
    <w:abstractNumId w:val="108"/>
  </w:num>
  <w:num w:numId="94" w16cid:durableId="1239825826">
    <w:abstractNumId w:val="98"/>
  </w:num>
  <w:num w:numId="95" w16cid:durableId="1987126045">
    <w:abstractNumId w:val="76"/>
  </w:num>
  <w:num w:numId="96" w16cid:durableId="1810979518">
    <w:abstractNumId w:val="43"/>
  </w:num>
  <w:num w:numId="97" w16cid:durableId="654263591">
    <w:abstractNumId w:val="32"/>
  </w:num>
  <w:num w:numId="98" w16cid:durableId="52895590">
    <w:abstractNumId w:val="107"/>
  </w:num>
  <w:num w:numId="99" w16cid:durableId="1249801591">
    <w:abstractNumId w:val="53"/>
  </w:num>
  <w:num w:numId="100" w16cid:durableId="378676236">
    <w:abstractNumId w:val="52"/>
  </w:num>
  <w:num w:numId="101" w16cid:durableId="1601600180">
    <w:abstractNumId w:val="26"/>
  </w:num>
  <w:num w:numId="102" w16cid:durableId="1894808880">
    <w:abstractNumId w:val="15"/>
  </w:num>
  <w:num w:numId="103" w16cid:durableId="653679273">
    <w:abstractNumId w:val="106"/>
  </w:num>
  <w:num w:numId="104" w16cid:durableId="84152303">
    <w:abstractNumId w:val="92"/>
  </w:num>
  <w:num w:numId="105" w16cid:durableId="959990229">
    <w:abstractNumId w:val="0"/>
  </w:num>
  <w:num w:numId="106" w16cid:durableId="1555854224">
    <w:abstractNumId w:val="64"/>
  </w:num>
  <w:num w:numId="107" w16cid:durableId="1983070629">
    <w:abstractNumId w:val="33"/>
  </w:num>
  <w:num w:numId="108" w16cid:durableId="1698774394">
    <w:abstractNumId w:val="40"/>
  </w:num>
  <w:num w:numId="109" w16cid:durableId="905334640">
    <w:abstractNumId w:val="27"/>
  </w:num>
  <w:num w:numId="110" w16cid:durableId="1775251004">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FE"/>
    <w:rsid w:val="0000165A"/>
    <w:rsid w:val="00046BF8"/>
    <w:rsid w:val="00083504"/>
    <w:rsid w:val="000B4EFB"/>
    <w:rsid w:val="000B68AF"/>
    <w:rsid w:val="000D40FE"/>
    <w:rsid w:val="000D69E6"/>
    <w:rsid w:val="000E7077"/>
    <w:rsid w:val="001147B0"/>
    <w:rsid w:val="0012488E"/>
    <w:rsid w:val="0015665D"/>
    <w:rsid w:val="001733D4"/>
    <w:rsid w:val="001B6062"/>
    <w:rsid w:val="001B7B64"/>
    <w:rsid w:val="001E2E31"/>
    <w:rsid w:val="001F558F"/>
    <w:rsid w:val="001F700E"/>
    <w:rsid w:val="00212193"/>
    <w:rsid w:val="00255C36"/>
    <w:rsid w:val="00271544"/>
    <w:rsid w:val="002732B9"/>
    <w:rsid w:val="002921B4"/>
    <w:rsid w:val="002A3B7E"/>
    <w:rsid w:val="002C4ED9"/>
    <w:rsid w:val="00305D60"/>
    <w:rsid w:val="0031095F"/>
    <w:rsid w:val="00322BD3"/>
    <w:rsid w:val="00366767"/>
    <w:rsid w:val="00380404"/>
    <w:rsid w:val="003B0A7F"/>
    <w:rsid w:val="004028BB"/>
    <w:rsid w:val="00412723"/>
    <w:rsid w:val="004132B9"/>
    <w:rsid w:val="00430037"/>
    <w:rsid w:val="004430F4"/>
    <w:rsid w:val="00473C64"/>
    <w:rsid w:val="004A3875"/>
    <w:rsid w:val="004A5CDF"/>
    <w:rsid w:val="004B240C"/>
    <w:rsid w:val="004D576C"/>
    <w:rsid w:val="00572263"/>
    <w:rsid w:val="0058519F"/>
    <w:rsid w:val="00597529"/>
    <w:rsid w:val="005D1805"/>
    <w:rsid w:val="005F22F5"/>
    <w:rsid w:val="00620ABB"/>
    <w:rsid w:val="006379C4"/>
    <w:rsid w:val="006444D4"/>
    <w:rsid w:val="00652A74"/>
    <w:rsid w:val="006A5966"/>
    <w:rsid w:val="007065CE"/>
    <w:rsid w:val="00731FE9"/>
    <w:rsid w:val="00732700"/>
    <w:rsid w:val="00733885"/>
    <w:rsid w:val="00735A34"/>
    <w:rsid w:val="00771A1E"/>
    <w:rsid w:val="007808BB"/>
    <w:rsid w:val="00792D36"/>
    <w:rsid w:val="007C026B"/>
    <w:rsid w:val="007D2EE0"/>
    <w:rsid w:val="007F207A"/>
    <w:rsid w:val="0080264E"/>
    <w:rsid w:val="00811BC6"/>
    <w:rsid w:val="00833A9F"/>
    <w:rsid w:val="00864D10"/>
    <w:rsid w:val="008833C3"/>
    <w:rsid w:val="008856F1"/>
    <w:rsid w:val="008B5381"/>
    <w:rsid w:val="008D2C60"/>
    <w:rsid w:val="00902478"/>
    <w:rsid w:val="009227A0"/>
    <w:rsid w:val="00934EBB"/>
    <w:rsid w:val="0094644A"/>
    <w:rsid w:val="00975080"/>
    <w:rsid w:val="009A7B5F"/>
    <w:rsid w:val="009C1CBF"/>
    <w:rsid w:val="009F16C9"/>
    <w:rsid w:val="00A11AEE"/>
    <w:rsid w:val="00A2573E"/>
    <w:rsid w:val="00A37831"/>
    <w:rsid w:val="00A62101"/>
    <w:rsid w:val="00A914D5"/>
    <w:rsid w:val="00AC236A"/>
    <w:rsid w:val="00AD4F92"/>
    <w:rsid w:val="00AD54B0"/>
    <w:rsid w:val="00B32445"/>
    <w:rsid w:val="00B35049"/>
    <w:rsid w:val="00B446C2"/>
    <w:rsid w:val="00B55C02"/>
    <w:rsid w:val="00B81FFD"/>
    <w:rsid w:val="00BB7D12"/>
    <w:rsid w:val="00BD2919"/>
    <w:rsid w:val="00BD5A69"/>
    <w:rsid w:val="00C12D88"/>
    <w:rsid w:val="00C24D94"/>
    <w:rsid w:val="00C54ECD"/>
    <w:rsid w:val="00D72AF1"/>
    <w:rsid w:val="00DB0618"/>
    <w:rsid w:val="00DB26CB"/>
    <w:rsid w:val="00DD11C3"/>
    <w:rsid w:val="00DD479A"/>
    <w:rsid w:val="00DE4C71"/>
    <w:rsid w:val="00DF1D2D"/>
    <w:rsid w:val="00E26F56"/>
    <w:rsid w:val="00E43107"/>
    <w:rsid w:val="00E77502"/>
    <w:rsid w:val="00F53F34"/>
    <w:rsid w:val="00F717E4"/>
    <w:rsid w:val="00FA5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B68D"/>
  <w15:chartTrackingRefBased/>
  <w15:docId w15:val="{B44FA880-B7ED-47A3-BE4D-37EFE46E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FE"/>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0D4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0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0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0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0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0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0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0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0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0FE"/>
    <w:rPr>
      <w:rFonts w:eastAsiaTheme="majorEastAsia" w:cstheme="majorBidi"/>
      <w:color w:val="272727" w:themeColor="text1" w:themeTint="D8"/>
    </w:rPr>
  </w:style>
  <w:style w:type="paragraph" w:styleId="Title">
    <w:name w:val="Title"/>
    <w:basedOn w:val="Normal"/>
    <w:next w:val="Normal"/>
    <w:link w:val="TitleChar"/>
    <w:uiPriority w:val="10"/>
    <w:qFormat/>
    <w:rsid w:val="000D4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0FE"/>
    <w:pPr>
      <w:spacing w:before="160"/>
      <w:jc w:val="center"/>
    </w:pPr>
    <w:rPr>
      <w:i/>
      <w:iCs/>
      <w:color w:val="404040" w:themeColor="text1" w:themeTint="BF"/>
    </w:rPr>
  </w:style>
  <w:style w:type="character" w:customStyle="1" w:styleId="QuoteChar">
    <w:name w:val="Quote Char"/>
    <w:basedOn w:val="DefaultParagraphFont"/>
    <w:link w:val="Quote"/>
    <w:uiPriority w:val="29"/>
    <w:rsid w:val="000D40FE"/>
    <w:rPr>
      <w:i/>
      <w:iCs/>
      <w:color w:val="404040" w:themeColor="text1" w:themeTint="BF"/>
    </w:rPr>
  </w:style>
  <w:style w:type="paragraph" w:styleId="ListParagraph">
    <w:name w:val="List Paragraph"/>
    <w:basedOn w:val="Normal"/>
    <w:uiPriority w:val="34"/>
    <w:qFormat/>
    <w:rsid w:val="000D40FE"/>
    <w:pPr>
      <w:ind w:left="720"/>
      <w:contextualSpacing/>
    </w:pPr>
  </w:style>
  <w:style w:type="character" w:styleId="IntenseEmphasis">
    <w:name w:val="Intense Emphasis"/>
    <w:basedOn w:val="DefaultParagraphFont"/>
    <w:uiPriority w:val="21"/>
    <w:qFormat/>
    <w:rsid w:val="000D40FE"/>
    <w:rPr>
      <w:i/>
      <w:iCs/>
      <w:color w:val="2F5496" w:themeColor="accent1" w:themeShade="BF"/>
    </w:rPr>
  </w:style>
  <w:style w:type="paragraph" w:styleId="IntenseQuote">
    <w:name w:val="Intense Quote"/>
    <w:basedOn w:val="Normal"/>
    <w:next w:val="Normal"/>
    <w:link w:val="IntenseQuoteChar"/>
    <w:uiPriority w:val="30"/>
    <w:qFormat/>
    <w:rsid w:val="000D4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0FE"/>
    <w:rPr>
      <w:i/>
      <w:iCs/>
      <w:color w:val="2F5496" w:themeColor="accent1" w:themeShade="BF"/>
    </w:rPr>
  </w:style>
  <w:style w:type="character" w:styleId="IntenseReference">
    <w:name w:val="Intense Reference"/>
    <w:basedOn w:val="DefaultParagraphFont"/>
    <w:uiPriority w:val="32"/>
    <w:qFormat/>
    <w:rsid w:val="000D40FE"/>
    <w:rPr>
      <w:b/>
      <w:bCs/>
      <w:smallCaps/>
      <w:color w:val="2F5496" w:themeColor="accent1" w:themeShade="BF"/>
      <w:spacing w:val="5"/>
    </w:rPr>
  </w:style>
  <w:style w:type="character" w:styleId="Hyperlink">
    <w:name w:val="Hyperlink"/>
    <w:basedOn w:val="DefaultParagraphFont"/>
    <w:uiPriority w:val="99"/>
    <w:unhideWhenUsed/>
    <w:rsid w:val="000D40FE"/>
    <w:rPr>
      <w:color w:val="0563C1"/>
      <w:u w:val="single"/>
    </w:rPr>
  </w:style>
  <w:style w:type="paragraph" w:customStyle="1" w:styleId="null">
    <w:name w:val="null"/>
    <w:basedOn w:val="Normal"/>
    <w:rsid w:val="00A37831"/>
    <w:pPr>
      <w:spacing w:before="100" w:beforeAutospacing="1" w:after="100" w:afterAutospacing="1"/>
    </w:pPr>
    <w:rPr>
      <w:rFonts w:ascii="Times New Roman" w:hAnsi="Times New Roman" w:cs="Times New Roman"/>
      <w:sz w:val="24"/>
      <w:szCs w:val="24"/>
      <w:lang w:eastAsia="lt-LT"/>
    </w:rPr>
  </w:style>
  <w:style w:type="character" w:customStyle="1" w:styleId="null1">
    <w:name w:val="null1"/>
    <w:basedOn w:val="DefaultParagraphFont"/>
    <w:rsid w:val="00A37831"/>
  </w:style>
  <w:style w:type="character" w:styleId="FollowedHyperlink">
    <w:name w:val="FollowedHyperlink"/>
    <w:basedOn w:val="DefaultParagraphFont"/>
    <w:uiPriority w:val="99"/>
    <w:semiHidden/>
    <w:unhideWhenUsed/>
    <w:rsid w:val="00771A1E"/>
    <w:rPr>
      <w:color w:val="954F72" w:themeColor="followedHyperlink"/>
      <w:u w:val="single"/>
    </w:rPr>
  </w:style>
  <w:style w:type="character" w:styleId="UnresolvedMention">
    <w:name w:val="Unresolved Mention"/>
    <w:basedOn w:val="DefaultParagraphFont"/>
    <w:uiPriority w:val="99"/>
    <w:semiHidden/>
    <w:unhideWhenUsed/>
    <w:rsid w:val="00AC236A"/>
    <w:rPr>
      <w:color w:val="605E5C"/>
      <w:shd w:val="clear" w:color="auto" w:fill="E1DFDD"/>
    </w:rPr>
  </w:style>
  <w:style w:type="paragraph" w:styleId="NormalWeb">
    <w:name w:val="Normal (Web)"/>
    <w:basedOn w:val="Normal"/>
    <w:uiPriority w:val="99"/>
    <w:unhideWhenUsed/>
    <w:rsid w:val="007F207A"/>
    <w:pPr>
      <w:spacing w:before="100" w:beforeAutospacing="1" w:after="100" w:afterAutospacing="1"/>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da.org.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9</Pages>
  <Words>23748</Words>
  <Characters>13537</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ČIAPIENĖ</dc:creator>
  <cp:keywords/>
  <dc:description/>
  <cp:lastModifiedBy>Audra ČIAPIENĖ</cp:lastModifiedBy>
  <cp:revision>67</cp:revision>
  <dcterms:created xsi:type="dcterms:W3CDTF">2025-12-28T15:27:00Z</dcterms:created>
  <dcterms:modified xsi:type="dcterms:W3CDTF">2025-12-30T19:34:00Z</dcterms:modified>
</cp:coreProperties>
</file>