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36B" w:rsidRPr="0001436B" w:rsidRDefault="0001436B" w:rsidP="000143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</w:rPr>
      </w:pPr>
      <w:proofErr w:type="spellStart"/>
      <w:r w:rsidRPr="0001436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</w:rPr>
        <w:t>Airijos</w:t>
      </w:r>
      <w:proofErr w:type="spellEnd"/>
      <w:r w:rsidRPr="0001436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</w:rPr>
        <w:t>biudžetas</w:t>
      </w:r>
      <w:proofErr w:type="spellEnd"/>
      <w:r w:rsidRPr="0001436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</w:rPr>
        <w:t xml:space="preserve"> 2026 </w:t>
      </w:r>
      <w:proofErr w:type="spellStart"/>
      <w:r w:rsidRPr="0001436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</w:rPr>
        <w:t>metams</w:t>
      </w:r>
      <w:proofErr w:type="spellEnd"/>
    </w:p>
    <w:p w:rsidR="0001436B" w:rsidRPr="0001436B" w:rsidRDefault="0001436B" w:rsidP="000143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</w:rPr>
      </w:pPr>
      <w:proofErr w:type="gram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2025 m.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spalio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7 d.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Vyriausybė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pristatė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2026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metų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biudžetą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 </w:t>
      </w:r>
      <w:hyperlink r:id="rId5" w:tgtFrame="_blank" w:history="1">
        <w:r w:rsidRPr="0001436B">
          <w:rPr>
            <w:rFonts w:ascii="Arial" w:eastAsia="Times New Roman" w:hAnsi="Arial" w:cs="Arial"/>
            <w:color w:val="1155CC"/>
            <w:kern w:val="0"/>
            <w:sz w:val="24"/>
            <w:szCs w:val="24"/>
            <w:u w:val="single"/>
          </w:rPr>
          <w:t>Budget 2026</w:t>
        </w:r>
      </w:hyperlink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.</w:t>
      </w:r>
      <w:proofErr w:type="gram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proofErr w:type="gram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Detalus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biudžeto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įstatymas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bus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pateiktas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parlamentui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š.m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.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spalio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16 d.</w:t>
      </w:r>
      <w:proofErr w:type="gramEnd"/>
    </w:p>
    <w:p w:rsidR="0001436B" w:rsidRPr="0001436B" w:rsidRDefault="0001436B" w:rsidP="000143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</w:rPr>
      </w:pPr>
      <w:r w:rsidRPr="0001436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</w:rPr>
        <w:t xml:space="preserve">2026 </w:t>
      </w:r>
      <w:proofErr w:type="spellStart"/>
      <w:r w:rsidRPr="0001436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</w:rPr>
        <w:t>metais</w:t>
      </w:r>
      <w:proofErr w:type="spellEnd"/>
      <w:r w:rsidRPr="0001436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</w:rPr>
        <w:t>Vyriausybė</w:t>
      </w:r>
      <w:proofErr w:type="spellEnd"/>
      <w:r w:rsidRPr="0001436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</w:rPr>
        <w:t>siekia</w:t>
      </w:r>
      <w:proofErr w:type="spellEnd"/>
      <w:r w:rsidRPr="0001436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</w:rPr>
        <w:t>įgyvendinti</w:t>
      </w:r>
      <w:proofErr w:type="spellEnd"/>
      <w:r w:rsidRPr="0001436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</w:rPr>
        <w:t>tris</w:t>
      </w:r>
      <w:proofErr w:type="spellEnd"/>
      <w:r w:rsidRPr="0001436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</w:rPr>
        <w:t>prioritetus</w:t>
      </w:r>
      <w:proofErr w:type="spellEnd"/>
      <w:r w:rsidRPr="0001436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</w:rPr>
        <w:t>:</w:t>
      </w:r>
    </w:p>
    <w:p w:rsidR="0001436B" w:rsidRPr="0001436B" w:rsidRDefault="0001436B" w:rsidP="0001436B">
      <w:pPr>
        <w:numPr>
          <w:ilvl w:val="0"/>
          <w:numId w:val="1"/>
        </w:numPr>
        <w:shd w:val="clear" w:color="auto" w:fill="FFFFFF"/>
        <w:spacing w:after="0" w:line="240" w:lineRule="auto"/>
        <w:ind w:left="870"/>
        <w:rPr>
          <w:rFonts w:ascii="Arial" w:eastAsia="Times New Roman" w:hAnsi="Arial" w:cs="Arial"/>
          <w:color w:val="222222"/>
          <w:kern w:val="0"/>
          <w:sz w:val="24"/>
          <w:szCs w:val="24"/>
        </w:rPr>
      </w:pP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Padidinti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investicijas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į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svarbią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infrastruktūrą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,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kuri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būtina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tolesniam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augimui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užtikrinti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(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socialinis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būstas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,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vandens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ir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kanalizacijos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projektai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,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elektros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tinklai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,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transporto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,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sveikatos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,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švietimo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sporto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,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teisingumo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sektorių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investiciniai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projektai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);</w:t>
      </w:r>
    </w:p>
    <w:p w:rsidR="0001436B" w:rsidRPr="0001436B" w:rsidRDefault="0001436B" w:rsidP="0001436B">
      <w:pPr>
        <w:numPr>
          <w:ilvl w:val="0"/>
          <w:numId w:val="1"/>
        </w:numPr>
        <w:shd w:val="clear" w:color="auto" w:fill="FFFFFF"/>
        <w:spacing w:after="0" w:line="240" w:lineRule="auto"/>
        <w:ind w:left="870"/>
        <w:rPr>
          <w:rFonts w:ascii="Arial" w:eastAsia="Times New Roman" w:hAnsi="Arial" w:cs="Arial"/>
          <w:color w:val="222222"/>
          <w:kern w:val="0"/>
          <w:sz w:val="24"/>
          <w:szCs w:val="24"/>
        </w:rPr>
      </w:pP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Pagerinti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viešąsias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paslaugas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(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planuojama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pasamdyti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12500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papildomų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darbuotojų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, tarp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jų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3370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sveikatos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apsaugos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, 2600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švietimo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, 1000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policijos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);</w:t>
      </w:r>
    </w:p>
    <w:p w:rsidR="0001436B" w:rsidRPr="0001436B" w:rsidRDefault="0001436B" w:rsidP="0001436B">
      <w:pPr>
        <w:numPr>
          <w:ilvl w:val="0"/>
          <w:numId w:val="1"/>
        </w:numPr>
        <w:shd w:val="clear" w:color="auto" w:fill="FFFFFF"/>
        <w:spacing w:after="0" w:line="240" w:lineRule="auto"/>
        <w:ind w:left="870"/>
        <w:rPr>
          <w:rFonts w:ascii="Arial" w:eastAsia="Times New Roman" w:hAnsi="Arial" w:cs="Arial"/>
          <w:color w:val="222222"/>
          <w:kern w:val="0"/>
          <w:sz w:val="24"/>
          <w:szCs w:val="24"/>
        </w:rPr>
      </w:pP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Sustiprinti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ekonomiką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,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kad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ji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būtų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atspari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ateities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šokams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.</w:t>
      </w:r>
    </w:p>
    <w:p w:rsidR="0001436B" w:rsidRPr="0001436B" w:rsidRDefault="0001436B" w:rsidP="000143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</w:rPr>
      </w:pPr>
      <w:proofErr w:type="spellStart"/>
      <w:r w:rsidRPr="0001436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</w:rPr>
        <w:t>Pagrindiniai</w:t>
      </w:r>
      <w:proofErr w:type="spellEnd"/>
      <w:r w:rsidRPr="0001436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</w:rPr>
        <w:t>makroekonominiai</w:t>
      </w:r>
      <w:proofErr w:type="spellEnd"/>
      <w:r w:rsidRPr="0001436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</w:rPr>
        <w:t>rodikliai</w:t>
      </w:r>
      <w:proofErr w:type="spellEnd"/>
      <w:r w:rsidRPr="0001436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</w:rPr>
        <w:t>:</w:t>
      </w:r>
    </w:p>
    <w:tbl>
      <w:tblPr>
        <w:tblW w:w="949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77"/>
        <w:gridCol w:w="1560"/>
        <w:gridCol w:w="1937"/>
        <w:gridCol w:w="1184"/>
        <w:gridCol w:w="1702"/>
        <w:gridCol w:w="1135"/>
      </w:tblGrid>
      <w:tr w:rsidR="0001436B" w:rsidRPr="0001436B" w:rsidTr="0001436B"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36B" w:rsidRPr="0001436B" w:rsidRDefault="0001436B" w:rsidP="00014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r w:rsidRPr="0001436B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36B" w:rsidRPr="0001436B" w:rsidRDefault="0001436B" w:rsidP="00014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r w:rsidRPr="0001436B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BVP </w:t>
            </w:r>
            <w:proofErr w:type="spellStart"/>
            <w:r w:rsidRPr="0001436B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augimas</w:t>
            </w:r>
            <w:proofErr w:type="spellEnd"/>
            <w:r w:rsidRPr="0001436B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(</w:t>
            </w:r>
            <w:proofErr w:type="spellStart"/>
            <w:r w:rsidRPr="0001436B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įtraukiant</w:t>
            </w:r>
            <w:proofErr w:type="spellEnd"/>
            <w:r w:rsidRPr="0001436B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01436B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korporacijų</w:t>
            </w:r>
            <w:proofErr w:type="spellEnd"/>
            <w:r w:rsidRPr="0001436B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01436B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įtaką</w:t>
            </w:r>
            <w:proofErr w:type="spellEnd"/>
            <w:r w:rsidRPr="0001436B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)</w:t>
            </w:r>
          </w:p>
        </w:tc>
        <w:tc>
          <w:tcPr>
            <w:tcW w:w="1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36B" w:rsidRPr="0001436B" w:rsidRDefault="0001436B" w:rsidP="00014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proofErr w:type="spellStart"/>
            <w:r w:rsidRPr="0001436B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Modifikuota</w:t>
            </w:r>
            <w:proofErr w:type="spellEnd"/>
            <w:r w:rsidRPr="0001436B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01436B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vidaus</w:t>
            </w:r>
            <w:proofErr w:type="spellEnd"/>
            <w:r w:rsidRPr="0001436B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01436B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paklausa</w:t>
            </w:r>
            <w:proofErr w:type="spellEnd"/>
            <w:r w:rsidRPr="0001436B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(MDD, </w:t>
            </w:r>
            <w:proofErr w:type="spellStart"/>
            <w:r w:rsidRPr="0001436B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eliminuojant</w:t>
            </w:r>
            <w:proofErr w:type="spellEnd"/>
            <w:r w:rsidRPr="0001436B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01436B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multinacionalinių</w:t>
            </w:r>
            <w:proofErr w:type="spellEnd"/>
            <w:r w:rsidRPr="0001436B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01436B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korporacijų</w:t>
            </w:r>
            <w:proofErr w:type="spellEnd"/>
            <w:r w:rsidRPr="0001436B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01436B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įtaką</w:t>
            </w:r>
            <w:proofErr w:type="spellEnd"/>
            <w:r w:rsidRPr="0001436B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)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36B" w:rsidRPr="0001436B" w:rsidRDefault="0001436B" w:rsidP="00014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proofErr w:type="spellStart"/>
            <w:r w:rsidRPr="0001436B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Nedarbo</w:t>
            </w:r>
            <w:proofErr w:type="spellEnd"/>
            <w:r w:rsidRPr="0001436B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01436B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lygis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36B" w:rsidRPr="0001436B" w:rsidRDefault="0001436B" w:rsidP="00014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proofErr w:type="spellStart"/>
            <w:r w:rsidRPr="0001436B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Dirbančiųjų</w:t>
            </w:r>
            <w:proofErr w:type="spellEnd"/>
            <w:r w:rsidRPr="0001436B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01436B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skaičius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36B" w:rsidRPr="0001436B" w:rsidRDefault="0001436B" w:rsidP="00014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proofErr w:type="spellStart"/>
            <w:r w:rsidRPr="0001436B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Infliacija</w:t>
            </w:r>
            <w:proofErr w:type="spellEnd"/>
          </w:p>
        </w:tc>
      </w:tr>
      <w:tr w:rsidR="0001436B" w:rsidRPr="0001436B" w:rsidTr="0001436B"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36B" w:rsidRPr="0001436B" w:rsidRDefault="0001436B" w:rsidP="00014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r w:rsidRPr="0001436B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36B" w:rsidRPr="0001436B" w:rsidRDefault="0001436B" w:rsidP="00014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r w:rsidRPr="0001436B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8,7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36B" w:rsidRPr="0001436B" w:rsidRDefault="0001436B" w:rsidP="00014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r w:rsidRPr="0001436B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9,1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36B" w:rsidRPr="0001436B" w:rsidRDefault="0001436B" w:rsidP="00014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r w:rsidRPr="0001436B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36B" w:rsidRPr="0001436B" w:rsidRDefault="0001436B" w:rsidP="00014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r w:rsidRPr="0001436B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1995 m. 1</w:t>
            </w:r>
            <w:proofErr w:type="gramStart"/>
            <w:r w:rsidRPr="0001436B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,3</w:t>
            </w:r>
            <w:proofErr w:type="gramEnd"/>
            <w:r w:rsidRPr="0001436B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01436B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mln</w:t>
            </w:r>
            <w:proofErr w:type="spellEnd"/>
            <w:r w:rsidRPr="0001436B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36B" w:rsidRPr="0001436B" w:rsidRDefault="0001436B" w:rsidP="00014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r w:rsidRPr="0001436B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 </w:t>
            </w:r>
          </w:p>
        </w:tc>
      </w:tr>
      <w:tr w:rsidR="0001436B" w:rsidRPr="0001436B" w:rsidTr="0001436B"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36B" w:rsidRPr="0001436B" w:rsidRDefault="0001436B" w:rsidP="00014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r w:rsidRPr="0001436B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36B" w:rsidRPr="0001436B" w:rsidRDefault="0001436B" w:rsidP="00014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r w:rsidRPr="0001436B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-5,7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36B" w:rsidRPr="0001436B" w:rsidRDefault="0001436B" w:rsidP="00014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r w:rsidRPr="0001436B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2,7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36B" w:rsidRPr="0001436B" w:rsidRDefault="0001436B" w:rsidP="00014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r w:rsidRPr="0001436B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1436B" w:rsidRPr="0001436B" w:rsidRDefault="0001436B" w:rsidP="00014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36B" w:rsidRPr="0001436B" w:rsidRDefault="0001436B" w:rsidP="00014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r w:rsidRPr="0001436B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6,3</w:t>
            </w:r>
          </w:p>
        </w:tc>
      </w:tr>
      <w:tr w:rsidR="0001436B" w:rsidRPr="0001436B" w:rsidTr="0001436B"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36B" w:rsidRPr="0001436B" w:rsidRDefault="0001436B" w:rsidP="00014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r w:rsidRPr="0001436B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36B" w:rsidRPr="0001436B" w:rsidRDefault="0001436B" w:rsidP="00014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r w:rsidRPr="0001436B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2,5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36B" w:rsidRPr="0001436B" w:rsidRDefault="0001436B" w:rsidP="00014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r w:rsidRPr="0001436B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1,7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36B" w:rsidRPr="0001436B" w:rsidRDefault="0001436B" w:rsidP="00014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r w:rsidRPr="0001436B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1436B" w:rsidRPr="0001436B" w:rsidRDefault="0001436B" w:rsidP="00014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36B" w:rsidRPr="0001436B" w:rsidRDefault="0001436B" w:rsidP="00014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r w:rsidRPr="0001436B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2,3</w:t>
            </w:r>
          </w:p>
        </w:tc>
      </w:tr>
      <w:tr w:rsidR="0001436B" w:rsidRPr="0001436B" w:rsidTr="0001436B"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36B" w:rsidRPr="0001436B" w:rsidRDefault="0001436B" w:rsidP="00014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r w:rsidRPr="0001436B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2025 (</w:t>
            </w:r>
            <w:proofErr w:type="spellStart"/>
            <w:r w:rsidRPr="0001436B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prognozė</w:t>
            </w:r>
            <w:proofErr w:type="spellEnd"/>
            <w:r w:rsidRPr="0001436B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36B" w:rsidRPr="0001436B" w:rsidRDefault="0001436B" w:rsidP="00014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r w:rsidRPr="0001436B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8,0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36B" w:rsidRPr="0001436B" w:rsidRDefault="0001436B" w:rsidP="00014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r w:rsidRPr="0001436B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3,8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36B" w:rsidRPr="0001436B" w:rsidRDefault="0001436B" w:rsidP="00014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r w:rsidRPr="0001436B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4,3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36B" w:rsidRPr="0001436B" w:rsidRDefault="0001436B" w:rsidP="00014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proofErr w:type="spellStart"/>
            <w:r w:rsidRPr="0001436B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Virš</w:t>
            </w:r>
            <w:proofErr w:type="spellEnd"/>
            <w:r w:rsidRPr="0001436B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2</w:t>
            </w:r>
            <w:proofErr w:type="gramStart"/>
            <w:r w:rsidRPr="0001436B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,8</w:t>
            </w:r>
            <w:proofErr w:type="gramEnd"/>
            <w:r w:rsidRPr="0001436B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01436B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mln</w:t>
            </w:r>
            <w:proofErr w:type="spellEnd"/>
            <w:r w:rsidRPr="0001436B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.  (+63,900 </w:t>
            </w:r>
            <w:proofErr w:type="spellStart"/>
            <w:r w:rsidRPr="0001436B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palyginus</w:t>
            </w:r>
            <w:proofErr w:type="spellEnd"/>
            <w:r w:rsidRPr="0001436B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01436B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su</w:t>
            </w:r>
            <w:proofErr w:type="spellEnd"/>
            <w:r w:rsidRPr="0001436B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2024 m.)**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36B" w:rsidRPr="0001436B" w:rsidRDefault="0001436B" w:rsidP="00014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r w:rsidRPr="0001436B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3,0</w:t>
            </w:r>
          </w:p>
        </w:tc>
      </w:tr>
      <w:tr w:rsidR="0001436B" w:rsidRPr="0001436B" w:rsidTr="0001436B"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36B" w:rsidRPr="0001436B" w:rsidRDefault="0001436B" w:rsidP="00014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r w:rsidRPr="0001436B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2026 (</w:t>
            </w:r>
            <w:proofErr w:type="spellStart"/>
            <w:r w:rsidRPr="0001436B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prognozė</w:t>
            </w:r>
            <w:proofErr w:type="spellEnd"/>
            <w:r w:rsidRPr="0001436B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36B" w:rsidRPr="0001436B" w:rsidRDefault="0001436B" w:rsidP="00014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r w:rsidRPr="0001436B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2,0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36B" w:rsidRPr="0001436B" w:rsidRDefault="0001436B" w:rsidP="00014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r w:rsidRPr="0001436B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2,9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36B" w:rsidRPr="0001436B" w:rsidRDefault="0001436B" w:rsidP="00014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r w:rsidRPr="0001436B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1436B" w:rsidRPr="0001436B" w:rsidRDefault="0001436B" w:rsidP="00014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36B" w:rsidRPr="0001436B" w:rsidRDefault="0001436B" w:rsidP="00014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r w:rsidRPr="0001436B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 </w:t>
            </w:r>
          </w:p>
        </w:tc>
      </w:tr>
    </w:tbl>
    <w:p w:rsidR="0001436B" w:rsidRPr="0001436B" w:rsidRDefault="0001436B" w:rsidP="000143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</w:rPr>
      </w:pPr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*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Prognozuojama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,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kad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iki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2027 m.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darbo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jėga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sudarys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3</w:t>
      </w:r>
      <w:proofErr w:type="gram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,2</w:t>
      </w:r>
      <w:proofErr w:type="gram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mln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.</w:t>
      </w:r>
    </w:p>
    <w:p w:rsidR="0001436B" w:rsidRPr="0001436B" w:rsidRDefault="0001436B" w:rsidP="000143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</w:rPr>
      </w:pPr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 </w:t>
      </w:r>
    </w:p>
    <w:p w:rsidR="0001436B" w:rsidRPr="0001436B" w:rsidRDefault="0001436B" w:rsidP="000143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</w:rPr>
      </w:pPr>
      <w:r w:rsidRPr="0001436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</w:rPr>
        <w:t xml:space="preserve">2026 m. </w:t>
      </w:r>
      <w:proofErr w:type="spellStart"/>
      <w:r w:rsidRPr="0001436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</w:rPr>
        <w:t>biudžeto</w:t>
      </w:r>
      <w:proofErr w:type="spellEnd"/>
      <w:r w:rsidRPr="0001436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</w:rPr>
        <w:t>pajamos</w:t>
      </w:r>
      <w:proofErr w:type="spellEnd"/>
    </w:p>
    <w:p w:rsidR="0001436B" w:rsidRPr="0001436B" w:rsidRDefault="0001436B" w:rsidP="000143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</w:rPr>
      </w:pP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Viešiesiems</w:t>
      </w:r>
      <w:proofErr w:type="spellEnd"/>
      <w:proofErr w:type="gram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 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finansams</w:t>
      </w:r>
      <w:proofErr w:type="spellEnd"/>
      <w:proofErr w:type="gram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didelę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įtaką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tebeturi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 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netikėtos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pajamos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(</w:t>
      </w:r>
      <w:r w:rsidRPr="0001436B">
        <w:rPr>
          <w:rFonts w:ascii="Arial" w:eastAsia="Times New Roman" w:hAnsi="Arial" w:cs="Arial"/>
          <w:i/>
          <w:iCs/>
          <w:color w:val="222222"/>
          <w:kern w:val="0"/>
          <w:sz w:val="24"/>
          <w:szCs w:val="24"/>
        </w:rPr>
        <w:t>windfall revenue</w:t>
      </w:r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),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kurias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gauti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nėra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jokių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garantijų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: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iš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visų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planuojamų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mokestinių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pajamų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,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korporacijų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mokestis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sudarys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31 proc., tame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tarpe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netikėtos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pajamos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iš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korporacijų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sudarys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apie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17 proc.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visų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mokestinių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pajamų</w:t>
      </w:r>
      <w:proofErr w:type="spellEnd"/>
      <w:r w:rsidRPr="0001436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</w:rPr>
        <w:t xml:space="preserve">. </w:t>
      </w:r>
      <w:proofErr w:type="spellStart"/>
      <w:r w:rsidRPr="0001436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</w:rPr>
        <w:t>Įtraukus</w:t>
      </w:r>
      <w:proofErr w:type="spellEnd"/>
      <w:r w:rsidRPr="0001436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</w:rPr>
        <w:t>netikėtas</w:t>
      </w:r>
      <w:proofErr w:type="spellEnd"/>
      <w:r w:rsidRPr="0001436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</w:rPr>
        <w:t xml:space="preserve"> pajamas </w:t>
      </w:r>
      <w:proofErr w:type="spellStart"/>
      <w:r w:rsidRPr="0001436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</w:rPr>
        <w:t>Airijos</w:t>
      </w:r>
      <w:proofErr w:type="spellEnd"/>
      <w:r w:rsidRPr="0001436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</w:rPr>
        <w:t>biudžetas</w:t>
      </w:r>
      <w:proofErr w:type="spellEnd"/>
      <w:r w:rsidRPr="0001436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</w:rPr>
        <w:t>turi</w:t>
      </w:r>
      <w:proofErr w:type="spellEnd"/>
      <w:r w:rsidRPr="0001436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</w:rPr>
        <w:t>perteklių</w:t>
      </w:r>
      <w:proofErr w:type="spellEnd"/>
      <w:r w:rsidRPr="0001436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</w:rPr>
        <w:t xml:space="preserve">, kuris 2025 m. </w:t>
      </w:r>
      <w:proofErr w:type="spellStart"/>
      <w:r w:rsidRPr="0001436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</w:rPr>
        <w:t>sudaro</w:t>
      </w:r>
      <w:proofErr w:type="spellEnd"/>
      <w:r w:rsidRPr="0001436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</w:rPr>
        <w:t xml:space="preserve"> 9</w:t>
      </w:r>
      <w:proofErr w:type="gramStart"/>
      <w:r w:rsidRPr="0001436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</w:rPr>
        <w:t>,7</w:t>
      </w:r>
      <w:proofErr w:type="gramEnd"/>
      <w:r w:rsidRPr="0001436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</w:rPr>
        <w:t>mlrd</w:t>
      </w:r>
      <w:proofErr w:type="spellEnd"/>
      <w:r w:rsidRPr="0001436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</w:rPr>
        <w:t xml:space="preserve">. </w:t>
      </w:r>
      <w:proofErr w:type="spellStart"/>
      <w:proofErr w:type="gramStart"/>
      <w:r w:rsidRPr="0001436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</w:rPr>
        <w:t>eurų</w:t>
      </w:r>
      <w:proofErr w:type="spellEnd"/>
      <w:proofErr w:type="gramEnd"/>
      <w:r w:rsidRPr="0001436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</w:rPr>
        <w:t xml:space="preserve">, o 2026 m. 5 </w:t>
      </w:r>
      <w:proofErr w:type="spellStart"/>
      <w:r w:rsidRPr="0001436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</w:rPr>
        <w:t>mlrd</w:t>
      </w:r>
      <w:proofErr w:type="spellEnd"/>
      <w:r w:rsidRPr="0001436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</w:rPr>
        <w:t xml:space="preserve">. </w:t>
      </w:r>
      <w:proofErr w:type="spellStart"/>
      <w:proofErr w:type="gramStart"/>
      <w:r w:rsidRPr="0001436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</w:rPr>
        <w:t>eurų</w:t>
      </w:r>
      <w:proofErr w:type="spellEnd"/>
      <w:proofErr w:type="gramEnd"/>
      <w:r w:rsidRPr="0001436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</w:rPr>
        <w:t xml:space="preserve">. </w:t>
      </w:r>
      <w:proofErr w:type="spellStart"/>
      <w:r w:rsidRPr="0001436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</w:rPr>
        <w:t>Tačiau</w:t>
      </w:r>
      <w:proofErr w:type="spellEnd"/>
      <w:r w:rsidRPr="0001436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</w:rPr>
        <w:t xml:space="preserve"> be </w:t>
      </w:r>
      <w:proofErr w:type="spellStart"/>
      <w:r w:rsidRPr="0001436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</w:rPr>
        <w:t>netikėtų</w:t>
      </w:r>
      <w:proofErr w:type="spellEnd"/>
      <w:r w:rsidRPr="0001436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</w:rPr>
        <w:t>pajamų</w:t>
      </w:r>
      <w:proofErr w:type="spellEnd"/>
      <w:r w:rsidRPr="0001436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</w:rPr>
        <w:t>biudžetas</w:t>
      </w:r>
      <w:proofErr w:type="spellEnd"/>
      <w:r w:rsidRPr="0001436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</w:rPr>
        <w:t>būtų</w:t>
      </w:r>
      <w:proofErr w:type="spellEnd"/>
      <w:r w:rsidRPr="0001436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</w:rPr>
        <w:t>deficitinis</w:t>
      </w:r>
      <w:proofErr w:type="spellEnd"/>
      <w:r w:rsidRPr="0001436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</w:rPr>
        <w:t xml:space="preserve">:  2025 </w:t>
      </w:r>
      <w:proofErr w:type="spellStart"/>
      <w:r w:rsidRPr="0001436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</w:rPr>
        <w:t>metais</w:t>
      </w:r>
      <w:proofErr w:type="spellEnd"/>
      <w:r w:rsidRPr="0001436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</w:rPr>
        <w:t xml:space="preserve"> - 7</w:t>
      </w:r>
      <w:proofErr w:type="gramStart"/>
      <w:r w:rsidRPr="0001436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</w:rPr>
        <w:t>,4</w:t>
      </w:r>
      <w:proofErr w:type="gramEnd"/>
      <w:r w:rsidRPr="0001436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</w:rPr>
        <w:t>mlrd</w:t>
      </w:r>
      <w:proofErr w:type="spellEnd"/>
      <w:r w:rsidRPr="0001436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</w:rPr>
        <w:t xml:space="preserve">. </w:t>
      </w:r>
      <w:proofErr w:type="spellStart"/>
      <w:proofErr w:type="gramStart"/>
      <w:r w:rsidRPr="0001436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</w:rPr>
        <w:t>eurų</w:t>
      </w:r>
      <w:proofErr w:type="spellEnd"/>
      <w:proofErr w:type="gramEnd"/>
      <w:r w:rsidRPr="0001436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</w:rPr>
        <w:t xml:space="preserve">, o 2026 m. - 13,6 </w:t>
      </w:r>
      <w:proofErr w:type="spellStart"/>
      <w:r w:rsidRPr="0001436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</w:rPr>
        <w:t>mlrd</w:t>
      </w:r>
      <w:proofErr w:type="spellEnd"/>
      <w:r w:rsidRPr="0001436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</w:rPr>
        <w:t xml:space="preserve">. </w:t>
      </w:r>
      <w:proofErr w:type="spellStart"/>
      <w:proofErr w:type="gramStart"/>
      <w:r w:rsidRPr="0001436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</w:rPr>
        <w:t>eurų</w:t>
      </w:r>
      <w:proofErr w:type="spellEnd"/>
      <w:proofErr w:type="gramEnd"/>
      <w:r w:rsidRPr="0001436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</w:rPr>
        <w:t>.</w:t>
      </w:r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 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Ekspertai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perspėja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,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kad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tai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nėra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tvaru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ir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netekus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netikėtų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pajamų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biudžeto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deficitas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siektų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3</w:t>
      </w:r>
      <w:proofErr w:type="gram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,8</w:t>
      </w:r>
      <w:proofErr w:type="gram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proc. BVP,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taigi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viršytų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Mastrichto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kriterijų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.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Tačiau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kiti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ekspertai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mano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,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kad</w:t>
      </w:r>
      <w:proofErr w:type="spellEnd"/>
      <w:proofErr w:type="gram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 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Airijos</w:t>
      </w:r>
      <w:proofErr w:type="spellEnd"/>
      <w:proofErr w:type="gram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valstybės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skola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jau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yra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gerokai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sumažinta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,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taigi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toks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deficitas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būtų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pateisinamas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valstybei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siekiant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išspręsti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infrastruktūros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trūkumo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problemas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.</w:t>
      </w:r>
    </w:p>
    <w:p w:rsidR="0001436B" w:rsidRPr="0001436B" w:rsidRDefault="0001436B" w:rsidP="000143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</w:rPr>
      </w:pPr>
    </w:p>
    <w:p w:rsidR="0001436B" w:rsidRPr="0001436B" w:rsidRDefault="0001436B" w:rsidP="000143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</w:rPr>
      </w:pPr>
      <w:r w:rsidRPr="0001436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</w:rPr>
        <w:t> </w:t>
      </w:r>
    </w:p>
    <w:p w:rsidR="0001436B" w:rsidRPr="0001436B" w:rsidRDefault="0001436B" w:rsidP="000143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</w:rPr>
      </w:pPr>
      <w:proofErr w:type="spellStart"/>
      <w:r w:rsidRPr="0001436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</w:rPr>
        <w:t>Pagrindiniai</w:t>
      </w:r>
      <w:proofErr w:type="spellEnd"/>
      <w:r w:rsidRPr="0001436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</w:rPr>
        <w:t>mokesčių</w:t>
      </w:r>
      <w:proofErr w:type="spellEnd"/>
      <w:r w:rsidRPr="0001436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</w:rPr>
        <w:t>sistemos</w:t>
      </w:r>
      <w:proofErr w:type="spellEnd"/>
      <w:r w:rsidRPr="0001436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</w:rPr>
        <w:t>pakeitimai</w:t>
      </w:r>
      <w:proofErr w:type="spellEnd"/>
      <w:r w:rsidRPr="0001436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</w:rPr>
        <w:t>:</w:t>
      </w:r>
    </w:p>
    <w:p w:rsidR="0001436B" w:rsidRPr="0001436B" w:rsidRDefault="0001436B" w:rsidP="0001436B">
      <w:pPr>
        <w:numPr>
          <w:ilvl w:val="0"/>
          <w:numId w:val="2"/>
        </w:numPr>
        <w:shd w:val="clear" w:color="auto" w:fill="FFFFFF"/>
        <w:spacing w:after="0" w:line="240" w:lineRule="auto"/>
        <w:ind w:left="870"/>
        <w:rPr>
          <w:rFonts w:ascii="Arial" w:eastAsia="Times New Roman" w:hAnsi="Arial" w:cs="Arial"/>
          <w:color w:val="222222"/>
          <w:kern w:val="0"/>
          <w:sz w:val="24"/>
          <w:szCs w:val="24"/>
        </w:rPr>
      </w:pP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Siekiant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pagerinti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apsirūpinimą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būstu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PVM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užbaigtai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gyvenamajai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statybai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mažinamas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nuo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13</w:t>
      </w:r>
      <w:proofErr w:type="gram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,5</w:t>
      </w:r>
      <w:proofErr w:type="gram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proc.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iki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9 proc.</w:t>
      </w:r>
    </w:p>
    <w:p w:rsidR="0001436B" w:rsidRPr="0001436B" w:rsidRDefault="0001436B" w:rsidP="0001436B">
      <w:pPr>
        <w:numPr>
          <w:ilvl w:val="0"/>
          <w:numId w:val="2"/>
        </w:numPr>
        <w:shd w:val="clear" w:color="auto" w:fill="FFFFFF"/>
        <w:spacing w:after="0" w:line="240" w:lineRule="auto"/>
        <w:ind w:left="870"/>
        <w:rPr>
          <w:rFonts w:ascii="Arial" w:eastAsia="Times New Roman" w:hAnsi="Arial" w:cs="Arial"/>
          <w:color w:val="222222"/>
          <w:kern w:val="0"/>
          <w:sz w:val="24"/>
          <w:szCs w:val="24"/>
        </w:rPr>
      </w:pP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lastRenderedPageBreak/>
        <w:t>Taikomos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mokestinės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lengvatos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MVĮ, tarp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jų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nuo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2026 m.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liepos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1 d.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sumažinamas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PVM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nuo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13,5 proc.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iki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9 proc.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restoranams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,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pagaminto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maisto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tiekėjams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ir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kirpykloms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;</w:t>
      </w:r>
    </w:p>
    <w:p w:rsidR="0001436B" w:rsidRPr="0001436B" w:rsidRDefault="0001436B" w:rsidP="0001436B">
      <w:pPr>
        <w:numPr>
          <w:ilvl w:val="0"/>
          <w:numId w:val="2"/>
        </w:numPr>
        <w:shd w:val="clear" w:color="auto" w:fill="FFFFFF"/>
        <w:spacing w:after="0" w:line="240" w:lineRule="auto"/>
        <w:ind w:left="870"/>
        <w:rPr>
          <w:rFonts w:ascii="Arial" w:eastAsia="Times New Roman" w:hAnsi="Arial" w:cs="Arial"/>
          <w:color w:val="222222"/>
          <w:kern w:val="0"/>
          <w:sz w:val="24"/>
          <w:szCs w:val="24"/>
        </w:rPr>
      </w:pP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Pratęsiamos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mokestinės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lengvatos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žemės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ūkio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verslui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;</w:t>
      </w:r>
    </w:p>
    <w:p w:rsidR="0001436B" w:rsidRPr="0001436B" w:rsidRDefault="0001436B" w:rsidP="0001436B">
      <w:pPr>
        <w:numPr>
          <w:ilvl w:val="0"/>
          <w:numId w:val="2"/>
        </w:numPr>
        <w:shd w:val="clear" w:color="auto" w:fill="FFFFFF"/>
        <w:spacing w:after="0" w:line="240" w:lineRule="auto"/>
        <w:ind w:left="870"/>
        <w:rPr>
          <w:rFonts w:ascii="Arial" w:eastAsia="Times New Roman" w:hAnsi="Arial" w:cs="Arial"/>
          <w:color w:val="222222"/>
          <w:kern w:val="0"/>
          <w:sz w:val="24"/>
          <w:szCs w:val="24"/>
        </w:rPr>
      </w:pP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Pratęsiamas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9 proc.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lengvatinio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tarifo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taikymas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dujoms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ir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elektrai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iki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2030 m.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gruodžio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31 d.;</w:t>
      </w:r>
    </w:p>
    <w:p w:rsidR="0001436B" w:rsidRPr="0001436B" w:rsidRDefault="0001436B" w:rsidP="0001436B">
      <w:pPr>
        <w:numPr>
          <w:ilvl w:val="0"/>
          <w:numId w:val="2"/>
        </w:numPr>
        <w:shd w:val="clear" w:color="auto" w:fill="FFFFFF"/>
        <w:spacing w:after="0" w:line="240" w:lineRule="auto"/>
        <w:ind w:left="870"/>
        <w:rPr>
          <w:rFonts w:ascii="Arial" w:eastAsia="Times New Roman" w:hAnsi="Arial" w:cs="Arial"/>
          <w:color w:val="222222"/>
          <w:kern w:val="0"/>
          <w:sz w:val="24"/>
          <w:szCs w:val="24"/>
        </w:rPr>
      </w:pP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Didinamas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akcizas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tabakui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;</w:t>
      </w:r>
    </w:p>
    <w:p w:rsidR="0001436B" w:rsidRPr="0001436B" w:rsidRDefault="0001436B" w:rsidP="0001436B">
      <w:pPr>
        <w:numPr>
          <w:ilvl w:val="0"/>
          <w:numId w:val="2"/>
        </w:numPr>
        <w:shd w:val="clear" w:color="auto" w:fill="FFFFFF"/>
        <w:spacing w:after="0" w:line="240" w:lineRule="auto"/>
        <w:ind w:left="870"/>
        <w:rPr>
          <w:rFonts w:ascii="Arial" w:eastAsia="Times New Roman" w:hAnsi="Arial" w:cs="Arial"/>
          <w:color w:val="222222"/>
          <w:kern w:val="0"/>
          <w:sz w:val="24"/>
          <w:szCs w:val="24"/>
        </w:rPr>
      </w:pP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Didinamas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anglies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dioksido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mokestis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iki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71 EUR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tonai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CO</w:t>
      </w:r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  <w:vertAlign w:val="superscript"/>
        </w:rPr>
        <w:t>2</w:t>
      </w:r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;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pratęsiama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lengvata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elektrinių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automobilių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įsigijimui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ir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elektros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mikrogeneracijai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;</w:t>
      </w:r>
    </w:p>
    <w:p w:rsidR="0001436B" w:rsidRPr="0001436B" w:rsidRDefault="0001436B" w:rsidP="0001436B">
      <w:pPr>
        <w:numPr>
          <w:ilvl w:val="0"/>
          <w:numId w:val="2"/>
        </w:numPr>
        <w:shd w:val="clear" w:color="auto" w:fill="FFFFFF"/>
        <w:spacing w:after="0" w:line="240" w:lineRule="auto"/>
        <w:ind w:left="870"/>
        <w:rPr>
          <w:rFonts w:ascii="Arial" w:eastAsia="Times New Roman" w:hAnsi="Arial" w:cs="Arial"/>
          <w:color w:val="222222"/>
          <w:kern w:val="0"/>
          <w:sz w:val="24"/>
          <w:szCs w:val="24"/>
        </w:rPr>
      </w:pP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Išplečiama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mokesčių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lengvata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įmonių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investicijoms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į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mokslinius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tyrimus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;</w:t>
      </w:r>
    </w:p>
    <w:p w:rsidR="0001436B" w:rsidRPr="0001436B" w:rsidRDefault="0001436B" w:rsidP="0001436B">
      <w:pPr>
        <w:numPr>
          <w:ilvl w:val="0"/>
          <w:numId w:val="2"/>
        </w:numPr>
        <w:shd w:val="clear" w:color="auto" w:fill="FFFFFF"/>
        <w:spacing w:after="0" w:line="240" w:lineRule="auto"/>
        <w:ind w:left="870"/>
        <w:rPr>
          <w:rFonts w:ascii="Arial" w:eastAsia="Times New Roman" w:hAnsi="Arial" w:cs="Arial"/>
          <w:color w:val="222222"/>
          <w:kern w:val="0"/>
          <w:sz w:val="24"/>
          <w:szCs w:val="24"/>
        </w:rPr>
      </w:pP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Fizinių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asmenų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mokesčiai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iš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esmės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nekeičiami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,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tik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didinamas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visuotinio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socialinio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mokesčio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slenkstis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,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iki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kurio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taikomas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2 proc.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tarifas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bei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pratęsiamos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mokestinės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lengvatos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susijusios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su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būstu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.</w:t>
      </w:r>
    </w:p>
    <w:p w:rsidR="0001436B" w:rsidRPr="0001436B" w:rsidRDefault="0001436B" w:rsidP="000143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</w:rPr>
      </w:pPr>
      <w:proofErr w:type="spellStart"/>
      <w:r w:rsidRPr="0001436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</w:rPr>
        <w:t>Biudžeto</w:t>
      </w:r>
      <w:proofErr w:type="spellEnd"/>
      <w:r w:rsidRPr="0001436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</w:rPr>
        <w:t>išlaidos</w:t>
      </w:r>
      <w:proofErr w:type="spellEnd"/>
      <w:r w:rsidRPr="0001436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</w:rPr>
        <w:t xml:space="preserve"> 2026 </w:t>
      </w:r>
      <w:proofErr w:type="spellStart"/>
      <w:r w:rsidRPr="0001436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</w:rPr>
        <w:t>metais</w:t>
      </w:r>
      <w:proofErr w:type="spellEnd"/>
    </w:p>
    <w:tbl>
      <w:tblPr>
        <w:tblW w:w="963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949"/>
        <w:gridCol w:w="1417"/>
        <w:gridCol w:w="2268"/>
      </w:tblGrid>
      <w:tr w:rsidR="0001436B" w:rsidRPr="0001436B" w:rsidTr="0001436B">
        <w:tc>
          <w:tcPr>
            <w:tcW w:w="5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36B" w:rsidRPr="0001436B" w:rsidRDefault="0001436B" w:rsidP="00014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r w:rsidRPr="0001436B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36B" w:rsidRPr="0001436B" w:rsidRDefault="0001436B" w:rsidP="00014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proofErr w:type="spellStart"/>
            <w:proofErr w:type="gramStart"/>
            <w:r w:rsidRPr="0001436B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mlrd</w:t>
            </w:r>
            <w:proofErr w:type="spellEnd"/>
            <w:proofErr w:type="gramEnd"/>
            <w:r w:rsidRPr="0001436B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. </w:t>
            </w:r>
            <w:proofErr w:type="spellStart"/>
            <w:r w:rsidRPr="0001436B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eurų</w:t>
            </w:r>
            <w:proofErr w:type="spellEnd"/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36B" w:rsidRPr="0001436B" w:rsidRDefault="0001436B" w:rsidP="00014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proofErr w:type="spellStart"/>
            <w:r w:rsidRPr="0001436B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Padidėjimas</w:t>
            </w:r>
            <w:proofErr w:type="spellEnd"/>
            <w:r w:rsidRPr="0001436B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01436B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lyginant</w:t>
            </w:r>
            <w:proofErr w:type="spellEnd"/>
            <w:r w:rsidRPr="0001436B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01436B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su</w:t>
            </w:r>
            <w:proofErr w:type="spellEnd"/>
            <w:r w:rsidRPr="0001436B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2025, </w:t>
            </w:r>
            <w:proofErr w:type="spellStart"/>
            <w:r w:rsidRPr="0001436B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mlrd</w:t>
            </w:r>
            <w:proofErr w:type="spellEnd"/>
            <w:r w:rsidRPr="0001436B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. </w:t>
            </w:r>
            <w:proofErr w:type="spellStart"/>
            <w:r w:rsidRPr="0001436B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eurų</w:t>
            </w:r>
            <w:proofErr w:type="spellEnd"/>
          </w:p>
        </w:tc>
      </w:tr>
      <w:tr w:rsidR="0001436B" w:rsidRPr="0001436B" w:rsidTr="0001436B">
        <w:tc>
          <w:tcPr>
            <w:tcW w:w="5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36B" w:rsidRPr="0001436B" w:rsidRDefault="0001436B" w:rsidP="00014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proofErr w:type="spellStart"/>
            <w:r w:rsidRPr="0001436B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4"/>
                <w:szCs w:val="24"/>
              </w:rPr>
              <w:t>Viso</w:t>
            </w:r>
            <w:proofErr w:type="spellEnd"/>
            <w:r w:rsidRPr="0001436B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01436B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4"/>
                <w:szCs w:val="24"/>
              </w:rPr>
              <w:t>išlaidos</w:t>
            </w:r>
            <w:proofErr w:type="spellEnd"/>
            <w:r w:rsidRPr="0001436B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01436B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4"/>
                <w:szCs w:val="24"/>
              </w:rPr>
              <w:t>dėl</w:t>
            </w:r>
            <w:proofErr w:type="spellEnd"/>
            <w:r w:rsidRPr="0001436B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01436B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4"/>
                <w:szCs w:val="24"/>
              </w:rPr>
              <w:t>kurių</w:t>
            </w:r>
            <w:proofErr w:type="spellEnd"/>
            <w:r w:rsidRPr="0001436B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01436B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4"/>
                <w:szCs w:val="24"/>
              </w:rPr>
              <w:t>balsuoja</w:t>
            </w:r>
            <w:proofErr w:type="spellEnd"/>
            <w:r w:rsidRPr="0001436B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01436B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4"/>
                <w:szCs w:val="24"/>
              </w:rPr>
              <w:t>parlamentas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36B" w:rsidRPr="0001436B" w:rsidRDefault="0001436B" w:rsidP="00014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r w:rsidRPr="0001436B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4"/>
                <w:szCs w:val="24"/>
              </w:rPr>
              <w:t>117,8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36B" w:rsidRPr="0001436B" w:rsidRDefault="0001436B" w:rsidP="00014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r w:rsidRPr="0001436B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4"/>
                <w:szCs w:val="24"/>
              </w:rPr>
              <w:t>+9,4</w:t>
            </w:r>
          </w:p>
        </w:tc>
      </w:tr>
      <w:tr w:rsidR="0001436B" w:rsidRPr="0001436B" w:rsidTr="0001436B">
        <w:tc>
          <w:tcPr>
            <w:tcW w:w="5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36B" w:rsidRPr="0001436B" w:rsidRDefault="0001436B" w:rsidP="00014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proofErr w:type="spellStart"/>
            <w:r w:rsidRPr="0001436B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Iš</w:t>
            </w:r>
            <w:proofErr w:type="spellEnd"/>
            <w:r w:rsidRPr="0001436B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01436B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jų</w:t>
            </w:r>
            <w:proofErr w:type="spellEnd"/>
            <w:r w:rsidRPr="0001436B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36B" w:rsidRPr="0001436B" w:rsidRDefault="0001436B" w:rsidP="00014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r w:rsidRPr="0001436B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36B" w:rsidRPr="0001436B" w:rsidRDefault="0001436B" w:rsidP="00014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r w:rsidRPr="0001436B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 </w:t>
            </w:r>
          </w:p>
        </w:tc>
      </w:tr>
      <w:tr w:rsidR="0001436B" w:rsidRPr="0001436B" w:rsidTr="0001436B">
        <w:tc>
          <w:tcPr>
            <w:tcW w:w="5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36B" w:rsidRPr="0001436B" w:rsidRDefault="0001436B" w:rsidP="0001436B">
            <w:pPr>
              <w:numPr>
                <w:ilvl w:val="0"/>
                <w:numId w:val="3"/>
              </w:numPr>
              <w:spacing w:after="0" w:line="240" w:lineRule="auto"/>
              <w:ind w:left="870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</w:rPr>
            </w:pPr>
            <w:proofErr w:type="spellStart"/>
            <w:r w:rsidRPr="0001436B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</w:rPr>
              <w:t>atlyginimai</w:t>
            </w:r>
            <w:proofErr w:type="spellEnd"/>
            <w:r w:rsidRPr="0001436B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01436B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</w:rPr>
              <w:t>ir</w:t>
            </w:r>
            <w:proofErr w:type="spellEnd"/>
            <w:r w:rsidRPr="0001436B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01436B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</w:rPr>
              <w:t>pensijos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36B" w:rsidRPr="0001436B" w:rsidRDefault="0001436B" w:rsidP="00014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r w:rsidRPr="0001436B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36,3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36B" w:rsidRPr="0001436B" w:rsidRDefault="0001436B" w:rsidP="00014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r w:rsidRPr="0001436B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+2</w:t>
            </w:r>
          </w:p>
        </w:tc>
      </w:tr>
      <w:tr w:rsidR="0001436B" w:rsidRPr="0001436B" w:rsidTr="0001436B">
        <w:tc>
          <w:tcPr>
            <w:tcW w:w="5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36B" w:rsidRPr="0001436B" w:rsidRDefault="0001436B" w:rsidP="0001436B">
            <w:pPr>
              <w:numPr>
                <w:ilvl w:val="0"/>
                <w:numId w:val="4"/>
              </w:numPr>
              <w:spacing w:after="0" w:line="240" w:lineRule="auto"/>
              <w:ind w:left="870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</w:rPr>
            </w:pPr>
            <w:proofErr w:type="spellStart"/>
            <w:r w:rsidRPr="0001436B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</w:rPr>
              <w:t>prekės</w:t>
            </w:r>
            <w:proofErr w:type="spellEnd"/>
            <w:r w:rsidRPr="0001436B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01436B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</w:rPr>
              <w:t>ir</w:t>
            </w:r>
            <w:proofErr w:type="spellEnd"/>
            <w:r w:rsidRPr="0001436B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01436B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</w:rPr>
              <w:t>paslaugos</w:t>
            </w:r>
            <w:proofErr w:type="spellEnd"/>
            <w:r w:rsidRPr="0001436B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01436B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</w:rPr>
              <w:t>bei</w:t>
            </w:r>
            <w:proofErr w:type="spellEnd"/>
            <w:r w:rsidRPr="0001436B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01436B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</w:rPr>
              <w:t>socialinės</w:t>
            </w:r>
            <w:proofErr w:type="spellEnd"/>
            <w:r w:rsidRPr="0001436B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01436B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</w:rPr>
              <w:t>išmokos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36B" w:rsidRPr="0001436B" w:rsidRDefault="0001436B" w:rsidP="00014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r w:rsidRPr="0001436B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62,4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1436B" w:rsidRPr="0001436B" w:rsidRDefault="0001436B" w:rsidP="00014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</w:p>
        </w:tc>
      </w:tr>
      <w:tr w:rsidR="0001436B" w:rsidRPr="0001436B" w:rsidTr="0001436B">
        <w:tc>
          <w:tcPr>
            <w:tcW w:w="5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36B" w:rsidRPr="0001436B" w:rsidRDefault="0001436B" w:rsidP="0001436B">
            <w:pPr>
              <w:numPr>
                <w:ilvl w:val="0"/>
                <w:numId w:val="5"/>
              </w:numPr>
              <w:spacing w:after="0" w:line="240" w:lineRule="auto"/>
              <w:ind w:left="870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</w:rPr>
            </w:pPr>
            <w:proofErr w:type="spellStart"/>
            <w:r w:rsidRPr="0001436B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</w:rPr>
              <w:t>kapitalinės</w:t>
            </w:r>
            <w:proofErr w:type="spellEnd"/>
            <w:r w:rsidRPr="0001436B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01436B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</w:rPr>
              <w:t>investicijos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36B" w:rsidRPr="0001436B" w:rsidRDefault="0001436B" w:rsidP="00014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r w:rsidRPr="0001436B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19,1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36B" w:rsidRPr="0001436B" w:rsidRDefault="0001436B" w:rsidP="00014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r w:rsidRPr="0001436B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+1,3</w:t>
            </w:r>
          </w:p>
        </w:tc>
      </w:tr>
      <w:tr w:rsidR="0001436B" w:rsidRPr="0001436B" w:rsidTr="0001436B">
        <w:tc>
          <w:tcPr>
            <w:tcW w:w="5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36B" w:rsidRPr="0001436B" w:rsidRDefault="0001436B" w:rsidP="00014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proofErr w:type="spellStart"/>
            <w:r w:rsidRPr="0001436B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4"/>
                <w:szCs w:val="24"/>
              </w:rPr>
              <w:t>Viso</w:t>
            </w:r>
            <w:proofErr w:type="spellEnd"/>
            <w:r w:rsidRPr="0001436B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01436B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4"/>
                <w:szCs w:val="24"/>
              </w:rPr>
              <w:t>išlaidos</w:t>
            </w:r>
            <w:proofErr w:type="spellEnd"/>
            <w:r w:rsidRPr="0001436B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01436B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4"/>
                <w:szCs w:val="24"/>
              </w:rPr>
              <w:t>dėl</w:t>
            </w:r>
            <w:proofErr w:type="spellEnd"/>
            <w:r w:rsidRPr="0001436B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01436B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4"/>
                <w:szCs w:val="24"/>
              </w:rPr>
              <w:t>kurių</w:t>
            </w:r>
            <w:proofErr w:type="spellEnd"/>
            <w:r w:rsidRPr="0001436B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01436B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4"/>
                <w:szCs w:val="24"/>
              </w:rPr>
              <w:t>nebalsuoja</w:t>
            </w:r>
            <w:proofErr w:type="spellEnd"/>
            <w:r w:rsidRPr="0001436B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01436B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4"/>
                <w:szCs w:val="24"/>
              </w:rPr>
              <w:t>parlamentas</w:t>
            </w:r>
            <w:proofErr w:type="spellEnd"/>
            <w:r w:rsidRPr="0001436B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4"/>
                <w:szCs w:val="24"/>
              </w:rPr>
              <w:t> </w:t>
            </w:r>
            <w:r w:rsidRPr="0001436B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(</w:t>
            </w:r>
            <w:proofErr w:type="spellStart"/>
            <w:r w:rsidRPr="0001436B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valstybės</w:t>
            </w:r>
            <w:proofErr w:type="spellEnd"/>
            <w:r w:rsidRPr="0001436B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01436B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skolos</w:t>
            </w:r>
            <w:proofErr w:type="spellEnd"/>
            <w:r w:rsidRPr="0001436B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01436B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aptarnavimas</w:t>
            </w:r>
            <w:proofErr w:type="spellEnd"/>
            <w:r w:rsidRPr="0001436B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, </w:t>
            </w:r>
            <w:proofErr w:type="spellStart"/>
            <w:r w:rsidRPr="0001436B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mokestis</w:t>
            </w:r>
            <w:proofErr w:type="spellEnd"/>
            <w:r w:rsidRPr="0001436B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į ES </w:t>
            </w:r>
            <w:proofErr w:type="spellStart"/>
            <w:r w:rsidRPr="0001436B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biudžetą</w:t>
            </w:r>
            <w:proofErr w:type="spellEnd"/>
            <w:r w:rsidRPr="0001436B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, </w:t>
            </w:r>
            <w:proofErr w:type="spellStart"/>
            <w:r w:rsidRPr="0001436B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parlamento</w:t>
            </w:r>
            <w:proofErr w:type="spellEnd"/>
            <w:r w:rsidRPr="0001436B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01436B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išlaikymas</w:t>
            </w:r>
            <w:proofErr w:type="spellEnd"/>
            <w:r w:rsidRPr="0001436B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01436B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ir</w:t>
            </w:r>
            <w:proofErr w:type="spellEnd"/>
            <w:r w:rsidRPr="0001436B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01436B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teisėjų</w:t>
            </w:r>
            <w:proofErr w:type="spellEnd"/>
            <w:r w:rsidRPr="0001436B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 xml:space="preserve"> </w:t>
            </w:r>
            <w:proofErr w:type="spellStart"/>
            <w:r w:rsidRPr="0001436B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algos</w:t>
            </w:r>
            <w:proofErr w:type="spellEnd"/>
            <w:r w:rsidRPr="0001436B"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36B" w:rsidRPr="0001436B" w:rsidRDefault="0001436B" w:rsidP="00014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r w:rsidRPr="0001436B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4"/>
                <w:szCs w:val="24"/>
              </w:rPr>
              <w:t>15,9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436B" w:rsidRPr="0001436B" w:rsidRDefault="0001436B" w:rsidP="00014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</w:rPr>
            </w:pPr>
            <w:r w:rsidRPr="0001436B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4"/>
                <w:szCs w:val="24"/>
              </w:rPr>
              <w:t> </w:t>
            </w:r>
          </w:p>
        </w:tc>
      </w:tr>
    </w:tbl>
    <w:p w:rsidR="0001436B" w:rsidRPr="0001436B" w:rsidRDefault="0001436B" w:rsidP="000143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</w:rPr>
      </w:pPr>
      <w:proofErr w:type="spellStart"/>
      <w:proofErr w:type="gram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Priešingai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nei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2025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metų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priešrinkiminis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biudžetas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, 2026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metų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biudžetas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orientuotas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į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ateitį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,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siekiant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užtikrinti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darbo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vietas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,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gerovę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ir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stabilumą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,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palankus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verslui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.</w:t>
      </w:r>
      <w:proofErr w:type="gram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proofErr w:type="gram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Vyriausybė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prioritetą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teikia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įvairioms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priemonėms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,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skirtoms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skatinti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ekonomikos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augimą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ir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investicijas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į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verslą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,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bei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didelėms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kapitalo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investicijoms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į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naują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infrastruktūrą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.</w:t>
      </w:r>
      <w:proofErr w:type="gram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Kitų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metų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biudžetas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nebebus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toks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socialiai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dosnus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,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nes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atsisakyta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trejus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metus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iš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eilės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mokėtų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„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vienkartinių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“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išmokų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,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kompensuojančių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pragyvenimo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išlaidų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augimą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,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taip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pat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išmokų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vaikams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padvigubinimo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.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Prognozuojama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,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kad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darbo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užmokesčio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augimas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bus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apie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4 proc.,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tuo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tarpu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infliacija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sieks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tik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apie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2 proc.,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taigi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po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pragyvenimo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kainų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šoko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2022-2023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metais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,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gerokai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viršijusio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atlyginimų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augimą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,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situacija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normalizavosi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.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Nors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minimalus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valandinis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darbo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užmokestis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didinamas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iki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14,15 EUR (+0,65 EUR),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taip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pat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taikoma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nemažai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socialinės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paramos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priemonių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pažeidžiamoms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grupėms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,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realios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disponuojamos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pajamos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mažiausias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pajamas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gaunančių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gyventojų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sumažės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2 proc., o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dideles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pajamas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gaunančių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gyventojų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0,3 proc.,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bendras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realių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disponuojamų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pajamų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smukimas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turėtų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būti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apie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1,2 proc.  </w:t>
      </w:r>
    </w:p>
    <w:p w:rsidR="0001436B" w:rsidRPr="0001436B" w:rsidRDefault="0001436B" w:rsidP="000143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</w:rPr>
      </w:pPr>
      <w:proofErr w:type="spellStart"/>
      <w:r w:rsidRPr="0001436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</w:rPr>
        <w:t>Bendras</w:t>
      </w:r>
      <w:proofErr w:type="spellEnd"/>
      <w:r w:rsidRPr="0001436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</w:rPr>
        <w:t>gynybos</w:t>
      </w:r>
      <w:proofErr w:type="spellEnd"/>
      <w:r w:rsidRPr="0001436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</w:rPr>
        <w:t>biudžetas</w:t>
      </w:r>
      <w:proofErr w:type="spellEnd"/>
      <w:r w:rsidRPr="0001436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</w:rPr>
        <w:t>sudarys</w:t>
      </w:r>
      <w:proofErr w:type="spellEnd"/>
      <w:r w:rsidRPr="0001436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</w:rPr>
        <w:t xml:space="preserve"> 1</w:t>
      </w:r>
      <w:proofErr w:type="gramStart"/>
      <w:r w:rsidRPr="0001436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</w:rPr>
        <w:t>,49</w:t>
      </w:r>
      <w:proofErr w:type="gramEnd"/>
      <w:r w:rsidRPr="0001436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</w:rPr>
        <w:t>mlrd</w:t>
      </w:r>
      <w:proofErr w:type="spellEnd"/>
      <w:r w:rsidRPr="0001436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</w:rPr>
        <w:t xml:space="preserve">. </w:t>
      </w:r>
      <w:proofErr w:type="spellStart"/>
      <w:proofErr w:type="gramStart"/>
      <w:r w:rsidRPr="0001436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</w:rPr>
        <w:t>eurų</w:t>
      </w:r>
      <w:proofErr w:type="spellEnd"/>
      <w:proofErr w:type="gramEnd"/>
      <w:r w:rsidRPr="0001436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</w:rPr>
        <w:t xml:space="preserve">, </w:t>
      </w:r>
      <w:proofErr w:type="spellStart"/>
      <w:r w:rsidRPr="0001436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</w:rPr>
        <w:t>t.y</w:t>
      </w:r>
      <w:proofErr w:type="spellEnd"/>
      <w:r w:rsidRPr="0001436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</w:rPr>
        <w:t xml:space="preserve">.  </w:t>
      </w:r>
      <w:proofErr w:type="gramStart"/>
      <w:r w:rsidRPr="0001436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</w:rPr>
        <w:t xml:space="preserve">11 proc. </w:t>
      </w:r>
      <w:proofErr w:type="spellStart"/>
      <w:r w:rsidRPr="0001436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</w:rPr>
        <w:t>daugiau</w:t>
      </w:r>
      <w:proofErr w:type="spellEnd"/>
      <w:r w:rsidRPr="0001436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</w:rPr>
        <w:t>nei</w:t>
      </w:r>
      <w:proofErr w:type="spellEnd"/>
      <w:r w:rsidRPr="0001436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</w:rPr>
        <w:t xml:space="preserve"> 2025 </w:t>
      </w:r>
      <w:proofErr w:type="spellStart"/>
      <w:r w:rsidRPr="0001436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</w:rPr>
        <w:t>metais</w:t>
      </w:r>
      <w:proofErr w:type="spellEnd"/>
      <w:r w:rsidRPr="0001436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</w:rPr>
        <w:t>.</w:t>
      </w:r>
      <w:proofErr w:type="gramEnd"/>
      <w:r w:rsidRPr="0001436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</w:rPr>
        <w:t> 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Planuojama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padidinti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karių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skaičių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400;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sukurti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50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naujų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civilinių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pareigybių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ir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įdarbinti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papildomus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70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valstybės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tarnautojus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dirbti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strateginės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svarbos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srityse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(</w:t>
      </w:r>
      <w:proofErr w:type="spellStart"/>
      <w:proofErr w:type="gram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pvz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.,</w:t>
      </w:r>
      <w:proofErr w:type="gram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kibernetiniame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saugume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).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Taip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pat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planuojamos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kapitalinės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investicijos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: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karinių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radarų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programos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plėtra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,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modernios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programinės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įrangos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radijo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sistemos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įsigijimas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;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naujos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bendrosios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tarnybos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šarvuotės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sistemos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diegimas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;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šarvuotų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personalo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transporto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priemonių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atnaujinimas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;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tolesnis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karinių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įrenginių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modernizavimas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ir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renovacija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.</w:t>
      </w:r>
    </w:p>
    <w:p w:rsidR="0001436B" w:rsidRPr="0001436B" w:rsidRDefault="0001436B" w:rsidP="000143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</w:rPr>
      </w:pPr>
      <w:proofErr w:type="spellStart"/>
      <w:r w:rsidRPr="0001436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</w:rPr>
        <w:lastRenderedPageBreak/>
        <w:t>Užsienio</w:t>
      </w:r>
      <w:proofErr w:type="spellEnd"/>
      <w:r w:rsidRPr="0001436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</w:rPr>
        <w:t>reikalų</w:t>
      </w:r>
      <w:proofErr w:type="spellEnd"/>
      <w:r w:rsidRPr="0001436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</w:rPr>
        <w:t>ir</w:t>
      </w:r>
      <w:proofErr w:type="spellEnd"/>
      <w:r w:rsidRPr="0001436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</w:rPr>
        <w:t>prekybos</w:t>
      </w:r>
      <w:proofErr w:type="spellEnd"/>
      <w:r w:rsidRPr="0001436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</w:rPr>
        <w:t>departamentui</w:t>
      </w:r>
      <w:proofErr w:type="spellEnd"/>
      <w:r w:rsidRPr="0001436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</w:rPr>
        <w:t xml:space="preserve"> (</w:t>
      </w:r>
      <w:proofErr w:type="spellStart"/>
      <w:r w:rsidRPr="0001436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</w:rPr>
        <w:t>ministerijai</w:t>
      </w:r>
      <w:proofErr w:type="spellEnd"/>
      <w:r w:rsidRPr="0001436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</w:rPr>
        <w:t xml:space="preserve">) </w:t>
      </w:r>
      <w:proofErr w:type="spellStart"/>
      <w:r w:rsidRPr="0001436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</w:rPr>
        <w:t>skiriama</w:t>
      </w:r>
      <w:proofErr w:type="spellEnd"/>
      <w:r w:rsidRPr="0001436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</w:rPr>
        <w:t xml:space="preserve"> 1</w:t>
      </w:r>
      <w:proofErr w:type="gramStart"/>
      <w:r w:rsidRPr="0001436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</w:rPr>
        <w:t>,3</w:t>
      </w:r>
      <w:proofErr w:type="gramEnd"/>
      <w:r w:rsidRPr="0001436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</w:rPr>
        <w:t>mlrd</w:t>
      </w:r>
      <w:proofErr w:type="spellEnd"/>
      <w:r w:rsidRPr="0001436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</w:rPr>
        <w:t xml:space="preserve">. </w:t>
      </w:r>
      <w:proofErr w:type="spellStart"/>
      <w:proofErr w:type="gramStart"/>
      <w:r w:rsidRPr="0001436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</w:rPr>
        <w:t>eurų</w:t>
      </w:r>
      <w:proofErr w:type="spellEnd"/>
      <w:proofErr w:type="gramEnd"/>
      <w:r w:rsidRPr="0001436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</w:rPr>
        <w:t>:</w:t>
      </w:r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 bus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atidarytos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3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naujos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ambasados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(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Moldovoje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,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Serbijoje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bei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Bosnijoje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ir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Hercegovinoje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)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ir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2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konsulatai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(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Malagoje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ir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Melburne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) -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taigi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Airijos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atstovybių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skaičius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kitais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metais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pasieks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107; 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oficiali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vystymosi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pagalbą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bus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padidinta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30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mln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. </w:t>
      </w:r>
      <w:proofErr w:type="spellStart"/>
      <w:proofErr w:type="gram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eurų</w:t>
      </w:r>
      <w:proofErr w:type="spellEnd"/>
      <w:proofErr w:type="gram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; 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skirti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ištekliai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Vyriausybės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veiksmų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plano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dėl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rinkos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diversifikavimo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Airijos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eksportui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įgyvendinti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.</w:t>
      </w:r>
    </w:p>
    <w:p w:rsidR="0001436B" w:rsidRPr="0001436B" w:rsidRDefault="0001436B" w:rsidP="000143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</w:rPr>
      </w:pPr>
      <w:proofErr w:type="spellStart"/>
      <w:proofErr w:type="gram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Ekonominių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ir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socialinių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tyrimų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instituto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ESRI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ekspertai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Airijos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ekonominę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situaciją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vertina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kaip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stabilią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,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nežiūrint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globalaus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neapibrėžtumo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.</w:t>
      </w:r>
      <w:proofErr w:type="gram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Vis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tik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kai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kuriuos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biudžete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numatytus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tikslus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gali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būti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sudėtinga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įgyvendinti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: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esant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labai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mažam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nedarbo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lygiui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bus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iššūkis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užpildyti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numatytas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papildomas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įsteigti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darbo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vietas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;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būsto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statybų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ir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renovacijos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bei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infrastruktūros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plėtrai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taip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pat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kels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iššūkių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darbo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jėgos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trūkumas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ir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ypač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išaugęs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atlyginimų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lygis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statybos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sektoriaus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 xml:space="preserve"> </w:t>
      </w:r>
      <w:proofErr w:type="spellStart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darbuotojams</w:t>
      </w:r>
      <w:proofErr w:type="spellEnd"/>
      <w:r w:rsidRPr="0001436B">
        <w:rPr>
          <w:rFonts w:ascii="Arial" w:eastAsia="Times New Roman" w:hAnsi="Arial" w:cs="Arial"/>
          <w:color w:val="222222"/>
          <w:kern w:val="0"/>
          <w:sz w:val="24"/>
          <w:szCs w:val="24"/>
        </w:rPr>
        <w:t>.</w:t>
      </w:r>
    </w:p>
    <w:p w:rsidR="005B2C32" w:rsidRDefault="005B2C32"/>
    <w:sectPr w:rsidR="005B2C32" w:rsidSect="005B2C3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3480B"/>
    <w:multiLevelType w:val="multilevel"/>
    <w:tmpl w:val="1924F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DAE7918"/>
    <w:multiLevelType w:val="multilevel"/>
    <w:tmpl w:val="518AA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CF43A74"/>
    <w:multiLevelType w:val="multilevel"/>
    <w:tmpl w:val="86260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E987C40"/>
    <w:multiLevelType w:val="multilevel"/>
    <w:tmpl w:val="E6D41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FD52017"/>
    <w:multiLevelType w:val="multilevel"/>
    <w:tmpl w:val="A94A1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01436B"/>
    <w:rsid w:val="0001436B"/>
    <w:rsid w:val="005B2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C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1436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8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ie/en/department-of-finance/campaigns/budg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908</Words>
  <Characters>5182</Characters>
  <Application>Microsoft Office Word</Application>
  <DocSecurity>0</DocSecurity>
  <Lines>43</Lines>
  <Paragraphs>12</Paragraphs>
  <ScaleCrop>false</ScaleCrop>
  <Company/>
  <LinksUpToDate>false</LinksUpToDate>
  <CharactersWithSpaces>6078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Lena</cp:lastModifiedBy>
  <cp:revision>1</cp:revision>
  <dcterms:created xsi:type="dcterms:W3CDTF">2025-11-03T07:36:00Z</dcterms:created>
  <dcterms:modified xsi:type="dcterms:W3CDTF">2025-11-03T07:36:00Z</dcterms:modified>
</cp:coreProperties>
</file>