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77777777" w:rsidR="00D22BFD" w:rsidRPr="00640017" w:rsidRDefault="007B1767" w:rsidP="002A484B">
      <w:pPr>
        <w:spacing w:after="0" w:line="240" w:lineRule="auto"/>
        <w:jc w:val="center"/>
        <w:rPr>
          <w:rFonts w:ascii="Times New Roman" w:eastAsia="Times New Roman" w:hAnsi="Times New Roman"/>
          <w:b/>
        </w:rPr>
      </w:pPr>
      <w:r w:rsidRPr="00640017">
        <w:rPr>
          <w:rFonts w:ascii="Times New Roman" w:eastAsia="Times New Roman" w:hAnsi="Times New Roman"/>
          <w:b/>
        </w:rPr>
        <w:t>LIETUVOS RESPUBLIKOS AMBASADA PRANCŪZIJOS RESPUBLIKOJE</w:t>
      </w:r>
    </w:p>
    <w:p w14:paraId="19E96305" w14:textId="77777777" w:rsidR="00D22BFD" w:rsidRPr="00640017" w:rsidRDefault="007B1767" w:rsidP="00092B06">
      <w:pPr>
        <w:spacing w:after="0" w:line="240" w:lineRule="auto"/>
        <w:jc w:val="center"/>
        <w:rPr>
          <w:rFonts w:ascii="Times New Roman" w:eastAsia="Times New Roman" w:hAnsi="Times New Roman"/>
        </w:rPr>
      </w:pPr>
      <w:r w:rsidRPr="00640017">
        <w:rPr>
          <w:rFonts w:ascii="Times New Roman" w:eastAsia="Times New Roman" w:hAnsi="Times New Roman"/>
        </w:rPr>
        <w:t>__________________________________________________________</w:t>
      </w:r>
    </w:p>
    <w:p w14:paraId="7D11F5B2" w14:textId="77777777" w:rsidR="00D22BFD" w:rsidRPr="00640017" w:rsidRDefault="007B1767" w:rsidP="00092B06">
      <w:pPr>
        <w:spacing w:before="120"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1BF1B135" w14:textId="77777777" w:rsidR="00D22BFD" w:rsidRPr="00640017" w:rsidRDefault="00D22BFD" w:rsidP="002A484B">
      <w:pPr>
        <w:spacing w:after="0" w:line="240" w:lineRule="auto"/>
        <w:rPr>
          <w:rFonts w:ascii="Times New Roman" w:eastAsia="Times New Roman" w:hAnsi="Times New Roman"/>
          <w:b/>
        </w:rPr>
      </w:pPr>
    </w:p>
    <w:p w14:paraId="22280B95" w14:textId="1B28D65B" w:rsidR="00F26715" w:rsidRDefault="00962C19" w:rsidP="002A484B">
      <w:pPr>
        <w:spacing w:after="0" w:line="240" w:lineRule="auto"/>
        <w:jc w:val="center"/>
        <w:rPr>
          <w:rFonts w:ascii="Times New Roman" w:eastAsia="Times New Roman" w:hAnsi="Times New Roman"/>
        </w:rPr>
      </w:pPr>
      <w:r>
        <w:rPr>
          <w:rFonts w:ascii="Times New Roman" w:eastAsia="Times New Roman" w:hAnsi="Times New Roman"/>
        </w:rPr>
        <w:t>2025 m. rugsėjo 30 d.</w:t>
      </w:r>
    </w:p>
    <w:p w14:paraId="43121BFA" w14:textId="77777777" w:rsidR="00D22BFD" w:rsidRPr="00640017" w:rsidRDefault="00D22BFD" w:rsidP="002A484B">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003118" w14:paraId="00B16FF5" w14:textId="77777777" w:rsidTr="002A484B">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003118" w:rsidRDefault="007B1767" w:rsidP="002A484B">
            <w:pPr>
              <w:pStyle w:val="Heading1"/>
              <w:spacing w:before="80" w:after="40" w:line="240" w:lineRule="auto"/>
              <w:rPr>
                <w:rFonts w:ascii="Times New Roman" w:hAnsi="Times New Roman" w:cs="Times New Roman"/>
                <w:color w:val="000000"/>
                <w:sz w:val="22"/>
                <w:szCs w:val="22"/>
                <w:lang w:val="lt-LT"/>
              </w:rPr>
            </w:pPr>
            <w:r w:rsidRPr="00003118">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003118" w:rsidRDefault="007B1767" w:rsidP="002A484B">
            <w:pPr>
              <w:pStyle w:val="Heading1"/>
              <w:spacing w:before="80" w:after="40" w:line="240" w:lineRule="auto"/>
              <w:rPr>
                <w:rFonts w:ascii="Times New Roman" w:hAnsi="Times New Roman" w:cs="Times New Roman"/>
                <w:color w:val="000000"/>
                <w:sz w:val="22"/>
                <w:szCs w:val="22"/>
                <w:lang w:val="lt-LT"/>
              </w:rPr>
            </w:pPr>
            <w:r w:rsidRPr="00003118">
              <w:rPr>
                <w:rFonts w:ascii="Times New Roman" w:hAnsi="Times New Roman" w:cs="Times New Roman"/>
                <w:color w:val="000000"/>
                <w:sz w:val="22"/>
                <w:szCs w:val="22"/>
                <w:lang w:val="lt-LT"/>
              </w:rPr>
              <w:t>Pateikiamos informacijos apibendrinimas</w:t>
            </w:r>
          </w:p>
        </w:tc>
        <w:tc>
          <w:tcPr>
            <w:tcW w:w="2268" w:type="dxa"/>
            <w:tcMar>
              <w:top w:w="29" w:type="dxa"/>
              <w:left w:w="115" w:type="dxa"/>
              <w:bottom w:w="29" w:type="dxa"/>
              <w:right w:w="115" w:type="dxa"/>
            </w:tcMar>
            <w:vAlign w:val="center"/>
          </w:tcPr>
          <w:p w14:paraId="085311A2" w14:textId="77777777" w:rsidR="00D22BFD" w:rsidRPr="00003118" w:rsidRDefault="007B1767" w:rsidP="002A484B">
            <w:pPr>
              <w:pStyle w:val="Heading1"/>
              <w:spacing w:before="80" w:after="40" w:line="240" w:lineRule="auto"/>
              <w:rPr>
                <w:rFonts w:ascii="Times New Roman" w:hAnsi="Times New Roman" w:cs="Times New Roman"/>
                <w:color w:val="000000"/>
                <w:sz w:val="22"/>
                <w:szCs w:val="22"/>
                <w:lang w:val="lt-LT"/>
              </w:rPr>
            </w:pPr>
            <w:r w:rsidRPr="00003118">
              <w:rPr>
                <w:rFonts w:ascii="Times New Roman" w:hAnsi="Times New Roman" w:cs="Times New Roman"/>
                <w:color w:val="000000"/>
                <w:sz w:val="22"/>
                <w:szCs w:val="22"/>
                <w:lang w:val="lt-LT"/>
              </w:rPr>
              <w:t>Informacijos šaltinis</w:t>
            </w:r>
          </w:p>
        </w:tc>
        <w:tc>
          <w:tcPr>
            <w:tcW w:w="1436" w:type="dxa"/>
            <w:tcMar>
              <w:top w:w="29" w:type="dxa"/>
              <w:left w:w="115" w:type="dxa"/>
              <w:bottom w:w="29" w:type="dxa"/>
              <w:right w:w="115" w:type="dxa"/>
            </w:tcMar>
            <w:vAlign w:val="center"/>
          </w:tcPr>
          <w:p w14:paraId="75D82933" w14:textId="77777777" w:rsidR="00D22BFD" w:rsidRPr="00003118" w:rsidRDefault="007B1767" w:rsidP="002A484B">
            <w:pPr>
              <w:pStyle w:val="Heading1"/>
              <w:spacing w:before="80" w:after="40" w:line="240" w:lineRule="auto"/>
              <w:rPr>
                <w:rFonts w:ascii="Times New Roman" w:hAnsi="Times New Roman" w:cs="Times New Roman"/>
                <w:color w:val="000000"/>
                <w:sz w:val="22"/>
                <w:szCs w:val="22"/>
                <w:lang w:val="lt-LT"/>
              </w:rPr>
            </w:pPr>
            <w:r w:rsidRPr="00003118">
              <w:rPr>
                <w:rFonts w:ascii="Times New Roman" w:hAnsi="Times New Roman" w:cs="Times New Roman"/>
                <w:color w:val="000000"/>
                <w:sz w:val="22"/>
                <w:szCs w:val="22"/>
                <w:lang w:val="lt-LT"/>
              </w:rPr>
              <w:t>Pastabos</w:t>
            </w:r>
          </w:p>
        </w:tc>
      </w:tr>
      <w:tr w:rsidR="00D22BFD" w:rsidRPr="00003118" w14:paraId="2ED2552F" w14:textId="77777777" w:rsidTr="002A484B">
        <w:trPr>
          <w:trHeight w:val="216"/>
        </w:trPr>
        <w:tc>
          <w:tcPr>
            <w:tcW w:w="10945" w:type="dxa"/>
            <w:gridSpan w:val="5"/>
            <w:tcMar>
              <w:top w:w="29" w:type="dxa"/>
              <w:left w:w="115" w:type="dxa"/>
              <w:bottom w:w="29" w:type="dxa"/>
              <w:right w:w="115" w:type="dxa"/>
            </w:tcMar>
          </w:tcPr>
          <w:p w14:paraId="3220C92B" w14:textId="77777777" w:rsidR="00D22BFD" w:rsidRPr="00003118" w:rsidRDefault="007B1767" w:rsidP="002A484B">
            <w:pPr>
              <w:spacing w:before="80" w:after="40" w:line="240" w:lineRule="auto"/>
              <w:rPr>
                <w:rFonts w:ascii="Times New Roman" w:eastAsia="Times New Roman" w:hAnsi="Times New Roman"/>
                <w:b/>
              </w:rPr>
            </w:pPr>
            <w:r w:rsidRPr="00003118">
              <w:rPr>
                <w:rFonts w:ascii="Times New Roman" w:eastAsia="Times New Roman" w:hAnsi="Times New Roman"/>
                <w:b/>
              </w:rPr>
              <w:t>Lietuvos eksportuotojams aktuali informacija</w:t>
            </w:r>
          </w:p>
        </w:tc>
      </w:tr>
      <w:tr w:rsidR="00BE67BC" w:rsidRPr="00003118" w14:paraId="62D37F8C" w14:textId="77777777" w:rsidTr="002A484B">
        <w:trPr>
          <w:gridAfter w:val="1"/>
          <w:wAfter w:w="11" w:type="dxa"/>
          <w:trHeight w:val="326"/>
        </w:trPr>
        <w:tc>
          <w:tcPr>
            <w:tcW w:w="1418" w:type="dxa"/>
            <w:tcMar>
              <w:top w:w="29" w:type="dxa"/>
              <w:left w:w="115" w:type="dxa"/>
              <w:bottom w:w="29" w:type="dxa"/>
              <w:right w:w="115" w:type="dxa"/>
            </w:tcMar>
          </w:tcPr>
          <w:p w14:paraId="561AB3E4" w14:textId="6F13D89E" w:rsidR="00BE67BC" w:rsidRPr="00003118" w:rsidRDefault="00EB02C2" w:rsidP="002A484B">
            <w:pPr>
              <w:spacing w:before="80" w:after="40" w:line="240" w:lineRule="auto"/>
              <w:rPr>
                <w:rFonts w:ascii="Times New Roman" w:eastAsia="Times New Roman" w:hAnsi="Times New Roman"/>
              </w:rPr>
            </w:pPr>
            <w:r w:rsidRPr="00003118">
              <w:rPr>
                <w:rFonts w:ascii="Times New Roman" w:eastAsia="Times New Roman" w:hAnsi="Times New Roman"/>
              </w:rPr>
              <w:t>2025-09-30</w:t>
            </w:r>
          </w:p>
        </w:tc>
        <w:tc>
          <w:tcPr>
            <w:tcW w:w="5812" w:type="dxa"/>
            <w:tcMar>
              <w:top w:w="29" w:type="dxa"/>
              <w:left w:w="115" w:type="dxa"/>
              <w:bottom w:w="29" w:type="dxa"/>
              <w:right w:w="115" w:type="dxa"/>
            </w:tcMar>
          </w:tcPr>
          <w:p w14:paraId="7BECB55C" w14:textId="77777777" w:rsidR="00BE67BC" w:rsidRPr="00003118" w:rsidRDefault="009754BB"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 xml:space="preserve">Nepaisant mažos infliacijos, namų ūkių išlaidos prekėms </w:t>
            </w:r>
            <w:proofErr w:type="spellStart"/>
            <w:r w:rsidRPr="00003118">
              <w:rPr>
                <w:rFonts w:ascii="Times New Roman" w:eastAsia="Times New Roman" w:hAnsi="Times New Roman"/>
                <w:bCs/>
              </w:rPr>
              <w:t>stagnuoja</w:t>
            </w:r>
            <w:proofErr w:type="spellEnd"/>
            <w:r w:rsidRPr="00003118">
              <w:rPr>
                <w:rFonts w:ascii="Times New Roman" w:eastAsia="Times New Roman" w:hAnsi="Times New Roman"/>
                <w:bCs/>
              </w:rPr>
              <w:t xml:space="preserve">. Pragyvenimo stokos problema išlieka pagrindiniu prancūzų rūpesčiu. </w:t>
            </w:r>
            <w:r w:rsidR="001D7C47" w:rsidRPr="00003118">
              <w:rPr>
                <w:rFonts w:ascii="Times New Roman" w:eastAsia="Times New Roman" w:hAnsi="Times New Roman"/>
                <w:bCs/>
              </w:rPr>
              <w:t xml:space="preserve">Sezoniškumas ir vasaros saulė nieko nepakeitė. Prancūzai sunkiai grįžta į parduotuves. Rugpjūčio mėnesį prekių vartojimas </w:t>
            </w:r>
            <w:proofErr w:type="spellStart"/>
            <w:r w:rsidR="001D7C47" w:rsidRPr="00003118">
              <w:rPr>
                <w:rFonts w:ascii="Times New Roman" w:eastAsia="Times New Roman" w:hAnsi="Times New Roman"/>
                <w:bCs/>
              </w:rPr>
              <w:t>stagnavo</w:t>
            </w:r>
            <w:proofErr w:type="spellEnd"/>
            <w:r w:rsidR="001D7C47" w:rsidRPr="00003118">
              <w:rPr>
                <w:rFonts w:ascii="Times New Roman" w:eastAsia="Times New Roman" w:hAnsi="Times New Roman"/>
                <w:bCs/>
              </w:rPr>
              <w:t xml:space="preserve"> – INSEE duomenimis, jis augo kukliai, tik 0,1 %, nors liepą sumažėjo 0,6 %. Nors infliacija Prancūzijoje rugsėjo mėnesį, palyginti su tuo pačiu laikotarpiu praėjusiais metais, sumažėjo iki 1,2 % – tai yra mažiau nei kitose euro zonos šalyse, kur vidurkis yra artimesnis 2 %, – šis pagerėjimas vis dar nevirto namų ūkių pirkimų atsigavimu. Taigi nepaisant to, kad perkamosios galios padidėjimas buvo didesnis nei kitose šalyse, situacija išlieka „paradoksali“.</w:t>
            </w:r>
          </w:p>
          <w:p w14:paraId="22DA768E" w14:textId="77777777" w:rsidR="00273F61" w:rsidRPr="00003118" w:rsidRDefault="00273F61"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 xml:space="preserve">„Nuo infliacijos krizės prekių vartojimas nuolat mažėjo“, – pažymi </w:t>
            </w:r>
            <w:proofErr w:type="spellStart"/>
            <w:r w:rsidRPr="00003118">
              <w:rPr>
                <w:rFonts w:ascii="Times New Roman" w:eastAsia="Times New Roman" w:hAnsi="Times New Roman"/>
                <w:bCs/>
              </w:rPr>
              <w:t>Stéphane'as</w:t>
            </w:r>
            <w:proofErr w:type="spellEnd"/>
            <w:r w:rsidRPr="00003118">
              <w:rPr>
                <w:rFonts w:ascii="Times New Roman" w:eastAsia="Times New Roman" w:hAnsi="Times New Roman"/>
                <w:bCs/>
              </w:rPr>
              <w:t xml:space="preserve"> </w:t>
            </w:r>
            <w:proofErr w:type="spellStart"/>
            <w:r w:rsidRPr="00003118">
              <w:rPr>
                <w:rFonts w:ascii="Times New Roman" w:eastAsia="Times New Roman" w:hAnsi="Times New Roman"/>
                <w:bCs/>
              </w:rPr>
              <w:t>Colliacas</w:t>
            </w:r>
            <w:proofErr w:type="spellEnd"/>
            <w:r w:rsidRPr="00003118">
              <w:rPr>
                <w:rFonts w:ascii="Times New Roman" w:eastAsia="Times New Roman" w:hAnsi="Times New Roman"/>
                <w:bCs/>
              </w:rPr>
              <w:t xml:space="preserve">, „BNP </w:t>
            </w:r>
            <w:proofErr w:type="spellStart"/>
            <w:r w:rsidRPr="00003118">
              <w:rPr>
                <w:rFonts w:ascii="Times New Roman" w:eastAsia="Times New Roman" w:hAnsi="Times New Roman"/>
                <w:bCs/>
              </w:rPr>
              <w:t>Paribas</w:t>
            </w:r>
            <w:proofErr w:type="spellEnd"/>
            <w:r w:rsidRPr="00003118">
              <w:rPr>
                <w:rFonts w:ascii="Times New Roman" w:eastAsia="Times New Roman" w:hAnsi="Times New Roman"/>
                <w:bCs/>
              </w:rPr>
              <w:t>“ ekonomistas. Tačiau vertinama, kad paslaugų pirkimas sušvelnina smūgį. „Perkame už geriausią kainą ir ribojame savo maisto bei drabužių biudžetą, kad galėtume pasilepinti kitomis p</w:t>
            </w:r>
            <w:r w:rsidR="00DA341C" w:rsidRPr="00003118">
              <w:rPr>
                <w:rFonts w:ascii="Times New Roman" w:eastAsia="Times New Roman" w:hAnsi="Times New Roman"/>
                <w:bCs/>
              </w:rPr>
              <w:t>aslaugomis</w:t>
            </w:r>
            <w:r w:rsidRPr="00003118">
              <w:rPr>
                <w:rFonts w:ascii="Times New Roman" w:eastAsia="Times New Roman" w:hAnsi="Times New Roman"/>
                <w:bCs/>
              </w:rPr>
              <w:t xml:space="preserve">, tokiomis kaip kelionės“, – komentuoja Myriam </w:t>
            </w:r>
            <w:proofErr w:type="spellStart"/>
            <w:r w:rsidRPr="00003118">
              <w:rPr>
                <w:rFonts w:ascii="Times New Roman" w:eastAsia="Times New Roman" w:hAnsi="Times New Roman"/>
                <w:bCs/>
              </w:rPr>
              <w:t>Dassa</w:t>
            </w:r>
            <w:proofErr w:type="spellEnd"/>
            <w:r w:rsidRPr="00003118">
              <w:rPr>
                <w:rFonts w:ascii="Times New Roman" w:eastAsia="Times New Roman" w:hAnsi="Times New Roman"/>
                <w:bCs/>
              </w:rPr>
              <w:t>, „BPCE Group“ skaitmeninio ir mokėjimų barometro direktorė. Pastarasis tyrimas pagrįstas nuasmenintais duomenimis iš daugiau nei 20 milijonų banko kortelių. Šiais metais išlaidos kelionėms, restoranams ir kultūriniams renginiams vėl gali padidėti apie 1,5 %.</w:t>
            </w:r>
          </w:p>
          <w:p w14:paraId="52D863B4" w14:textId="77777777" w:rsidR="0085470D" w:rsidRPr="00003118" w:rsidRDefault="0085470D"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 xml:space="preserve">Tačiau apskritai, remiantis Prancūzijos banko duomenimis, prekių ir paslaugų vartojimas 2025 m. turėtų išaugti vos 0,7 %. 2026 m. realaus pagerėjimo greičiausiai nebus, nes, kaip ir 2024 m., numatomas tik 1 % prieaugis. Kadangi vartojimas Prancūzijoje sudaro daugiau nei pusę BVP, vangus vartojimas nėra naudingas naujajam ministrui pirmininkui </w:t>
            </w:r>
            <w:proofErr w:type="spellStart"/>
            <w:r w:rsidRPr="00003118">
              <w:rPr>
                <w:rFonts w:ascii="Times New Roman" w:eastAsia="Times New Roman" w:hAnsi="Times New Roman"/>
                <w:bCs/>
              </w:rPr>
              <w:t>Sébastien</w:t>
            </w:r>
            <w:proofErr w:type="spellEnd"/>
            <w:r w:rsidRPr="00003118">
              <w:rPr>
                <w:rFonts w:ascii="Times New Roman" w:eastAsia="Times New Roman" w:hAnsi="Times New Roman"/>
                <w:bCs/>
              </w:rPr>
              <w:t xml:space="preserve"> </w:t>
            </w:r>
            <w:proofErr w:type="spellStart"/>
            <w:r w:rsidRPr="00003118">
              <w:rPr>
                <w:rFonts w:ascii="Times New Roman" w:eastAsia="Times New Roman" w:hAnsi="Times New Roman"/>
                <w:bCs/>
              </w:rPr>
              <w:t>Lecornu</w:t>
            </w:r>
            <w:proofErr w:type="spellEnd"/>
            <w:r w:rsidRPr="00003118">
              <w:rPr>
                <w:rFonts w:ascii="Times New Roman" w:eastAsia="Times New Roman" w:hAnsi="Times New Roman"/>
                <w:bCs/>
              </w:rPr>
              <w:t>, nes tai menkina viltis, kad kitais metais ekonomika atsigaus. Socialistų partijai raginant imtis priemonių perkamajai galiai remti, pastaroji pareiškė esanti atvira mažesniems darbo jėgos mokesčiams.</w:t>
            </w:r>
          </w:p>
          <w:p w14:paraId="597422C8" w14:textId="34E95EA6" w:rsidR="00CA2270" w:rsidRPr="00003118" w:rsidRDefault="00CA2270"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Netikrumas, susijęs su politiniu nestabilumu, galimo mokesčių padidinimo idėja ir baimė dėl grįžimo į nedarbą: visa tai neabejotinai veikia elgesį ir skatina namų ūkius rinktis taupymo priemones. Jų taupymo norma pavasarį išaugo dar 0,3 procentinio punkto ir birželio pabaigoje pasiekė beveik 19 %. Ir niekas tarp ekonomistų nemano, kad ji greitai mažės.</w:t>
            </w:r>
          </w:p>
        </w:tc>
        <w:tc>
          <w:tcPr>
            <w:tcW w:w="2268" w:type="dxa"/>
            <w:tcMar>
              <w:top w:w="29" w:type="dxa"/>
              <w:left w:w="115" w:type="dxa"/>
              <w:bottom w:w="29" w:type="dxa"/>
              <w:right w:w="115" w:type="dxa"/>
            </w:tcMar>
          </w:tcPr>
          <w:p w14:paraId="6ACA2BE2" w14:textId="77777777" w:rsidR="00BE67BC" w:rsidRPr="00003118" w:rsidRDefault="00003118" w:rsidP="002A484B">
            <w:pPr>
              <w:spacing w:before="80" w:after="40" w:line="240" w:lineRule="auto"/>
              <w:rPr>
                <w:rFonts w:ascii="Times New Roman" w:hAnsi="Times New Roman"/>
              </w:rPr>
            </w:pPr>
            <w:hyperlink r:id="rId9" w:history="1">
              <w:r w:rsidRPr="00003118">
                <w:rPr>
                  <w:rFonts w:ascii="Times New Roman" w:hAnsi="Times New Roman"/>
                  <w:color w:val="0000FF"/>
                  <w:u w:val="single"/>
                </w:rPr>
                <w:t>« </w:t>
              </w:r>
              <w:proofErr w:type="spellStart"/>
              <w:r w:rsidRPr="00003118">
                <w:rPr>
                  <w:rFonts w:ascii="Times New Roman" w:hAnsi="Times New Roman"/>
                  <w:color w:val="0000FF"/>
                  <w:u w:val="single"/>
                </w:rPr>
                <w:t>C'est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peut-être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nouvelle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norme</w:t>
              </w:r>
              <w:proofErr w:type="spellEnd"/>
              <w:r w:rsidRPr="00003118">
                <w:rPr>
                  <w:rFonts w:ascii="Times New Roman" w:hAnsi="Times New Roman"/>
                  <w:color w:val="0000FF"/>
                  <w:u w:val="single"/>
                </w:rPr>
                <w:t xml:space="preserve"> » : </w:t>
              </w:r>
              <w:proofErr w:type="spellStart"/>
              <w:r w:rsidRPr="00003118">
                <w:rPr>
                  <w:rFonts w:ascii="Times New Roman" w:hAnsi="Times New Roman"/>
                  <w:color w:val="0000FF"/>
                  <w:u w:val="single"/>
                </w:rPr>
                <w:t>pourquoi</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consommation</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des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ménages</w:t>
              </w:r>
              <w:proofErr w:type="spellEnd"/>
              <w:r w:rsidRPr="00003118">
                <w:rPr>
                  <w:rFonts w:ascii="Times New Roman" w:hAnsi="Times New Roman"/>
                  <w:color w:val="0000FF"/>
                  <w:u w:val="single"/>
                </w:rPr>
                <w:t xml:space="preserve"> ne </w:t>
              </w:r>
              <w:proofErr w:type="spellStart"/>
              <w:r w:rsidRPr="00003118">
                <w:rPr>
                  <w:rFonts w:ascii="Times New Roman" w:hAnsi="Times New Roman"/>
                  <w:color w:val="0000FF"/>
                  <w:u w:val="single"/>
                </w:rPr>
                <w:t>repart</w:t>
              </w:r>
              <w:proofErr w:type="spellEnd"/>
              <w:r w:rsidRPr="00003118">
                <w:rPr>
                  <w:rFonts w:ascii="Times New Roman" w:hAnsi="Times New Roman"/>
                  <w:color w:val="0000FF"/>
                  <w:u w:val="single"/>
                </w:rPr>
                <w:t xml:space="preserve"> pas </w:t>
              </w:r>
              <w:proofErr w:type="spellStart"/>
              <w:r w:rsidRPr="00003118">
                <w:rPr>
                  <w:rFonts w:ascii="Times New Roman" w:hAnsi="Times New Roman"/>
                  <w:color w:val="0000FF"/>
                  <w:u w:val="single"/>
                </w:rPr>
                <w:t>en</w:t>
              </w:r>
              <w:proofErr w:type="spellEnd"/>
              <w:r w:rsidRPr="00003118">
                <w:rPr>
                  <w:rFonts w:ascii="Times New Roman" w:hAnsi="Times New Roman"/>
                  <w:color w:val="0000FF"/>
                  <w:u w:val="single"/>
                </w:rPr>
                <w:t xml:space="preserve"> France | Les </w:t>
              </w:r>
              <w:proofErr w:type="spellStart"/>
              <w:r w:rsidRPr="00003118">
                <w:rPr>
                  <w:rFonts w:ascii="Times New Roman" w:hAnsi="Times New Roman"/>
                  <w:color w:val="0000FF"/>
                  <w:u w:val="single"/>
                </w:rPr>
                <w:t>Echos</w:t>
              </w:r>
              <w:proofErr w:type="spellEnd"/>
            </w:hyperlink>
          </w:p>
          <w:p w14:paraId="576738DB" w14:textId="5B3D8A64" w:rsidR="00003118" w:rsidRPr="00003118" w:rsidRDefault="00003118" w:rsidP="002A484B">
            <w:pPr>
              <w:spacing w:before="80" w:after="40" w:line="240" w:lineRule="auto"/>
              <w:rPr>
                <w:rFonts w:ascii="Times New Roman" w:eastAsia="Times New Roman" w:hAnsi="Times New Roman"/>
              </w:rPr>
            </w:pPr>
          </w:p>
        </w:tc>
        <w:tc>
          <w:tcPr>
            <w:tcW w:w="1436" w:type="dxa"/>
            <w:tcMar>
              <w:top w:w="29" w:type="dxa"/>
              <w:left w:w="115" w:type="dxa"/>
              <w:bottom w:w="29" w:type="dxa"/>
              <w:right w:w="115" w:type="dxa"/>
            </w:tcMar>
          </w:tcPr>
          <w:p w14:paraId="2DFD2079" w14:textId="671D2595" w:rsidR="00BE67BC" w:rsidRPr="00003118" w:rsidRDefault="00003118" w:rsidP="002A484B">
            <w:pPr>
              <w:pBdr>
                <w:top w:val="nil"/>
                <w:left w:val="nil"/>
                <w:bottom w:val="nil"/>
                <w:right w:val="nil"/>
                <w:between w:val="nil"/>
              </w:pBdr>
              <w:spacing w:before="80" w:after="40" w:line="240" w:lineRule="auto"/>
              <w:rPr>
                <w:rFonts w:ascii="Times New Roman" w:eastAsia="Times New Roman" w:hAnsi="Times New Roman"/>
              </w:rPr>
            </w:pPr>
            <w:r w:rsidRPr="00003118">
              <w:rPr>
                <w:rFonts w:ascii="Times New Roman" w:eastAsia="Times New Roman" w:hAnsi="Times New Roman"/>
              </w:rPr>
              <w:t>Namų ūkių v</w:t>
            </w:r>
            <w:r w:rsidR="00EB02C2" w:rsidRPr="00003118">
              <w:rPr>
                <w:rFonts w:ascii="Times New Roman" w:eastAsia="Times New Roman" w:hAnsi="Times New Roman"/>
              </w:rPr>
              <w:t xml:space="preserve">artojimas </w:t>
            </w:r>
            <w:proofErr w:type="spellStart"/>
            <w:r w:rsidR="00EB02C2" w:rsidRPr="00003118">
              <w:rPr>
                <w:rFonts w:ascii="Times New Roman" w:eastAsia="Times New Roman" w:hAnsi="Times New Roman"/>
              </w:rPr>
              <w:t>stagnuoja</w:t>
            </w:r>
            <w:proofErr w:type="spellEnd"/>
          </w:p>
        </w:tc>
      </w:tr>
      <w:tr w:rsidR="00F16AC8" w:rsidRPr="00003118" w14:paraId="7B818B43" w14:textId="77777777" w:rsidTr="002A484B">
        <w:trPr>
          <w:trHeight w:val="216"/>
        </w:trPr>
        <w:tc>
          <w:tcPr>
            <w:tcW w:w="10945" w:type="dxa"/>
            <w:gridSpan w:val="5"/>
            <w:tcMar>
              <w:top w:w="29" w:type="dxa"/>
              <w:left w:w="115" w:type="dxa"/>
              <w:bottom w:w="29" w:type="dxa"/>
              <w:right w:w="115" w:type="dxa"/>
            </w:tcMar>
          </w:tcPr>
          <w:p w14:paraId="66D10389" w14:textId="77777777" w:rsidR="00F16AC8" w:rsidRPr="00003118" w:rsidRDefault="00951998" w:rsidP="002A484B">
            <w:pPr>
              <w:spacing w:before="80" w:after="40" w:line="240" w:lineRule="auto"/>
              <w:rPr>
                <w:rFonts w:ascii="Times New Roman" w:eastAsia="Times New Roman" w:hAnsi="Times New Roman"/>
                <w:b/>
              </w:rPr>
            </w:pPr>
            <w:r w:rsidRPr="00003118">
              <w:rPr>
                <w:rFonts w:ascii="Times New Roman" w:eastAsia="Times New Roman" w:hAnsi="Times New Roman"/>
                <w:b/>
              </w:rPr>
              <w:t>Investicijoms pritraukti į Lietuvą aktuali informacija</w:t>
            </w:r>
          </w:p>
        </w:tc>
      </w:tr>
      <w:tr w:rsidR="007562F6" w:rsidRPr="00003118" w14:paraId="4D969155" w14:textId="77777777" w:rsidTr="002A484B">
        <w:trPr>
          <w:gridAfter w:val="1"/>
          <w:wAfter w:w="11" w:type="dxa"/>
          <w:trHeight w:val="216"/>
        </w:trPr>
        <w:tc>
          <w:tcPr>
            <w:tcW w:w="1418" w:type="dxa"/>
            <w:tcMar>
              <w:top w:w="29" w:type="dxa"/>
              <w:left w:w="115" w:type="dxa"/>
              <w:bottom w:w="29" w:type="dxa"/>
              <w:right w:w="115" w:type="dxa"/>
            </w:tcMar>
          </w:tcPr>
          <w:p w14:paraId="33C88A25" w14:textId="4541B8F9" w:rsidR="007562F6" w:rsidRPr="00003118" w:rsidRDefault="00311D75"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2025-09-22</w:t>
            </w:r>
          </w:p>
        </w:tc>
        <w:tc>
          <w:tcPr>
            <w:tcW w:w="5812" w:type="dxa"/>
            <w:tcMar>
              <w:top w:w="29" w:type="dxa"/>
              <w:left w:w="115" w:type="dxa"/>
              <w:bottom w:w="29" w:type="dxa"/>
              <w:right w:w="115" w:type="dxa"/>
            </w:tcMar>
          </w:tcPr>
          <w:p w14:paraId="27EC4856" w14:textId="77777777" w:rsidR="00671240" w:rsidRPr="00003118" w:rsidRDefault="00311D75"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rPr>
              <w:t>Laivybos bendrovė ant bėgių</w:t>
            </w:r>
            <w:r w:rsidRPr="00003118">
              <w:rPr>
                <w:rFonts w:ascii="Times New Roman" w:eastAsia="Times New Roman" w:hAnsi="Times New Roman"/>
                <w:b/>
                <w:bCs/>
              </w:rPr>
              <w:t>.</w:t>
            </w:r>
            <w:r w:rsidRPr="00003118">
              <w:rPr>
                <w:rFonts w:ascii="Times New Roman" w:eastAsia="Times New Roman" w:hAnsi="Times New Roman"/>
                <w:bCs/>
              </w:rPr>
              <w:t xml:space="preserve"> Prancūzijos jūrų transporto ir logistikos milžinė </w:t>
            </w:r>
            <w:r w:rsidRPr="00003118">
              <w:rPr>
                <w:rFonts w:ascii="Times New Roman" w:eastAsia="Times New Roman" w:hAnsi="Times New Roman"/>
                <w:b/>
                <w:bCs/>
              </w:rPr>
              <w:t>CMA CGM</w:t>
            </w:r>
            <w:r w:rsidRPr="00003118">
              <w:rPr>
                <w:rFonts w:ascii="Times New Roman" w:eastAsia="Times New Roman" w:hAnsi="Times New Roman"/>
                <w:bCs/>
              </w:rPr>
              <w:t xml:space="preserve"> pirmadienį, rugsėjo 22 d., </w:t>
            </w:r>
            <w:r w:rsidRPr="00003118">
              <w:rPr>
                <w:rFonts w:ascii="Times New Roman" w:eastAsia="Times New Roman" w:hAnsi="Times New Roman"/>
                <w:bCs/>
              </w:rPr>
              <w:lastRenderedPageBreak/>
              <w:t xml:space="preserve">paskelbė įsigyjanti didžiausią Jungtinės Karalystės geležinkelių krovinių vežėją – </w:t>
            </w:r>
            <w:proofErr w:type="spellStart"/>
            <w:r w:rsidRPr="00003118">
              <w:rPr>
                <w:rFonts w:ascii="Times New Roman" w:eastAsia="Times New Roman" w:hAnsi="Times New Roman"/>
                <w:b/>
                <w:bCs/>
              </w:rPr>
              <w:t>Freightliner</w:t>
            </w:r>
            <w:proofErr w:type="spellEnd"/>
            <w:r w:rsidRPr="00003118">
              <w:rPr>
                <w:rFonts w:ascii="Times New Roman" w:eastAsia="Times New Roman" w:hAnsi="Times New Roman"/>
                <w:b/>
                <w:bCs/>
              </w:rPr>
              <w:t xml:space="preserve"> UK </w:t>
            </w:r>
            <w:proofErr w:type="spellStart"/>
            <w:r w:rsidRPr="00003118">
              <w:rPr>
                <w:rFonts w:ascii="Times New Roman" w:eastAsia="Times New Roman" w:hAnsi="Times New Roman"/>
                <w:b/>
                <w:bCs/>
              </w:rPr>
              <w:t>Intermodal</w:t>
            </w:r>
            <w:proofErr w:type="spellEnd"/>
            <w:r w:rsidRPr="00003118">
              <w:rPr>
                <w:rFonts w:ascii="Times New Roman" w:eastAsia="Times New Roman" w:hAnsi="Times New Roman"/>
                <w:b/>
                <w:bCs/>
              </w:rPr>
              <w:t xml:space="preserve"> </w:t>
            </w:r>
            <w:proofErr w:type="spellStart"/>
            <w:r w:rsidRPr="00003118">
              <w:rPr>
                <w:rFonts w:ascii="Times New Roman" w:eastAsia="Times New Roman" w:hAnsi="Times New Roman"/>
                <w:b/>
                <w:bCs/>
              </w:rPr>
              <w:t>Logistics</w:t>
            </w:r>
            <w:proofErr w:type="spellEnd"/>
            <w:r w:rsidRPr="00003118">
              <w:rPr>
                <w:rFonts w:ascii="Times New Roman" w:eastAsia="Times New Roman" w:hAnsi="Times New Roman"/>
                <w:bCs/>
              </w:rPr>
              <w:t xml:space="preserve">, neatskleisdama sandorio sumos. Šiuo įsigijimu, kuris bus baigtas 2026 m. pradžioje, bendrovė tampa „svarbiu geležinkelių logistikos dalyviu Jungtinėje Karalystėje“ ir sustiprina savo pozicijas </w:t>
            </w:r>
            <w:proofErr w:type="spellStart"/>
            <w:r w:rsidRPr="00003118">
              <w:rPr>
                <w:rFonts w:ascii="Times New Roman" w:eastAsia="Times New Roman" w:hAnsi="Times New Roman"/>
                <w:bCs/>
              </w:rPr>
              <w:t>intermodaliniame</w:t>
            </w:r>
            <w:proofErr w:type="spellEnd"/>
            <w:r w:rsidRPr="00003118">
              <w:rPr>
                <w:rFonts w:ascii="Times New Roman" w:eastAsia="Times New Roman" w:hAnsi="Times New Roman"/>
                <w:bCs/>
              </w:rPr>
              <w:t xml:space="preserve"> transporte, teigiama pranešime spaudai.</w:t>
            </w:r>
          </w:p>
          <w:p w14:paraId="2F686A36" w14:textId="209F30E3" w:rsidR="00354E58" w:rsidRPr="00003118" w:rsidRDefault="00354E58"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CMA CGM grupė, trečias pagal dydį jūrų vežėjas pasaulyje, yra įsikūrusi Marselyje ir valdo daugiau nei 650 laivų flotilę. „</w:t>
            </w:r>
            <w:proofErr w:type="spellStart"/>
            <w:r w:rsidRPr="00003118">
              <w:rPr>
                <w:rFonts w:ascii="Times New Roman" w:eastAsia="Times New Roman" w:hAnsi="Times New Roman"/>
              </w:rPr>
              <w:t>Freightliner</w:t>
            </w:r>
            <w:proofErr w:type="spellEnd"/>
            <w:r w:rsidRPr="00003118">
              <w:rPr>
                <w:rFonts w:ascii="Times New Roman" w:eastAsia="Times New Roman" w:hAnsi="Times New Roman"/>
              </w:rPr>
              <w:t xml:space="preserve"> – vieno svarbiausių geležinkelio krovinių vežėjų – įsigijimas sustiprina mūsų </w:t>
            </w:r>
            <w:proofErr w:type="spellStart"/>
            <w:r w:rsidRPr="00003118">
              <w:rPr>
                <w:rFonts w:ascii="Times New Roman" w:eastAsia="Times New Roman" w:hAnsi="Times New Roman"/>
              </w:rPr>
              <w:t>intermodalinį</w:t>
            </w:r>
            <w:proofErr w:type="spellEnd"/>
            <w:r w:rsidRPr="00003118">
              <w:rPr>
                <w:rFonts w:ascii="Times New Roman" w:eastAsia="Times New Roman" w:hAnsi="Times New Roman"/>
              </w:rPr>
              <w:t xml:space="preserve"> buvimą Jungtinėje Karalystėje, kuri yra strategiškai svarbi rinka CMA CGM grupei. Tai leidžia mums dar veiksmingiau sujungti jūrą, geležinkelį ir kelių transportą“, – sakė grupės generalinis direktorius </w:t>
            </w:r>
            <w:proofErr w:type="spellStart"/>
            <w:r w:rsidRPr="00003118">
              <w:rPr>
                <w:rFonts w:ascii="Times New Roman" w:eastAsia="Times New Roman" w:hAnsi="Times New Roman"/>
                <w:i/>
                <w:iCs/>
              </w:rPr>
              <w:t>Rodolphe</w:t>
            </w:r>
            <w:proofErr w:type="spellEnd"/>
            <w:r w:rsidRPr="00003118">
              <w:rPr>
                <w:rFonts w:ascii="Times New Roman" w:eastAsia="Times New Roman" w:hAnsi="Times New Roman"/>
                <w:i/>
                <w:iCs/>
              </w:rPr>
              <w:t xml:space="preserve"> </w:t>
            </w:r>
            <w:proofErr w:type="spellStart"/>
            <w:r w:rsidRPr="00003118">
              <w:rPr>
                <w:rFonts w:ascii="Times New Roman" w:eastAsia="Times New Roman" w:hAnsi="Times New Roman"/>
                <w:i/>
                <w:iCs/>
              </w:rPr>
              <w:t>Saadé</w:t>
            </w:r>
            <w:proofErr w:type="spellEnd"/>
            <w:r w:rsidR="002A484B" w:rsidRPr="00003118">
              <w:rPr>
                <w:rFonts w:ascii="Times New Roman" w:eastAsia="Times New Roman" w:hAnsi="Times New Roman"/>
                <w:i/>
                <w:iCs/>
              </w:rPr>
              <w:t>.</w:t>
            </w:r>
          </w:p>
        </w:tc>
        <w:tc>
          <w:tcPr>
            <w:tcW w:w="2268" w:type="dxa"/>
            <w:tcMar>
              <w:top w:w="29" w:type="dxa"/>
              <w:left w:w="115" w:type="dxa"/>
              <w:bottom w:w="29" w:type="dxa"/>
              <w:right w:w="115" w:type="dxa"/>
            </w:tcMar>
          </w:tcPr>
          <w:p w14:paraId="53BF5901" w14:textId="1AE502B1" w:rsidR="007562F6" w:rsidRPr="00003118" w:rsidRDefault="00311D75" w:rsidP="002A484B">
            <w:pPr>
              <w:spacing w:before="80" w:after="40" w:line="240" w:lineRule="auto"/>
              <w:rPr>
                <w:rFonts w:ascii="Times New Roman" w:eastAsia="Times New Roman" w:hAnsi="Times New Roman"/>
              </w:rPr>
            </w:pPr>
            <w:hyperlink r:id="rId10" w:history="1">
              <w:proofErr w:type="spellStart"/>
              <w:r w:rsidRPr="00003118">
                <w:rPr>
                  <w:rStyle w:val="Hyperlink"/>
                  <w:rFonts w:ascii="Times New Roman" w:eastAsia="Times New Roman" w:hAnsi="Times New Roman"/>
                </w:rPr>
                <w:t>Leader</w:t>
              </w:r>
              <w:proofErr w:type="spellEnd"/>
              <w:r w:rsidRPr="00003118">
                <w:rPr>
                  <w:rStyle w:val="Hyperlink"/>
                  <w:rFonts w:ascii="Times New Roman" w:eastAsia="Times New Roman" w:hAnsi="Times New Roman"/>
                </w:rPr>
                <w:t xml:space="preserve"> du </w:t>
              </w:r>
              <w:proofErr w:type="spellStart"/>
              <w:r w:rsidRPr="00003118">
                <w:rPr>
                  <w:rStyle w:val="Hyperlink"/>
                  <w:rFonts w:ascii="Times New Roman" w:eastAsia="Times New Roman" w:hAnsi="Times New Roman"/>
                </w:rPr>
                <w:t>transport</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maritime</w:t>
              </w:r>
              <w:proofErr w:type="spellEnd"/>
              <w:r w:rsidRPr="00003118">
                <w:rPr>
                  <w:rStyle w:val="Hyperlink"/>
                  <w:rFonts w:ascii="Times New Roman" w:eastAsia="Times New Roman" w:hAnsi="Times New Roman"/>
                </w:rPr>
                <w:t xml:space="preserve">, CMA CGM </w:t>
              </w:r>
              <w:proofErr w:type="spellStart"/>
              <w:r w:rsidRPr="00003118">
                <w:rPr>
                  <w:rStyle w:val="Hyperlink"/>
                  <w:rFonts w:ascii="Times New Roman" w:eastAsia="Times New Roman" w:hAnsi="Times New Roman"/>
                </w:rPr>
                <w:lastRenderedPageBreak/>
                <w:t>acquiert</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le</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premier</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opérateur</w:t>
              </w:r>
              <w:proofErr w:type="spellEnd"/>
              <w:r w:rsidRPr="00003118">
                <w:rPr>
                  <w:rStyle w:val="Hyperlink"/>
                  <w:rFonts w:ascii="Times New Roman" w:eastAsia="Times New Roman" w:hAnsi="Times New Roman"/>
                </w:rPr>
                <w:t xml:space="preserve"> de </w:t>
              </w:r>
              <w:proofErr w:type="spellStart"/>
              <w:r w:rsidRPr="00003118">
                <w:rPr>
                  <w:rStyle w:val="Hyperlink"/>
                  <w:rFonts w:ascii="Times New Roman" w:eastAsia="Times New Roman" w:hAnsi="Times New Roman"/>
                </w:rPr>
                <w:t>fret</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ferroviaire</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britannique</w:t>
              </w:r>
              <w:proofErr w:type="spellEnd"/>
              <w:r w:rsidRPr="00003118">
                <w:rPr>
                  <w:rStyle w:val="Hyperlink"/>
                  <w:rFonts w:ascii="Times New Roman" w:eastAsia="Times New Roman" w:hAnsi="Times New Roman"/>
                </w:rPr>
                <w:t xml:space="preserve"> – </w:t>
              </w:r>
              <w:proofErr w:type="spellStart"/>
              <w:r w:rsidRPr="00003118">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6EC66ED3" w14:textId="40C0B7D4" w:rsidR="007562F6" w:rsidRPr="00003118" w:rsidRDefault="00311D75" w:rsidP="002A484B">
            <w:pPr>
              <w:spacing w:before="80" w:after="40" w:line="240" w:lineRule="auto"/>
              <w:rPr>
                <w:rFonts w:ascii="Times New Roman" w:hAnsi="Times New Roman"/>
              </w:rPr>
            </w:pPr>
            <w:r w:rsidRPr="00003118">
              <w:rPr>
                <w:rFonts w:ascii="Times New Roman" w:hAnsi="Times New Roman"/>
              </w:rPr>
              <w:lastRenderedPageBreak/>
              <w:t>Laivyb</w:t>
            </w:r>
            <w:r w:rsidR="00003118" w:rsidRPr="00003118">
              <w:rPr>
                <w:rFonts w:ascii="Times New Roman" w:hAnsi="Times New Roman"/>
              </w:rPr>
              <w:t>os sektorius</w:t>
            </w:r>
          </w:p>
        </w:tc>
      </w:tr>
      <w:tr w:rsidR="00671240" w:rsidRPr="00003118" w14:paraId="44284F26" w14:textId="77777777" w:rsidTr="002A484B">
        <w:trPr>
          <w:gridAfter w:val="1"/>
          <w:wAfter w:w="11" w:type="dxa"/>
          <w:trHeight w:val="216"/>
        </w:trPr>
        <w:tc>
          <w:tcPr>
            <w:tcW w:w="1418" w:type="dxa"/>
            <w:tcMar>
              <w:top w:w="29" w:type="dxa"/>
              <w:left w:w="115" w:type="dxa"/>
              <w:bottom w:w="29" w:type="dxa"/>
              <w:right w:w="115" w:type="dxa"/>
            </w:tcMar>
          </w:tcPr>
          <w:p w14:paraId="24524D50" w14:textId="2F77BCC9" w:rsidR="00671240" w:rsidRPr="00003118" w:rsidRDefault="006D4CF0" w:rsidP="002A484B">
            <w:pPr>
              <w:spacing w:before="80" w:after="40" w:line="240" w:lineRule="auto"/>
              <w:rPr>
                <w:rFonts w:ascii="Times New Roman" w:eastAsia="Times New Roman" w:hAnsi="Times New Roman"/>
              </w:rPr>
            </w:pPr>
            <w:r w:rsidRPr="00003118">
              <w:rPr>
                <w:rFonts w:ascii="Times New Roman" w:eastAsia="Times New Roman" w:hAnsi="Times New Roman"/>
              </w:rPr>
              <w:t>2025-09-30</w:t>
            </w:r>
          </w:p>
        </w:tc>
        <w:tc>
          <w:tcPr>
            <w:tcW w:w="5812" w:type="dxa"/>
            <w:tcMar>
              <w:top w:w="29" w:type="dxa"/>
              <w:left w:w="115" w:type="dxa"/>
              <w:bottom w:w="29" w:type="dxa"/>
              <w:right w:w="115" w:type="dxa"/>
            </w:tcMar>
          </w:tcPr>
          <w:p w14:paraId="1B1169E8" w14:textId="679A783B" w:rsidR="00005164" w:rsidRPr="00003118" w:rsidRDefault="0037350D"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 xml:space="preserve">Vyriausybė galimai svarsto padidinti „vienodo fiksuoto tarifo mokesčio“ nuo kapitalo pajamų tarifą. Ši priemonė leistų surinkti daugiau nei milijardą eurų, tačiau </w:t>
            </w:r>
            <w:proofErr w:type="spellStart"/>
            <w:r w:rsidRPr="00003118">
              <w:rPr>
                <w:rFonts w:ascii="Times New Roman" w:eastAsia="Times New Roman" w:hAnsi="Times New Roman"/>
                <w:bCs/>
              </w:rPr>
              <w:t>Emmanueliui</w:t>
            </w:r>
            <w:proofErr w:type="spellEnd"/>
            <w:r w:rsidRPr="00003118">
              <w:rPr>
                <w:rFonts w:ascii="Times New Roman" w:eastAsia="Times New Roman" w:hAnsi="Times New Roman"/>
                <w:bCs/>
              </w:rPr>
              <w:t xml:space="preserve"> </w:t>
            </w:r>
            <w:proofErr w:type="spellStart"/>
            <w:r w:rsidRPr="00003118">
              <w:rPr>
                <w:rFonts w:ascii="Times New Roman" w:eastAsia="Times New Roman" w:hAnsi="Times New Roman"/>
                <w:bCs/>
              </w:rPr>
              <w:t>Macronui</w:t>
            </w:r>
            <w:proofErr w:type="spellEnd"/>
            <w:r w:rsidRPr="00003118">
              <w:rPr>
                <w:rFonts w:ascii="Times New Roman" w:eastAsia="Times New Roman" w:hAnsi="Times New Roman"/>
                <w:bCs/>
              </w:rPr>
              <w:t xml:space="preserve"> tai reikštų išsižadėjimą</w:t>
            </w:r>
            <w:r w:rsidR="00005164" w:rsidRPr="00003118">
              <w:rPr>
                <w:rFonts w:ascii="Times New Roman" w:eastAsia="Times New Roman" w:hAnsi="Times New Roman"/>
                <w:bCs/>
              </w:rPr>
              <w:t xml:space="preserve"> savo pažadų.</w:t>
            </w:r>
          </w:p>
          <w:p w14:paraId="45FCA12C" w14:textId="2C036945" w:rsidR="00306246" w:rsidRPr="00003118" w:rsidRDefault="00005164"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 xml:space="preserve">Tai vienas iš vertės pasiūlymo politikos elementų, kurią </w:t>
            </w:r>
            <w:proofErr w:type="spellStart"/>
            <w:r w:rsidRPr="00003118">
              <w:rPr>
                <w:rFonts w:ascii="Times New Roman" w:eastAsia="Times New Roman" w:hAnsi="Times New Roman"/>
                <w:bCs/>
              </w:rPr>
              <w:t>Emmanuelis</w:t>
            </w:r>
            <w:proofErr w:type="spellEnd"/>
            <w:r w:rsidRPr="00003118">
              <w:rPr>
                <w:rFonts w:ascii="Times New Roman" w:eastAsia="Times New Roman" w:hAnsi="Times New Roman"/>
                <w:bCs/>
              </w:rPr>
              <w:t xml:space="preserve"> </w:t>
            </w:r>
            <w:proofErr w:type="spellStart"/>
            <w:r w:rsidRPr="00003118">
              <w:rPr>
                <w:rFonts w:ascii="Times New Roman" w:eastAsia="Times New Roman" w:hAnsi="Times New Roman"/>
                <w:bCs/>
              </w:rPr>
              <w:t>Macronas</w:t>
            </w:r>
            <w:proofErr w:type="spellEnd"/>
            <w:r w:rsidRPr="00003118">
              <w:rPr>
                <w:rFonts w:ascii="Times New Roman" w:eastAsia="Times New Roman" w:hAnsi="Times New Roman"/>
                <w:bCs/>
              </w:rPr>
              <w:t xml:space="preserve"> įgyvendin</w:t>
            </w:r>
            <w:r w:rsidR="00A50EDA" w:rsidRPr="00003118">
              <w:rPr>
                <w:rFonts w:ascii="Times New Roman" w:eastAsia="Times New Roman" w:hAnsi="Times New Roman"/>
                <w:bCs/>
              </w:rPr>
              <w:t>a</w:t>
            </w:r>
            <w:r w:rsidRPr="00003118">
              <w:rPr>
                <w:rFonts w:ascii="Times New Roman" w:eastAsia="Times New Roman" w:hAnsi="Times New Roman"/>
                <w:bCs/>
              </w:rPr>
              <w:t xml:space="preserve"> dar nuo 2017 m. kai atėjo į valdžią, siekdamas skatinti investicijas ir ekonomikos augimą</w:t>
            </w:r>
            <w:r w:rsidR="00A50EDA" w:rsidRPr="00003118">
              <w:rPr>
                <w:rFonts w:ascii="Times New Roman" w:eastAsia="Times New Roman" w:hAnsi="Times New Roman"/>
                <w:bCs/>
              </w:rPr>
              <w:t>, -</w:t>
            </w:r>
            <w:r w:rsidRPr="00003118">
              <w:rPr>
                <w:rFonts w:ascii="Times New Roman" w:eastAsia="Times New Roman" w:hAnsi="Times New Roman"/>
                <w:bCs/>
              </w:rPr>
              <w:t xml:space="preserve"> fiksuotas mokestis (arba vieningas fiksuoto tarifo mokestis) kapitalo pajamoms (dividendams, investicijoms, kapitalo prieaugiui ir kt.) jau beveik aštuonerius metus nustatytas vienodas 30 % tarifas. </w:t>
            </w:r>
            <w:r w:rsidR="00A50EDA" w:rsidRPr="00003118">
              <w:rPr>
                <w:rFonts w:ascii="Times New Roman" w:eastAsia="Times New Roman" w:hAnsi="Times New Roman"/>
                <w:bCs/>
              </w:rPr>
              <w:t xml:space="preserve">Kol kas </w:t>
            </w:r>
            <w:r w:rsidRPr="00003118">
              <w:rPr>
                <w:rFonts w:ascii="Times New Roman" w:eastAsia="Times New Roman" w:hAnsi="Times New Roman"/>
                <w:bCs/>
              </w:rPr>
              <w:t>atsisako</w:t>
            </w:r>
            <w:r w:rsidR="00A50EDA" w:rsidRPr="00003118">
              <w:rPr>
                <w:rFonts w:ascii="Times New Roman" w:eastAsia="Times New Roman" w:hAnsi="Times New Roman"/>
                <w:bCs/>
              </w:rPr>
              <w:t>ma</w:t>
            </w:r>
            <w:r w:rsidRPr="00003118">
              <w:rPr>
                <w:rFonts w:ascii="Times New Roman" w:eastAsia="Times New Roman" w:hAnsi="Times New Roman"/>
                <w:bCs/>
              </w:rPr>
              <w:t xml:space="preserve"> tai patvirtinti, </w:t>
            </w:r>
            <w:proofErr w:type="spellStart"/>
            <w:r w:rsidRPr="00003118">
              <w:rPr>
                <w:rFonts w:ascii="Times New Roman" w:eastAsia="Times New Roman" w:hAnsi="Times New Roman"/>
                <w:bCs/>
              </w:rPr>
              <w:t>nurod</w:t>
            </w:r>
            <w:r w:rsidR="00A50EDA" w:rsidRPr="00003118">
              <w:rPr>
                <w:rFonts w:ascii="Times New Roman" w:eastAsia="Times New Roman" w:hAnsi="Times New Roman"/>
                <w:bCs/>
              </w:rPr>
              <w:t>ants</w:t>
            </w:r>
            <w:proofErr w:type="spellEnd"/>
            <w:r w:rsidRPr="00003118">
              <w:rPr>
                <w:rFonts w:ascii="Times New Roman" w:eastAsia="Times New Roman" w:hAnsi="Times New Roman"/>
                <w:bCs/>
              </w:rPr>
              <w:t>, kad „niekas dar nenuspręsta“</w:t>
            </w:r>
            <w:r w:rsidR="00A50EDA" w:rsidRPr="00003118">
              <w:rPr>
                <w:rFonts w:ascii="Times New Roman" w:eastAsia="Times New Roman" w:hAnsi="Times New Roman"/>
                <w:bCs/>
              </w:rPr>
              <w:t>,</w:t>
            </w:r>
            <w:r w:rsidRPr="00003118">
              <w:rPr>
                <w:rFonts w:ascii="Times New Roman" w:eastAsia="Times New Roman" w:hAnsi="Times New Roman"/>
                <w:bCs/>
              </w:rPr>
              <w:t xml:space="preserve"> </w:t>
            </w:r>
            <w:r w:rsidR="00A50EDA" w:rsidRPr="00003118">
              <w:rPr>
                <w:rFonts w:ascii="Times New Roman" w:eastAsia="Times New Roman" w:hAnsi="Times New Roman"/>
                <w:bCs/>
              </w:rPr>
              <w:t>t</w:t>
            </w:r>
            <w:r w:rsidRPr="00003118">
              <w:rPr>
                <w:rFonts w:ascii="Times New Roman" w:eastAsia="Times New Roman" w:hAnsi="Times New Roman"/>
                <w:bCs/>
              </w:rPr>
              <w:t xml:space="preserve">ačiau vyriausybė netgi susisiekė su verslo </w:t>
            </w:r>
            <w:r w:rsidR="00A50EDA" w:rsidRPr="00003118">
              <w:rPr>
                <w:rFonts w:ascii="Times New Roman" w:eastAsia="Times New Roman" w:hAnsi="Times New Roman"/>
                <w:bCs/>
              </w:rPr>
              <w:t>atstovais</w:t>
            </w:r>
            <w:r w:rsidRPr="00003118">
              <w:rPr>
                <w:rFonts w:ascii="Times New Roman" w:eastAsia="Times New Roman" w:hAnsi="Times New Roman"/>
                <w:bCs/>
              </w:rPr>
              <w:t xml:space="preserve"> dėl galimo </w:t>
            </w:r>
            <w:r w:rsidR="00A50EDA" w:rsidRPr="00003118">
              <w:rPr>
                <w:rFonts w:ascii="Times New Roman" w:eastAsia="Times New Roman" w:hAnsi="Times New Roman"/>
                <w:bCs/>
              </w:rPr>
              <w:t xml:space="preserve">mokesčio </w:t>
            </w:r>
            <w:r w:rsidRPr="00003118">
              <w:rPr>
                <w:rFonts w:ascii="Times New Roman" w:eastAsia="Times New Roman" w:hAnsi="Times New Roman"/>
                <w:bCs/>
              </w:rPr>
              <w:t>padidinimo iki 36 %.</w:t>
            </w:r>
          </w:p>
          <w:p w14:paraId="1D3230D6" w14:textId="19EA3CE2" w:rsidR="007116A3" w:rsidRPr="00003118" w:rsidRDefault="00306246"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Visgi, šio mokesčio didinimas nėra nauja idėja. Kiekvienais metais finansų įstatymo projekto pataisose siūloma tai daryti. Praėjusiais metais „</w:t>
            </w:r>
            <w:proofErr w:type="spellStart"/>
            <w:r w:rsidRPr="00003118">
              <w:rPr>
                <w:rFonts w:ascii="Times New Roman" w:eastAsia="Times New Roman" w:hAnsi="Times New Roman"/>
                <w:bCs/>
              </w:rPr>
              <w:t>Modem</w:t>
            </w:r>
            <w:proofErr w:type="spellEnd"/>
            <w:r w:rsidRPr="00003118">
              <w:rPr>
                <w:rFonts w:ascii="Times New Roman" w:eastAsia="Times New Roman" w:hAnsi="Times New Roman"/>
                <w:bCs/>
              </w:rPr>
              <w:t xml:space="preserve">“ pataisa, kuria siūloma padidinti tarifą iki 33 %, netgi buvo balsuojama Nacionalinės Asamblėjos finansų komitete, o vėliau ir Senate, o </w:t>
            </w:r>
            <w:proofErr w:type="spellStart"/>
            <w:r w:rsidRPr="00003118">
              <w:rPr>
                <w:rFonts w:ascii="Times New Roman" w:eastAsia="Times New Roman" w:hAnsi="Times New Roman"/>
                <w:bCs/>
              </w:rPr>
              <w:t>Barnier</w:t>
            </w:r>
            <w:proofErr w:type="spellEnd"/>
            <w:r w:rsidRPr="00003118">
              <w:rPr>
                <w:rFonts w:ascii="Times New Roman" w:eastAsia="Times New Roman" w:hAnsi="Times New Roman"/>
                <w:bCs/>
              </w:rPr>
              <w:t xml:space="preserve"> vyriausybė ją atmetė prieš pat savo žlugimą. 2025 m. pradžioje </w:t>
            </w:r>
            <w:proofErr w:type="spellStart"/>
            <w:r w:rsidRPr="00003118">
              <w:rPr>
                <w:rFonts w:ascii="Times New Roman" w:eastAsia="Times New Roman" w:hAnsi="Times New Roman"/>
                <w:bCs/>
              </w:rPr>
              <w:t>Bayrou</w:t>
            </w:r>
            <w:proofErr w:type="spellEnd"/>
            <w:r w:rsidRPr="00003118">
              <w:rPr>
                <w:rFonts w:ascii="Times New Roman" w:eastAsia="Times New Roman" w:hAnsi="Times New Roman"/>
                <w:bCs/>
              </w:rPr>
              <w:t xml:space="preserve"> komanda trumpai svarstė galimybę priimti šį pasiūlymą. Ekonomikos ministras </w:t>
            </w:r>
            <w:proofErr w:type="spellStart"/>
            <w:r w:rsidRPr="00003118">
              <w:rPr>
                <w:rFonts w:ascii="Times New Roman" w:eastAsia="Times New Roman" w:hAnsi="Times New Roman"/>
                <w:bCs/>
              </w:rPr>
              <w:t>Ericas</w:t>
            </w:r>
            <w:proofErr w:type="spellEnd"/>
            <w:r w:rsidRPr="00003118">
              <w:rPr>
                <w:rFonts w:ascii="Times New Roman" w:eastAsia="Times New Roman" w:hAnsi="Times New Roman"/>
                <w:bCs/>
              </w:rPr>
              <w:t xml:space="preserve"> Lombardas, vos pradėjęs eiti pareigas, netgi pareiškė, kad Prancūzija turi „šiek tiek laisvės“ šiuo klausimu, nes išsivysčiusiose šalyse, kurios jį priėmė, fiksuotas mokestis yra „nuo 30 iki 35 %“.</w:t>
            </w:r>
          </w:p>
          <w:p w14:paraId="6BC32613" w14:textId="4A2E6226" w:rsidR="00662466" w:rsidRPr="00003118" w:rsidRDefault="007116A3"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t xml:space="preserve">Tačiau F. </w:t>
            </w:r>
            <w:proofErr w:type="spellStart"/>
            <w:r w:rsidRPr="00003118">
              <w:rPr>
                <w:rFonts w:ascii="Times New Roman" w:eastAsia="Times New Roman" w:hAnsi="Times New Roman"/>
                <w:bCs/>
              </w:rPr>
              <w:t>Bayrou</w:t>
            </w:r>
            <w:proofErr w:type="spellEnd"/>
            <w:r w:rsidRPr="00003118">
              <w:rPr>
                <w:rFonts w:ascii="Times New Roman" w:eastAsia="Times New Roman" w:hAnsi="Times New Roman"/>
                <w:bCs/>
              </w:rPr>
              <w:t xml:space="preserve"> galiausiai nusprendė jo nedidinti, visų pirma dėl to, kad kita jo biudžeto priemonė – diferencijuotas įnašas dideles pajamas gaunantiems asmenims – turėjo panašų poveikį. Šis minimalus 20 % mokestis nuo turtingiausių mokesčių mokėtojų (tų, kurie mokesčių administratoriui deklaruoja daugiau nei 250 000 eurų pajamų arba 500 000 eurų porai) pajamų iš tikrųjų yra ne kas kita, kaip užmaskuotas fiksuoto mokesčio padidinimas turtingiausiems: kadangi jis sudaro 12,8 % pajamų mokesčio ir 17,2 % socialinio draudimo įmokų, 20 % pajamų mokesčio ribos nustatymas reiškia „fiksuoto mokesčio“ padidinimą iki 37,2 % (kraštutiniu atveju, kai mokesčių mokėtojas deklaruoja daugiau nei 250 000 eurų tik kapitalo pajamų).</w:t>
            </w:r>
          </w:p>
          <w:p w14:paraId="046CAAF7" w14:textId="7078208C" w:rsidR="00357DE0" w:rsidRPr="00003118" w:rsidRDefault="00662466" w:rsidP="00780628">
            <w:pPr>
              <w:spacing w:before="80" w:after="40" w:line="240" w:lineRule="auto"/>
              <w:jc w:val="both"/>
              <w:rPr>
                <w:rFonts w:ascii="Times New Roman" w:eastAsia="Times New Roman" w:hAnsi="Times New Roman"/>
                <w:bCs/>
              </w:rPr>
            </w:pPr>
            <w:r w:rsidRPr="00003118">
              <w:rPr>
                <w:rFonts w:ascii="Times New Roman" w:eastAsia="Times New Roman" w:hAnsi="Times New Roman"/>
                <w:bCs/>
              </w:rPr>
              <w:lastRenderedPageBreak/>
              <w:t>Šiais metais Finansų ministerija prognozuoja, kad „vienodo fiksuoto tarifo mokestis“ sugeneruos 7,3 mlrd. eurų pajamų. Kiekvienas 1 procentinio punkto padidinimas reiškia maždaug 240 mln. eurų daugiau valstybės iždui. 6 % padidinimas galėtų papildomai atnešti beveik 1,5 mlrd. eurų.</w:t>
            </w:r>
          </w:p>
        </w:tc>
        <w:tc>
          <w:tcPr>
            <w:tcW w:w="2268" w:type="dxa"/>
            <w:tcMar>
              <w:top w:w="29" w:type="dxa"/>
              <w:left w:w="115" w:type="dxa"/>
              <w:bottom w:w="29" w:type="dxa"/>
              <w:right w:w="115" w:type="dxa"/>
            </w:tcMar>
          </w:tcPr>
          <w:p w14:paraId="57E78259" w14:textId="61790872" w:rsidR="00671240" w:rsidRPr="00003118" w:rsidRDefault="006D4CF0" w:rsidP="002A484B">
            <w:pPr>
              <w:spacing w:before="80" w:after="40" w:line="240" w:lineRule="auto"/>
              <w:rPr>
                <w:rFonts w:ascii="Times New Roman" w:eastAsia="Times New Roman" w:hAnsi="Times New Roman"/>
              </w:rPr>
            </w:pPr>
            <w:hyperlink r:id="rId11" w:history="1">
              <w:r w:rsidRPr="00003118">
                <w:rPr>
                  <w:rStyle w:val="Hyperlink"/>
                  <w:rFonts w:ascii="Times New Roman" w:eastAsia="Times New Roman" w:hAnsi="Times New Roman"/>
                </w:rPr>
                <w:t xml:space="preserve">EXCLUSIF - </w:t>
              </w:r>
              <w:proofErr w:type="spellStart"/>
              <w:r w:rsidRPr="00003118">
                <w:rPr>
                  <w:rStyle w:val="Hyperlink"/>
                  <w:rFonts w:ascii="Times New Roman" w:eastAsia="Times New Roman" w:hAnsi="Times New Roman"/>
                </w:rPr>
                <w:t>Budget</w:t>
              </w:r>
              <w:proofErr w:type="spellEnd"/>
              <w:r w:rsidRPr="00003118">
                <w:rPr>
                  <w:rStyle w:val="Hyperlink"/>
                  <w:rFonts w:ascii="Times New Roman" w:eastAsia="Times New Roman" w:hAnsi="Times New Roman"/>
                </w:rPr>
                <w:t xml:space="preserve"> 2026 : </w:t>
              </w:r>
              <w:proofErr w:type="spellStart"/>
              <w:r w:rsidRPr="00003118">
                <w:rPr>
                  <w:rStyle w:val="Hyperlink"/>
                  <w:rFonts w:ascii="Times New Roman" w:eastAsia="Times New Roman" w:hAnsi="Times New Roman"/>
                </w:rPr>
                <w:t>une</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hausse</w:t>
              </w:r>
              <w:proofErr w:type="spellEnd"/>
              <w:r w:rsidRPr="00003118">
                <w:rPr>
                  <w:rStyle w:val="Hyperlink"/>
                  <w:rFonts w:ascii="Times New Roman" w:eastAsia="Times New Roman" w:hAnsi="Times New Roman"/>
                </w:rPr>
                <w:t xml:space="preserve"> de </w:t>
              </w:r>
              <w:proofErr w:type="spellStart"/>
              <w:r w:rsidRPr="00003118">
                <w:rPr>
                  <w:rStyle w:val="Hyperlink"/>
                  <w:rFonts w:ascii="Times New Roman" w:eastAsia="Times New Roman" w:hAnsi="Times New Roman"/>
                </w:rPr>
                <w:t>la</w:t>
              </w:r>
              <w:proofErr w:type="spellEnd"/>
              <w:r w:rsidRPr="00003118">
                <w:rPr>
                  <w:rStyle w:val="Hyperlink"/>
                  <w:rFonts w:ascii="Times New Roman" w:eastAsia="Times New Roman" w:hAnsi="Times New Roman"/>
                </w:rPr>
                <w:t xml:space="preserve"> « </w:t>
              </w:r>
              <w:proofErr w:type="spellStart"/>
              <w:r w:rsidRPr="00003118">
                <w:rPr>
                  <w:rStyle w:val="Hyperlink"/>
                  <w:rFonts w:ascii="Times New Roman" w:eastAsia="Times New Roman" w:hAnsi="Times New Roman"/>
                </w:rPr>
                <w:t>flat</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tax</w:t>
              </w:r>
              <w:proofErr w:type="spellEnd"/>
              <w:r w:rsidRPr="00003118">
                <w:rPr>
                  <w:rStyle w:val="Hyperlink"/>
                  <w:rFonts w:ascii="Times New Roman" w:eastAsia="Times New Roman" w:hAnsi="Times New Roman"/>
                </w:rPr>
                <w:t xml:space="preserve"> » </w:t>
              </w:r>
              <w:proofErr w:type="spellStart"/>
              <w:r w:rsidRPr="00003118">
                <w:rPr>
                  <w:rStyle w:val="Hyperlink"/>
                  <w:rFonts w:ascii="Times New Roman" w:eastAsia="Times New Roman" w:hAnsi="Times New Roman"/>
                </w:rPr>
                <w:t>revient</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dans</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le</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débat</w:t>
              </w:r>
              <w:proofErr w:type="spellEnd"/>
              <w:r w:rsidRPr="00003118">
                <w:rPr>
                  <w:rStyle w:val="Hyperlink"/>
                  <w:rFonts w:ascii="Times New Roman" w:eastAsia="Times New Roman" w:hAnsi="Times New Roman"/>
                </w:rPr>
                <w:t xml:space="preserve"> | Les </w:t>
              </w:r>
              <w:proofErr w:type="spellStart"/>
              <w:r w:rsidRPr="00003118">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67806825" w14:textId="578CD1F1" w:rsidR="00671240" w:rsidRPr="00003118" w:rsidRDefault="002A484B" w:rsidP="002A484B">
            <w:pPr>
              <w:spacing w:before="80" w:after="40" w:line="240" w:lineRule="auto"/>
              <w:rPr>
                <w:rFonts w:ascii="Times New Roman" w:hAnsi="Times New Roman"/>
              </w:rPr>
            </w:pPr>
            <w:r w:rsidRPr="00003118">
              <w:rPr>
                <w:rFonts w:ascii="Times New Roman" w:hAnsi="Times New Roman"/>
              </w:rPr>
              <w:t xml:space="preserve">Derybos dėl </w:t>
            </w:r>
            <w:r w:rsidR="000A5D67" w:rsidRPr="00003118">
              <w:rPr>
                <w:rFonts w:ascii="Times New Roman" w:hAnsi="Times New Roman"/>
              </w:rPr>
              <w:t>2026 m. biudžet</w:t>
            </w:r>
            <w:r w:rsidRPr="00003118">
              <w:rPr>
                <w:rFonts w:ascii="Times New Roman" w:hAnsi="Times New Roman"/>
              </w:rPr>
              <w:t xml:space="preserve">o </w:t>
            </w:r>
            <w:r w:rsidR="000A5D67" w:rsidRPr="00003118">
              <w:rPr>
                <w:rFonts w:ascii="Times New Roman" w:hAnsi="Times New Roman"/>
              </w:rPr>
              <w:t xml:space="preserve">: </w:t>
            </w:r>
            <w:r w:rsidRPr="00003118">
              <w:rPr>
                <w:rFonts w:ascii="Times New Roman" w:hAnsi="Times New Roman"/>
              </w:rPr>
              <w:t>vėl svarstomas mokestis kapitalo pajamoms</w:t>
            </w:r>
          </w:p>
        </w:tc>
      </w:tr>
      <w:tr w:rsidR="00F16AC8" w:rsidRPr="00003118" w14:paraId="5FF9751D" w14:textId="77777777" w:rsidTr="002A484B">
        <w:trPr>
          <w:trHeight w:val="216"/>
        </w:trPr>
        <w:tc>
          <w:tcPr>
            <w:tcW w:w="10945" w:type="dxa"/>
            <w:gridSpan w:val="5"/>
            <w:tcMar>
              <w:top w:w="29" w:type="dxa"/>
              <w:left w:w="115" w:type="dxa"/>
              <w:bottom w:w="29" w:type="dxa"/>
              <w:right w:w="115" w:type="dxa"/>
            </w:tcMar>
          </w:tcPr>
          <w:p w14:paraId="7515CA29" w14:textId="77777777" w:rsidR="00F16AC8" w:rsidRPr="00003118" w:rsidRDefault="00F16AC8" w:rsidP="002A484B">
            <w:pPr>
              <w:spacing w:before="80" w:after="40" w:line="240" w:lineRule="auto"/>
              <w:rPr>
                <w:rFonts w:ascii="Times New Roman" w:eastAsia="Times New Roman" w:hAnsi="Times New Roman"/>
                <w:b/>
              </w:rPr>
            </w:pPr>
            <w:r w:rsidRPr="00003118">
              <w:rPr>
                <w:rFonts w:ascii="Times New Roman" w:eastAsia="Times New Roman" w:hAnsi="Times New Roman"/>
                <w:b/>
              </w:rPr>
              <w:t>Lietuvos verslo plėtrai aktuali informacija</w:t>
            </w:r>
          </w:p>
        </w:tc>
      </w:tr>
      <w:tr w:rsidR="00F16AC8" w:rsidRPr="00003118" w14:paraId="4B5FA96F" w14:textId="77777777" w:rsidTr="002A484B">
        <w:trPr>
          <w:gridAfter w:val="1"/>
          <w:wAfter w:w="11" w:type="dxa"/>
          <w:trHeight w:val="216"/>
        </w:trPr>
        <w:tc>
          <w:tcPr>
            <w:tcW w:w="1418" w:type="dxa"/>
            <w:tcMar>
              <w:top w:w="29" w:type="dxa"/>
              <w:left w:w="115" w:type="dxa"/>
              <w:bottom w:w="29" w:type="dxa"/>
              <w:right w:w="115" w:type="dxa"/>
            </w:tcMar>
          </w:tcPr>
          <w:p w14:paraId="000EBADF" w14:textId="052AB4BA" w:rsidR="00F16AC8" w:rsidRPr="00003118" w:rsidRDefault="00883A52"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2025-09-18</w:t>
            </w:r>
          </w:p>
        </w:tc>
        <w:tc>
          <w:tcPr>
            <w:tcW w:w="5812" w:type="dxa"/>
            <w:tcMar>
              <w:top w:w="29" w:type="dxa"/>
              <w:left w:w="115" w:type="dxa"/>
              <w:bottom w:w="29" w:type="dxa"/>
              <w:right w:w="115" w:type="dxa"/>
            </w:tcMar>
          </w:tcPr>
          <w:p w14:paraId="04DEF09A" w14:textId="0EC6AD71" w:rsidR="00780628" w:rsidRPr="00003118" w:rsidRDefault="00883A52"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Ekologiškų produktų krizė baigėsi – </w:t>
            </w:r>
            <w:r w:rsidRPr="00003118">
              <w:rPr>
                <w:rFonts w:ascii="Times New Roman" w:eastAsia="Times New Roman" w:hAnsi="Times New Roman"/>
                <w:b/>
                <w:bCs/>
              </w:rPr>
              <w:t>BIOCOOP</w:t>
            </w:r>
            <w:r w:rsidRPr="00003118">
              <w:rPr>
                <w:rFonts w:ascii="Times New Roman" w:eastAsia="Times New Roman" w:hAnsi="Times New Roman"/>
              </w:rPr>
              <w:t xml:space="preserve"> (ekologiškų prekių tinklas) planuoja atidaryti </w:t>
            </w:r>
            <w:r w:rsidRPr="00003118">
              <w:rPr>
                <w:rFonts w:ascii="Times New Roman" w:eastAsia="Times New Roman" w:hAnsi="Times New Roman"/>
                <w:lang w:val="en-US"/>
              </w:rPr>
              <w:t xml:space="preserve">160 </w:t>
            </w:r>
            <w:r w:rsidRPr="00003118">
              <w:rPr>
                <w:rFonts w:ascii="Times New Roman" w:eastAsia="Times New Roman" w:hAnsi="Times New Roman"/>
              </w:rPr>
              <w:t xml:space="preserve">naujų parduotuvių – kalbėjo </w:t>
            </w:r>
            <w:proofErr w:type="spellStart"/>
            <w:r w:rsidRPr="00003118">
              <w:rPr>
                <w:rFonts w:ascii="Times New Roman" w:eastAsia="Times New Roman" w:hAnsi="Times New Roman"/>
              </w:rPr>
              <w:t>Biocoop</w:t>
            </w:r>
            <w:proofErr w:type="spellEnd"/>
            <w:r w:rsidRPr="00003118">
              <w:rPr>
                <w:rFonts w:ascii="Times New Roman" w:eastAsia="Times New Roman" w:hAnsi="Times New Roman"/>
              </w:rPr>
              <w:t xml:space="preserve"> generalinis direktorius - </w:t>
            </w:r>
            <w:proofErr w:type="spellStart"/>
            <w:r w:rsidRPr="00003118">
              <w:rPr>
                <w:rFonts w:ascii="Times New Roman" w:eastAsia="Times New Roman" w:hAnsi="Times New Roman"/>
              </w:rPr>
              <w:t>Franck</w:t>
            </w:r>
            <w:proofErr w:type="spellEnd"/>
            <w:r w:rsidRPr="00003118">
              <w:rPr>
                <w:rFonts w:ascii="Times New Roman" w:eastAsia="Times New Roman" w:hAnsi="Times New Roman"/>
              </w:rPr>
              <w:t xml:space="preserve"> </w:t>
            </w:r>
            <w:proofErr w:type="spellStart"/>
            <w:r w:rsidRPr="00003118">
              <w:rPr>
                <w:rFonts w:ascii="Times New Roman" w:eastAsia="Times New Roman" w:hAnsi="Times New Roman"/>
              </w:rPr>
              <w:t>Poncet</w:t>
            </w:r>
            <w:proofErr w:type="spellEnd"/>
            <w:r w:rsidR="00224051" w:rsidRPr="00003118">
              <w:rPr>
                <w:rFonts w:ascii="Times New Roman" w:eastAsia="Times New Roman" w:hAnsi="Times New Roman"/>
              </w:rPr>
              <w:t xml:space="preserve">. Pastangos padaryti produkciją </w:t>
            </w:r>
            <w:proofErr w:type="spellStart"/>
            <w:r w:rsidR="00224051" w:rsidRPr="00003118">
              <w:rPr>
                <w:rFonts w:ascii="Times New Roman" w:eastAsia="Times New Roman" w:hAnsi="Times New Roman"/>
              </w:rPr>
              <w:t>prieinamesnę</w:t>
            </w:r>
            <w:proofErr w:type="spellEnd"/>
            <w:r w:rsidR="00224051" w:rsidRPr="00003118">
              <w:rPr>
                <w:rFonts w:ascii="Times New Roman" w:eastAsia="Times New Roman" w:hAnsi="Times New Roman"/>
              </w:rPr>
              <w:t>, siekiant pritraukti daugiau vartotojų, turėtų lemti naujus „pataisymus“ 2026 metais. Tai gali būti daroma mažinant kainas – kaip tai jau buvo padaryta 2024 m. balandį, kai vidutiniškai 7 % atpigo keli šimtai prekių. Arba nusprendus neperkelti kai kurių produktų savikainos padidėjimo į galutinę kainą.</w:t>
            </w:r>
            <w:r w:rsidR="00780628">
              <w:rPr>
                <w:rFonts w:ascii="Times New Roman" w:eastAsia="Times New Roman" w:hAnsi="Times New Roman"/>
              </w:rPr>
              <w:t xml:space="preserve"> </w:t>
            </w:r>
            <w:r w:rsidR="00224051" w:rsidRPr="00003118">
              <w:rPr>
                <w:rFonts w:ascii="Times New Roman" w:eastAsia="Times New Roman" w:hAnsi="Times New Roman"/>
              </w:rPr>
              <w:t xml:space="preserve">„Kai pardavimai geri, mes norime pasidalinti sukuriama verte su vartotoju“, – aiškina Henri </w:t>
            </w:r>
            <w:proofErr w:type="spellStart"/>
            <w:r w:rsidR="00224051" w:rsidRPr="00003118">
              <w:rPr>
                <w:rFonts w:ascii="Times New Roman" w:eastAsia="Times New Roman" w:hAnsi="Times New Roman"/>
              </w:rPr>
              <w:t>Godron</w:t>
            </w:r>
            <w:proofErr w:type="spellEnd"/>
            <w:r w:rsidR="00224051" w:rsidRPr="00003118">
              <w:rPr>
                <w:rFonts w:ascii="Times New Roman" w:eastAsia="Times New Roman" w:hAnsi="Times New Roman"/>
              </w:rPr>
              <w:t>, „</w:t>
            </w:r>
            <w:proofErr w:type="spellStart"/>
            <w:r w:rsidR="00224051" w:rsidRPr="00003118">
              <w:rPr>
                <w:rFonts w:ascii="Times New Roman" w:eastAsia="Times New Roman" w:hAnsi="Times New Roman"/>
              </w:rPr>
              <w:t>Biocoop</w:t>
            </w:r>
            <w:proofErr w:type="spellEnd"/>
            <w:r w:rsidR="00224051" w:rsidRPr="00003118">
              <w:rPr>
                <w:rFonts w:ascii="Times New Roman" w:eastAsia="Times New Roman" w:hAnsi="Times New Roman"/>
              </w:rPr>
              <w:t>“ prezidentas</w:t>
            </w:r>
            <w:r w:rsidR="00780628">
              <w:rPr>
                <w:rFonts w:ascii="Times New Roman" w:eastAsia="Times New Roman" w:hAnsi="Times New Roman"/>
              </w:rPr>
              <w:t>.</w:t>
            </w:r>
          </w:p>
          <w:p w14:paraId="5023AE9D" w14:textId="58D28EC1" w:rsidR="00224051" w:rsidRPr="00003118" w:rsidRDefault="00224051" w:rsidP="00780628">
            <w:pPr>
              <w:spacing w:before="80" w:after="40" w:line="240" w:lineRule="auto"/>
              <w:jc w:val="both"/>
              <w:rPr>
                <w:rFonts w:ascii="Times New Roman" w:eastAsia="Times New Roman" w:hAnsi="Times New Roman"/>
              </w:rPr>
            </w:pPr>
            <w:proofErr w:type="spellStart"/>
            <w:r w:rsidRPr="00003118">
              <w:rPr>
                <w:rFonts w:ascii="Times New Roman" w:eastAsia="Times New Roman" w:hAnsi="Times New Roman"/>
                <w:b/>
                <w:bCs/>
              </w:rPr>
              <w:t>Biocoop</w:t>
            </w:r>
            <w:proofErr w:type="spellEnd"/>
            <w:r w:rsidRPr="00003118">
              <w:rPr>
                <w:rFonts w:ascii="Times New Roman" w:eastAsia="Times New Roman" w:hAnsi="Times New Roman"/>
              </w:rPr>
              <w:t xml:space="preserve"> – tai didžiausias ekologiškų maisto produktų parduotuvių tinklas Prancūzijoje, turintis daugiau nei 700 parduotuvių. Įkurtas 1986 m., šis tinklas veikia kaip kooperatyvas, priklausantis parduotuvių savininkams, ūkininkams, darbuotojams ir vartotojams.</w:t>
            </w:r>
          </w:p>
        </w:tc>
        <w:tc>
          <w:tcPr>
            <w:tcW w:w="2268" w:type="dxa"/>
            <w:tcMar>
              <w:top w:w="29" w:type="dxa"/>
              <w:left w:w="115" w:type="dxa"/>
              <w:bottom w:w="29" w:type="dxa"/>
              <w:right w:w="115" w:type="dxa"/>
            </w:tcMar>
          </w:tcPr>
          <w:p w14:paraId="03EEA052" w14:textId="71F7EE42" w:rsidR="00F16AC8" w:rsidRPr="00003118" w:rsidRDefault="00883A52" w:rsidP="002A484B">
            <w:pPr>
              <w:spacing w:before="80" w:after="40" w:line="240" w:lineRule="auto"/>
              <w:rPr>
                <w:rFonts w:ascii="Times New Roman" w:eastAsia="Times New Roman" w:hAnsi="Times New Roman"/>
              </w:rPr>
            </w:pPr>
            <w:hyperlink r:id="rId12" w:history="1">
              <w:r w:rsidRPr="00003118">
                <w:rPr>
                  <w:rStyle w:val="Hyperlink"/>
                  <w:rFonts w:ascii="Times New Roman" w:eastAsia="Times New Roman" w:hAnsi="Times New Roman"/>
                </w:rPr>
                <w:t xml:space="preserve">La </w:t>
              </w:r>
              <w:proofErr w:type="spellStart"/>
              <w:r w:rsidRPr="00003118">
                <w:rPr>
                  <w:rStyle w:val="Hyperlink"/>
                  <w:rFonts w:ascii="Times New Roman" w:eastAsia="Times New Roman" w:hAnsi="Times New Roman"/>
                </w:rPr>
                <w:t>crise</w:t>
              </w:r>
              <w:proofErr w:type="spellEnd"/>
              <w:r w:rsidRPr="00003118">
                <w:rPr>
                  <w:rStyle w:val="Hyperlink"/>
                  <w:rFonts w:ascii="Times New Roman" w:eastAsia="Times New Roman" w:hAnsi="Times New Roman"/>
                </w:rPr>
                <w:t xml:space="preserve"> du </w:t>
              </w:r>
              <w:proofErr w:type="spellStart"/>
              <w:r w:rsidRPr="00003118">
                <w:rPr>
                  <w:rStyle w:val="Hyperlink"/>
                  <w:rFonts w:ascii="Times New Roman" w:eastAsia="Times New Roman" w:hAnsi="Times New Roman"/>
                </w:rPr>
                <w:t>bio</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est</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finie</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Biocoop</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veut</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ouvrir</w:t>
              </w:r>
              <w:proofErr w:type="spellEnd"/>
              <w:r w:rsidRPr="00003118">
                <w:rPr>
                  <w:rStyle w:val="Hyperlink"/>
                  <w:rFonts w:ascii="Times New Roman" w:eastAsia="Times New Roman" w:hAnsi="Times New Roman"/>
                </w:rPr>
                <w:t xml:space="preserve"> 160 </w:t>
              </w:r>
              <w:proofErr w:type="spellStart"/>
              <w:r w:rsidRPr="00003118">
                <w:rPr>
                  <w:rStyle w:val="Hyperlink"/>
                  <w:rFonts w:ascii="Times New Roman" w:eastAsia="Times New Roman" w:hAnsi="Times New Roman"/>
                </w:rPr>
                <w:t>magasins</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d’ici</w:t>
              </w:r>
              <w:proofErr w:type="spellEnd"/>
              <w:r w:rsidRPr="00003118">
                <w:rPr>
                  <w:rStyle w:val="Hyperlink"/>
                  <w:rFonts w:ascii="Times New Roman" w:eastAsia="Times New Roman" w:hAnsi="Times New Roman"/>
                </w:rPr>
                <w:t xml:space="preserve"> à 2029 – </w:t>
              </w:r>
              <w:proofErr w:type="spellStart"/>
              <w:r w:rsidRPr="00003118">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74891E63" w14:textId="4E26604E" w:rsidR="00F16AC8" w:rsidRPr="00003118" w:rsidRDefault="00883A52" w:rsidP="002A484B">
            <w:pPr>
              <w:spacing w:before="80" w:after="40" w:line="240" w:lineRule="auto"/>
              <w:rPr>
                <w:rFonts w:ascii="Times New Roman" w:hAnsi="Times New Roman"/>
              </w:rPr>
            </w:pPr>
            <w:r w:rsidRPr="00003118">
              <w:rPr>
                <w:rFonts w:ascii="Times New Roman" w:hAnsi="Times New Roman"/>
              </w:rPr>
              <w:t>Maisto sektorius</w:t>
            </w:r>
          </w:p>
        </w:tc>
      </w:tr>
      <w:tr w:rsidR="005E105A" w:rsidRPr="00003118" w14:paraId="3EC032B5" w14:textId="77777777" w:rsidTr="002A484B">
        <w:trPr>
          <w:gridAfter w:val="1"/>
          <w:wAfter w:w="11" w:type="dxa"/>
          <w:trHeight w:val="216"/>
        </w:trPr>
        <w:tc>
          <w:tcPr>
            <w:tcW w:w="1418" w:type="dxa"/>
            <w:tcMar>
              <w:top w:w="29" w:type="dxa"/>
              <w:left w:w="115" w:type="dxa"/>
              <w:bottom w:w="29" w:type="dxa"/>
              <w:right w:w="115" w:type="dxa"/>
            </w:tcMar>
          </w:tcPr>
          <w:p w14:paraId="6E937C08" w14:textId="66A4E957" w:rsidR="005E105A" w:rsidRPr="00003118" w:rsidRDefault="005E105A"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2025 09 29</w:t>
            </w:r>
          </w:p>
        </w:tc>
        <w:tc>
          <w:tcPr>
            <w:tcW w:w="5812" w:type="dxa"/>
            <w:tcMar>
              <w:top w:w="29" w:type="dxa"/>
              <w:left w:w="115" w:type="dxa"/>
              <w:bottom w:w="29" w:type="dxa"/>
              <w:right w:w="115" w:type="dxa"/>
            </w:tcMar>
          </w:tcPr>
          <w:p w14:paraId="2B0A4362" w14:textId="46263AAA" w:rsidR="005E105A" w:rsidRPr="00003118" w:rsidRDefault="005E105A"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Prancūzijos viešasis investicijų bankas </w:t>
            </w:r>
            <w:proofErr w:type="spellStart"/>
            <w:r w:rsidRPr="00003118">
              <w:rPr>
                <w:rFonts w:ascii="Times New Roman" w:eastAsia="Times New Roman" w:hAnsi="Times New Roman"/>
              </w:rPr>
              <w:t>Bpifrance</w:t>
            </w:r>
            <w:proofErr w:type="spellEnd"/>
            <w:r w:rsidRPr="00003118">
              <w:rPr>
                <w:rFonts w:ascii="Times New Roman" w:eastAsia="Times New Roman" w:hAnsi="Times New Roman"/>
              </w:rPr>
              <w:t xml:space="preserve"> pirmąjį 2025 m. pusmetį finansavo įmonių plėtros ir inovacijų projektus už 2,4 mlrd. eurų – </w:t>
            </w:r>
            <w:proofErr w:type="spellStart"/>
            <w:r w:rsidRPr="00003118">
              <w:rPr>
                <w:rFonts w:ascii="Times New Roman" w:eastAsia="Times New Roman" w:hAnsi="Times New Roman"/>
              </w:rPr>
              <w:t>t.y</w:t>
            </w:r>
            <w:proofErr w:type="spellEnd"/>
            <w:r w:rsidRPr="00003118">
              <w:rPr>
                <w:rFonts w:ascii="Times New Roman" w:eastAsia="Times New Roman" w:hAnsi="Times New Roman"/>
              </w:rPr>
              <w:t xml:space="preserve">. 22 % daugiau nei pernai tuo pačiu laikotarpiu. Didžiausia dalis, net 1,8 mlrd. eurų (+39 %), buvo skirta kapitalo plėtros projektams, t. y. brandžioms įmonėms, kurios jau veikia rinkoje ir siekia spartinti augimą, plėstis į naujas rinkas ar pereiti prie tvaresnių technologijų. Tarp didžiausių finansavimo gavėjų - sveikatos, programinės įrangos ir energetinės transformacijos sektoriai. Mažoms ir vidutinėms įmonėms teko 136 mln. eurų, o didelėms – 1,674 mlrd. eurų. Kapitalo inovacijų finansavimas sumažėjo iki 282 mln. eurų (–20 %) ir tai rodo, kad ankstyvosios stadijos </w:t>
            </w:r>
            <w:proofErr w:type="spellStart"/>
            <w:r w:rsidRPr="00003118">
              <w:rPr>
                <w:rFonts w:ascii="Times New Roman" w:eastAsia="Times New Roman" w:hAnsi="Times New Roman"/>
              </w:rPr>
              <w:t>startuoliams</w:t>
            </w:r>
            <w:proofErr w:type="spellEnd"/>
            <w:r w:rsidRPr="00003118">
              <w:rPr>
                <w:rFonts w:ascii="Times New Roman" w:eastAsia="Times New Roman" w:hAnsi="Times New Roman"/>
              </w:rPr>
              <w:t xml:space="preserve"> pritraukti lėšų rinkoje buvo sunkiau.</w:t>
            </w:r>
          </w:p>
        </w:tc>
        <w:tc>
          <w:tcPr>
            <w:tcW w:w="2268" w:type="dxa"/>
            <w:tcMar>
              <w:top w:w="29" w:type="dxa"/>
              <w:left w:w="115" w:type="dxa"/>
              <w:bottom w:w="29" w:type="dxa"/>
              <w:right w:w="115" w:type="dxa"/>
            </w:tcMar>
          </w:tcPr>
          <w:p w14:paraId="43C7BF79" w14:textId="6391F00F" w:rsidR="005E105A" w:rsidRPr="00003118" w:rsidRDefault="00003118" w:rsidP="002A484B">
            <w:pPr>
              <w:spacing w:before="80" w:after="40" w:line="240" w:lineRule="auto"/>
              <w:rPr>
                <w:rFonts w:ascii="Times New Roman" w:hAnsi="Times New Roman"/>
              </w:rPr>
            </w:pPr>
            <w:hyperlink r:id="rId13" w:history="1">
              <w:proofErr w:type="spellStart"/>
              <w:r w:rsidRPr="00003118">
                <w:rPr>
                  <w:rFonts w:ascii="Times New Roman" w:hAnsi="Times New Roman"/>
                  <w:color w:val="0000FF"/>
                  <w:u w:val="single"/>
                </w:rPr>
                <w:t>Bpifrance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annonce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une</w:t>
              </w:r>
              <w:proofErr w:type="spellEnd"/>
              <w:r w:rsidRPr="00003118">
                <w:rPr>
                  <w:rFonts w:ascii="Times New Roman" w:hAnsi="Times New Roman"/>
                  <w:color w:val="0000FF"/>
                  <w:u w:val="single"/>
                </w:rPr>
                <w:t xml:space="preserve"> forte </w:t>
              </w:r>
              <w:proofErr w:type="spellStart"/>
              <w:r w:rsidRPr="00003118">
                <w:rPr>
                  <w:rFonts w:ascii="Times New Roman" w:hAnsi="Times New Roman"/>
                  <w:color w:val="0000FF"/>
                  <w:u w:val="single"/>
                </w:rPr>
                <w:t>progression</w:t>
              </w:r>
              <w:proofErr w:type="spellEnd"/>
              <w:r w:rsidRPr="00003118">
                <w:rPr>
                  <w:rFonts w:ascii="Times New Roman" w:hAnsi="Times New Roman"/>
                  <w:color w:val="0000FF"/>
                  <w:u w:val="single"/>
                </w:rPr>
                <w:t xml:space="preserve"> de </w:t>
              </w:r>
              <w:proofErr w:type="spellStart"/>
              <w:r w:rsidRPr="00003118">
                <w:rPr>
                  <w:rFonts w:ascii="Times New Roman" w:hAnsi="Times New Roman"/>
                  <w:color w:val="0000FF"/>
                  <w:u w:val="single"/>
                </w:rPr>
                <w:t>l'activité</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d'investissement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en</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début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d'année</w:t>
              </w:r>
              <w:proofErr w:type="spellEnd"/>
            </w:hyperlink>
          </w:p>
        </w:tc>
        <w:tc>
          <w:tcPr>
            <w:tcW w:w="1436" w:type="dxa"/>
            <w:tcMar>
              <w:top w:w="29" w:type="dxa"/>
              <w:left w:w="115" w:type="dxa"/>
              <w:bottom w:w="29" w:type="dxa"/>
              <w:right w:w="115" w:type="dxa"/>
            </w:tcMar>
          </w:tcPr>
          <w:p w14:paraId="610959A0" w14:textId="7BAE45D0" w:rsidR="005E105A" w:rsidRPr="00003118" w:rsidRDefault="005E105A" w:rsidP="002A484B">
            <w:pPr>
              <w:spacing w:before="80" w:after="40" w:line="240" w:lineRule="auto"/>
              <w:rPr>
                <w:rFonts w:ascii="Times New Roman" w:hAnsi="Times New Roman"/>
              </w:rPr>
            </w:pPr>
            <w:r w:rsidRPr="00003118">
              <w:rPr>
                <w:rFonts w:ascii="Times New Roman" w:hAnsi="Times New Roman"/>
              </w:rPr>
              <w:t xml:space="preserve">Įmonių kapitalo plėtros finansavimas  - </w:t>
            </w:r>
            <w:proofErr w:type="spellStart"/>
            <w:r w:rsidRPr="00003118">
              <w:rPr>
                <w:rFonts w:ascii="Times New Roman" w:hAnsi="Times New Roman"/>
              </w:rPr>
              <w:t>Bpi</w:t>
            </w:r>
            <w:proofErr w:type="spellEnd"/>
            <w:r w:rsidRPr="00003118">
              <w:rPr>
                <w:rFonts w:ascii="Times New Roman" w:hAnsi="Times New Roman"/>
              </w:rPr>
              <w:t xml:space="preserve"> France</w:t>
            </w:r>
          </w:p>
        </w:tc>
      </w:tr>
      <w:tr w:rsidR="00F40A77" w:rsidRPr="00003118" w14:paraId="3C3F80D7" w14:textId="77777777" w:rsidTr="002A484B">
        <w:trPr>
          <w:trHeight w:val="234"/>
        </w:trPr>
        <w:tc>
          <w:tcPr>
            <w:tcW w:w="10945" w:type="dxa"/>
            <w:gridSpan w:val="5"/>
            <w:tcMar>
              <w:top w:w="29" w:type="dxa"/>
              <w:left w:w="115" w:type="dxa"/>
              <w:bottom w:w="29" w:type="dxa"/>
              <w:right w:w="115" w:type="dxa"/>
            </w:tcMar>
          </w:tcPr>
          <w:p w14:paraId="2FF3EFB3" w14:textId="77777777" w:rsidR="00F40A77" w:rsidRPr="00003118" w:rsidRDefault="00F40A77" w:rsidP="002A484B">
            <w:pPr>
              <w:spacing w:before="80" w:after="40" w:line="240" w:lineRule="auto"/>
              <w:rPr>
                <w:rFonts w:ascii="Times New Roman" w:eastAsia="Times New Roman" w:hAnsi="Times New Roman"/>
                <w:b/>
              </w:rPr>
            </w:pPr>
            <w:r w:rsidRPr="00003118">
              <w:rPr>
                <w:rFonts w:ascii="Times New Roman" w:eastAsia="Times New Roman" w:hAnsi="Times New Roman"/>
                <w:b/>
              </w:rPr>
              <w:t>Lietuvos turizmo sektoriui aktuali informacija</w:t>
            </w:r>
          </w:p>
        </w:tc>
      </w:tr>
      <w:tr w:rsidR="00F40A77" w:rsidRPr="00003118" w14:paraId="16AE9719" w14:textId="77777777" w:rsidTr="002A484B">
        <w:trPr>
          <w:gridAfter w:val="1"/>
          <w:wAfter w:w="11" w:type="dxa"/>
          <w:trHeight w:val="216"/>
        </w:trPr>
        <w:tc>
          <w:tcPr>
            <w:tcW w:w="1418" w:type="dxa"/>
            <w:tcMar>
              <w:top w:w="29" w:type="dxa"/>
              <w:left w:w="115" w:type="dxa"/>
              <w:bottom w:w="29" w:type="dxa"/>
              <w:right w:w="115" w:type="dxa"/>
            </w:tcMar>
          </w:tcPr>
          <w:p w14:paraId="6B3E97A3" w14:textId="65C12B3F" w:rsidR="00BC6A13" w:rsidRPr="00003118" w:rsidRDefault="00692BC8" w:rsidP="002A484B">
            <w:pPr>
              <w:pBdr>
                <w:top w:val="nil"/>
                <w:left w:val="nil"/>
                <w:bottom w:val="nil"/>
                <w:right w:val="nil"/>
                <w:between w:val="nil"/>
              </w:pBd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2025 09 05</w:t>
            </w:r>
          </w:p>
        </w:tc>
        <w:tc>
          <w:tcPr>
            <w:tcW w:w="5812" w:type="dxa"/>
            <w:tcMar>
              <w:top w:w="29" w:type="dxa"/>
              <w:left w:w="115" w:type="dxa"/>
              <w:bottom w:w="29" w:type="dxa"/>
              <w:right w:w="115" w:type="dxa"/>
            </w:tcMar>
          </w:tcPr>
          <w:p w14:paraId="486CF1B9" w14:textId="375FFE6C" w:rsidR="00692BC8" w:rsidRPr="00003118" w:rsidRDefault="00692BC8"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2025 m. vasaros turizmo duomenys rodo, kad Prancūzija išlieka itin patraukli užsienio keliautojams. Tarptautinės turizmo pajamos pirmąjį pusmetį išaugo 13,7 % ir pasiekė 37,3 mlrd. eurų. Didžiausi turistu srautai atvyko iš Belgijos, JAV</w:t>
            </w:r>
            <w:r w:rsidR="002A484B" w:rsidRPr="00003118">
              <w:rPr>
                <w:rFonts w:ascii="Times New Roman" w:eastAsia="Times New Roman" w:hAnsi="Times New Roman"/>
              </w:rPr>
              <w:t xml:space="preserve">, </w:t>
            </w:r>
            <w:r w:rsidRPr="00003118">
              <w:rPr>
                <w:rFonts w:ascii="Times New Roman" w:eastAsia="Times New Roman" w:hAnsi="Times New Roman"/>
              </w:rPr>
              <w:t xml:space="preserve">Jungtinės Karalystės ir Vokietijos. Augo skandinavų turistų skaičius (švedai +16,6 %, danai +16,2 %), taip pat pastebėtas spartus turistų iš trečiųjų šalių skaičiaus augimas (australai +30 %, kanadiečiai +9,35 %, korėjiečiai +12,3 %, kinai +2,85 %). </w:t>
            </w:r>
          </w:p>
          <w:p w14:paraId="5B4C38C1" w14:textId="2DD3B19B" w:rsidR="00F40A77" w:rsidRPr="00003118" w:rsidRDefault="00692BC8"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Pačių prancūzų kelionių šalies viduje (vid</w:t>
            </w:r>
            <w:r w:rsidR="001D37EA" w:rsidRPr="00003118">
              <w:rPr>
                <w:rFonts w:ascii="Times New Roman" w:eastAsia="Times New Roman" w:hAnsi="Times New Roman"/>
              </w:rPr>
              <w:t>aus</w:t>
            </w:r>
            <w:r w:rsidRPr="00003118">
              <w:rPr>
                <w:rFonts w:ascii="Times New Roman" w:eastAsia="Times New Roman" w:hAnsi="Times New Roman"/>
              </w:rPr>
              <w:t xml:space="preserve"> turizmas) apimtys išliko stabilios – užfiksuota apie 290 mln. nakvynių, tačiau pastebėta elgsenos kaita: net ketvirtadalis poilsiautojų trumpino atostogų trukmę, trečdalis keitė kryptį (dažniausiai</w:t>
            </w:r>
            <w:r w:rsidR="00092B06" w:rsidRPr="00003118">
              <w:rPr>
                <w:rFonts w:ascii="Times New Roman" w:eastAsia="Times New Roman" w:hAnsi="Times New Roman"/>
              </w:rPr>
              <w:t xml:space="preserve"> </w:t>
            </w:r>
            <w:r w:rsidRPr="00003118">
              <w:rPr>
                <w:rFonts w:ascii="Times New Roman" w:eastAsia="Times New Roman" w:hAnsi="Times New Roman"/>
              </w:rPr>
              <w:t>šalies viduje), penktadalis mažino atostogų biudžetą, daugiausia maitinimo ir pirkinių sąskaita.</w:t>
            </w:r>
          </w:p>
        </w:tc>
        <w:tc>
          <w:tcPr>
            <w:tcW w:w="2268" w:type="dxa"/>
            <w:tcMar>
              <w:top w:w="29" w:type="dxa"/>
              <w:left w:w="115" w:type="dxa"/>
              <w:bottom w:w="29" w:type="dxa"/>
              <w:right w:w="115" w:type="dxa"/>
            </w:tcMar>
          </w:tcPr>
          <w:p w14:paraId="429ED824" w14:textId="545817C1" w:rsidR="00BC6A13" w:rsidRPr="00003118" w:rsidRDefault="00003118" w:rsidP="002A484B">
            <w:pPr>
              <w:pBdr>
                <w:top w:val="nil"/>
                <w:left w:val="nil"/>
                <w:bottom w:val="nil"/>
                <w:right w:val="nil"/>
                <w:between w:val="nil"/>
              </w:pBdr>
              <w:spacing w:before="80" w:after="40" w:line="240" w:lineRule="auto"/>
              <w:ind w:left="52"/>
              <w:rPr>
                <w:rFonts w:ascii="Times New Roman" w:hAnsi="Times New Roman"/>
              </w:rPr>
            </w:pPr>
            <w:hyperlink r:id="rId14" w:history="1">
              <w:r w:rsidRPr="00003118">
                <w:rPr>
                  <w:rStyle w:val="Hyperlink"/>
                  <w:rFonts w:ascii="Times New Roman" w:hAnsi="Times New Roman"/>
                </w:rPr>
                <w:t>https://www.tf1info.fr/economie/vacances-ete-tourisme-belges-americaines-britanniques-la-france-attire-toujours-plus-de-touristes-etrangers</w:t>
              </w:r>
            </w:hyperlink>
            <w:r w:rsidRPr="00003118">
              <w:rPr>
                <w:rFonts w:ascii="Times New Roman" w:hAnsi="Times New Roman"/>
              </w:rPr>
              <w:t xml:space="preserve"> </w:t>
            </w:r>
          </w:p>
          <w:p w14:paraId="162A3DBA" w14:textId="744B7652" w:rsidR="005E105A" w:rsidRPr="00003118" w:rsidRDefault="005E105A" w:rsidP="002A484B">
            <w:pPr>
              <w:pBdr>
                <w:top w:val="nil"/>
                <w:left w:val="nil"/>
                <w:bottom w:val="nil"/>
                <w:right w:val="nil"/>
                <w:between w:val="nil"/>
              </w:pBdr>
              <w:spacing w:before="80" w:after="40" w:line="240" w:lineRule="auto"/>
              <w:ind w:left="52"/>
              <w:rPr>
                <w:rFonts w:ascii="Times New Roman" w:eastAsia="Times New Roman" w:hAnsi="Times New Roman"/>
              </w:rPr>
            </w:pPr>
          </w:p>
        </w:tc>
        <w:tc>
          <w:tcPr>
            <w:tcW w:w="1436" w:type="dxa"/>
            <w:tcMar>
              <w:top w:w="29" w:type="dxa"/>
              <w:left w:w="115" w:type="dxa"/>
              <w:bottom w:w="29" w:type="dxa"/>
              <w:right w:w="115" w:type="dxa"/>
            </w:tcMar>
          </w:tcPr>
          <w:p w14:paraId="6D8EB47A" w14:textId="7495C508" w:rsidR="00F40A77" w:rsidRPr="00003118" w:rsidRDefault="002A484B" w:rsidP="002A484B">
            <w:pPr>
              <w:pBdr>
                <w:top w:val="nil"/>
                <w:left w:val="nil"/>
                <w:bottom w:val="nil"/>
                <w:right w:val="nil"/>
                <w:between w:val="nil"/>
              </w:pBdr>
              <w:spacing w:before="80" w:after="40" w:line="240" w:lineRule="auto"/>
              <w:rPr>
                <w:rFonts w:ascii="Times New Roman" w:eastAsia="Times New Roman" w:hAnsi="Times New Roman"/>
              </w:rPr>
            </w:pPr>
            <w:r w:rsidRPr="00003118">
              <w:rPr>
                <w:rFonts w:ascii="Times New Roman" w:eastAsia="Times New Roman" w:hAnsi="Times New Roman"/>
              </w:rPr>
              <w:t>T</w:t>
            </w:r>
            <w:r w:rsidR="00692BC8" w:rsidRPr="00003118">
              <w:rPr>
                <w:rFonts w:ascii="Times New Roman" w:eastAsia="Times New Roman" w:hAnsi="Times New Roman"/>
              </w:rPr>
              <w:t>urizm</w:t>
            </w:r>
            <w:r w:rsidRPr="00003118">
              <w:rPr>
                <w:rFonts w:ascii="Times New Roman" w:eastAsia="Times New Roman" w:hAnsi="Times New Roman"/>
              </w:rPr>
              <w:t xml:space="preserve">o </w:t>
            </w:r>
            <w:r w:rsidR="00692BC8" w:rsidRPr="00003118">
              <w:rPr>
                <w:rFonts w:ascii="Times New Roman" w:eastAsia="Times New Roman" w:hAnsi="Times New Roman"/>
              </w:rPr>
              <w:t xml:space="preserve">tendencijos: </w:t>
            </w:r>
            <w:r w:rsidRPr="00003118">
              <w:rPr>
                <w:rFonts w:ascii="Times New Roman" w:eastAsia="Times New Roman" w:hAnsi="Times New Roman"/>
              </w:rPr>
              <w:t xml:space="preserve">prancūzų vidaus turizmas - </w:t>
            </w:r>
            <w:r w:rsidR="00692BC8" w:rsidRPr="00003118">
              <w:rPr>
                <w:rFonts w:ascii="Times New Roman" w:eastAsia="Times New Roman" w:hAnsi="Times New Roman"/>
              </w:rPr>
              <w:t>su mažesniu biudžetu</w:t>
            </w:r>
          </w:p>
        </w:tc>
      </w:tr>
      <w:tr w:rsidR="00F40A77" w:rsidRPr="00003118" w14:paraId="3DAB833A" w14:textId="77777777" w:rsidTr="002A484B">
        <w:trPr>
          <w:trHeight w:val="234"/>
        </w:trPr>
        <w:tc>
          <w:tcPr>
            <w:tcW w:w="10945" w:type="dxa"/>
            <w:gridSpan w:val="5"/>
            <w:tcMar>
              <w:top w:w="29" w:type="dxa"/>
              <w:left w:w="115" w:type="dxa"/>
              <w:bottom w:w="29" w:type="dxa"/>
              <w:right w:w="115" w:type="dxa"/>
            </w:tcMar>
          </w:tcPr>
          <w:p w14:paraId="42E7476A" w14:textId="77777777" w:rsidR="00F40A77" w:rsidRPr="00003118" w:rsidRDefault="00F40A77" w:rsidP="002A484B">
            <w:pPr>
              <w:spacing w:before="80" w:after="40" w:line="240" w:lineRule="auto"/>
              <w:rPr>
                <w:rFonts w:ascii="Times New Roman" w:eastAsia="Times New Roman" w:hAnsi="Times New Roman"/>
                <w:b/>
              </w:rPr>
            </w:pPr>
            <w:r w:rsidRPr="00003118">
              <w:rPr>
                <w:rFonts w:ascii="Times New Roman" w:eastAsia="Times New Roman" w:hAnsi="Times New Roman"/>
                <w:b/>
              </w:rPr>
              <w:lastRenderedPageBreak/>
              <w:t>Bendradarbiavimui MTEPI</w:t>
            </w:r>
            <w:r w:rsidRPr="00003118">
              <w:rPr>
                <w:rFonts w:ascii="Times New Roman" w:eastAsia="Times New Roman" w:hAnsi="Times New Roman"/>
                <w:b/>
                <w:vertAlign w:val="superscript"/>
              </w:rPr>
              <w:footnoteReference w:id="1"/>
            </w:r>
            <w:r w:rsidRPr="00003118">
              <w:rPr>
                <w:rFonts w:ascii="Times New Roman" w:eastAsia="Times New Roman" w:hAnsi="Times New Roman"/>
                <w:b/>
              </w:rPr>
              <w:t xml:space="preserve"> srityse aktuali informacija</w:t>
            </w:r>
          </w:p>
        </w:tc>
      </w:tr>
      <w:tr w:rsidR="002A484B" w:rsidRPr="00003118" w14:paraId="27998E98" w14:textId="77777777" w:rsidTr="004805A5">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0C2F8C95" w14:textId="77777777" w:rsidR="002A484B" w:rsidRPr="00003118" w:rsidRDefault="002A484B" w:rsidP="002A484B">
            <w:pPr>
              <w:spacing w:before="80" w:after="40" w:line="240" w:lineRule="auto"/>
              <w:rPr>
                <w:rFonts w:ascii="Times New Roman" w:eastAsia="Times New Roman" w:hAnsi="Times New Roman"/>
              </w:rPr>
            </w:pPr>
            <w:r w:rsidRPr="00003118">
              <w:rPr>
                <w:rFonts w:ascii="Times New Roman" w:eastAsia="Times New Roman" w:hAnsi="Times New Roman"/>
              </w:rPr>
              <w:t>2025 09 09</w:t>
            </w:r>
          </w:p>
        </w:tc>
        <w:tc>
          <w:tcPr>
            <w:tcW w:w="5812" w:type="dxa"/>
            <w:tcMar>
              <w:top w:w="29" w:type="dxa"/>
              <w:left w:w="115" w:type="dxa"/>
              <w:bottom w:w="29" w:type="dxa"/>
              <w:right w:w="115" w:type="dxa"/>
            </w:tcMar>
          </w:tcPr>
          <w:p w14:paraId="1730D871" w14:textId="77777777" w:rsidR="002A484B" w:rsidRPr="00003118" w:rsidRDefault="002A484B" w:rsidP="00780628">
            <w:pPr>
              <w:pBdr>
                <w:top w:val="nil"/>
                <w:left w:val="nil"/>
                <w:bottom w:val="nil"/>
                <w:right w:val="nil"/>
                <w:between w:val="nil"/>
              </w:pBd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Prancūzijos dirbtinio intelekto </w:t>
            </w:r>
            <w:proofErr w:type="spellStart"/>
            <w:r w:rsidRPr="00003118">
              <w:rPr>
                <w:rFonts w:ascii="Times New Roman" w:eastAsia="Times New Roman" w:hAnsi="Times New Roman"/>
              </w:rPr>
              <w:t>startuolis</w:t>
            </w:r>
            <w:proofErr w:type="spellEnd"/>
            <w:r w:rsidRPr="00003118">
              <w:rPr>
                <w:rFonts w:ascii="Times New Roman" w:eastAsia="Times New Roman" w:hAnsi="Times New Roman"/>
              </w:rPr>
              <w:t xml:space="preserve"> </w:t>
            </w:r>
            <w:proofErr w:type="spellStart"/>
            <w:r w:rsidRPr="00003118">
              <w:rPr>
                <w:rFonts w:ascii="Times New Roman" w:eastAsia="Times New Roman" w:hAnsi="Times New Roman"/>
              </w:rPr>
              <w:t>Mistral</w:t>
            </w:r>
            <w:proofErr w:type="spellEnd"/>
            <w:r w:rsidRPr="00003118">
              <w:rPr>
                <w:rFonts w:ascii="Times New Roman" w:eastAsia="Times New Roman" w:hAnsi="Times New Roman"/>
              </w:rPr>
              <w:t xml:space="preserve"> AI užbaigė trečiąjį kapitalo pritraukimo etapą, kurio metu gavo 1,7 mlrd. eurų investicijų. Po šio finansavimo įmonės vertė pasiekė 11,7 mlrd. eurų, beveik dvigubai daugiau nei 2024 m. birželį (5,8 mlrd. eurų). Pagrindinis investuotojas – Nyderlandų puslaidininkių pramonės milžinė ASML, įsigijusi 11 % akcijų ir vietą strateginiame komitete, taip stiprinant Europos technologinę integraciją.</w:t>
            </w:r>
          </w:p>
          <w:p w14:paraId="47EC3640" w14:textId="77777777" w:rsidR="002A484B" w:rsidRPr="00003118" w:rsidRDefault="002A484B" w:rsidP="00780628">
            <w:pPr>
              <w:pBdr>
                <w:top w:val="nil"/>
                <w:left w:val="nil"/>
                <w:bottom w:val="nil"/>
                <w:right w:val="nil"/>
                <w:between w:val="nil"/>
              </w:pBdr>
              <w:spacing w:before="80" w:after="40" w:line="240" w:lineRule="auto"/>
              <w:jc w:val="both"/>
              <w:rPr>
                <w:rFonts w:ascii="Times New Roman" w:eastAsia="Times New Roman" w:hAnsi="Times New Roman"/>
              </w:rPr>
            </w:pPr>
            <w:proofErr w:type="spellStart"/>
            <w:r w:rsidRPr="00003118">
              <w:rPr>
                <w:rFonts w:ascii="Times New Roman" w:eastAsia="Times New Roman" w:hAnsi="Times New Roman"/>
              </w:rPr>
              <w:t>Mistral</w:t>
            </w:r>
            <w:proofErr w:type="spellEnd"/>
            <w:r w:rsidRPr="00003118">
              <w:rPr>
                <w:rFonts w:ascii="Times New Roman" w:eastAsia="Times New Roman" w:hAnsi="Times New Roman"/>
              </w:rPr>
              <w:t xml:space="preserve"> AI plėtra vyksta dviem kryptimis: (1) technologiniu lygmeniu bendrovė specializuojasi mažesnio masto kalbos modeliuose, kurie yra skaičiavimams mažiau imlūs ir ekonomiškai efektyvesni, (2) komerciniu lygmeniu ji sutelkia dėmesį į verslo klientų rinką, sudarydama </w:t>
            </w:r>
            <w:proofErr w:type="spellStart"/>
            <w:r w:rsidRPr="00003118">
              <w:rPr>
                <w:rFonts w:ascii="Times New Roman" w:eastAsia="Times New Roman" w:hAnsi="Times New Roman"/>
              </w:rPr>
              <w:t>multimilijonines</w:t>
            </w:r>
            <w:proofErr w:type="spellEnd"/>
            <w:r w:rsidRPr="00003118">
              <w:rPr>
                <w:rFonts w:ascii="Times New Roman" w:eastAsia="Times New Roman" w:hAnsi="Times New Roman"/>
              </w:rPr>
              <w:t xml:space="preserve"> sutartis su tokiais partneriais kaip „</w:t>
            </w:r>
            <w:proofErr w:type="spellStart"/>
            <w:r w:rsidRPr="00003118">
              <w:rPr>
                <w:rFonts w:ascii="Times New Roman" w:eastAsia="Times New Roman" w:hAnsi="Times New Roman"/>
              </w:rPr>
              <w:t>Orange</w:t>
            </w:r>
            <w:proofErr w:type="spellEnd"/>
            <w:r w:rsidRPr="00003118">
              <w:rPr>
                <w:rFonts w:ascii="Times New Roman" w:eastAsia="Times New Roman" w:hAnsi="Times New Roman"/>
              </w:rPr>
              <w:t xml:space="preserve">“, BNP </w:t>
            </w:r>
            <w:proofErr w:type="spellStart"/>
            <w:r w:rsidRPr="00003118">
              <w:rPr>
                <w:rFonts w:ascii="Times New Roman" w:eastAsia="Times New Roman" w:hAnsi="Times New Roman"/>
              </w:rPr>
              <w:t>Paribas</w:t>
            </w:r>
            <w:proofErr w:type="spellEnd"/>
            <w:r w:rsidRPr="00003118">
              <w:rPr>
                <w:rFonts w:ascii="Times New Roman" w:eastAsia="Times New Roman" w:hAnsi="Times New Roman"/>
              </w:rPr>
              <w:t>, „</w:t>
            </w:r>
            <w:proofErr w:type="spellStart"/>
            <w:r w:rsidRPr="00003118">
              <w:rPr>
                <w:rFonts w:ascii="Times New Roman" w:eastAsia="Times New Roman" w:hAnsi="Times New Roman"/>
              </w:rPr>
              <w:t>Cisco</w:t>
            </w:r>
            <w:proofErr w:type="spellEnd"/>
            <w:r w:rsidRPr="00003118">
              <w:rPr>
                <w:rFonts w:ascii="Times New Roman" w:eastAsia="Times New Roman" w:hAnsi="Times New Roman"/>
              </w:rPr>
              <w:t>“, „</w:t>
            </w:r>
            <w:proofErr w:type="spellStart"/>
            <w:r w:rsidRPr="00003118">
              <w:rPr>
                <w:rFonts w:ascii="Times New Roman" w:eastAsia="Times New Roman" w:hAnsi="Times New Roman"/>
              </w:rPr>
              <w:t>Stellantis</w:t>
            </w:r>
            <w:proofErr w:type="spellEnd"/>
            <w:r w:rsidRPr="00003118">
              <w:rPr>
                <w:rFonts w:ascii="Times New Roman" w:eastAsia="Times New Roman" w:hAnsi="Times New Roman"/>
              </w:rPr>
              <w:t>“ ir CMA CGM. Įmonės užsakymų portfelis 2025 m. siekia 300 mln. eurų metinių įsipareigojimų (1,4 mlrd. eurų keliems metams), o darbuotojų skaičius išaugo iki 350 šešiuose pasaulio biuruose.</w:t>
            </w:r>
          </w:p>
          <w:p w14:paraId="4BEA0EDD" w14:textId="77777777" w:rsidR="002A484B" w:rsidRPr="00003118" w:rsidRDefault="002A484B" w:rsidP="00780628">
            <w:pPr>
              <w:pBdr>
                <w:top w:val="nil"/>
                <w:left w:val="nil"/>
                <w:bottom w:val="nil"/>
                <w:right w:val="nil"/>
                <w:between w:val="nil"/>
              </w:pBd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Vis dėlto, nepaisant spartaus augimo ir reikšmingos europinės partnerystės, </w:t>
            </w:r>
            <w:proofErr w:type="spellStart"/>
            <w:r w:rsidRPr="00003118">
              <w:rPr>
                <w:rFonts w:ascii="Times New Roman" w:eastAsia="Times New Roman" w:hAnsi="Times New Roman"/>
              </w:rPr>
              <w:t>Mistral</w:t>
            </w:r>
            <w:proofErr w:type="spellEnd"/>
            <w:r w:rsidRPr="00003118">
              <w:rPr>
                <w:rFonts w:ascii="Times New Roman" w:eastAsia="Times New Roman" w:hAnsi="Times New Roman"/>
              </w:rPr>
              <w:t xml:space="preserve"> AI mastas išlieka menkesnis palyginti su JAV konkurentais („</w:t>
            </w:r>
            <w:proofErr w:type="spellStart"/>
            <w:r w:rsidRPr="00003118">
              <w:rPr>
                <w:rFonts w:ascii="Times New Roman" w:eastAsia="Times New Roman" w:hAnsi="Times New Roman"/>
              </w:rPr>
              <w:t>OpenAI</w:t>
            </w:r>
            <w:proofErr w:type="spellEnd"/>
            <w:r w:rsidRPr="00003118">
              <w:rPr>
                <w:rFonts w:ascii="Times New Roman" w:eastAsia="Times New Roman" w:hAnsi="Times New Roman"/>
              </w:rPr>
              <w:t>“, „</w:t>
            </w:r>
            <w:proofErr w:type="spellStart"/>
            <w:r w:rsidRPr="00003118">
              <w:rPr>
                <w:rFonts w:ascii="Times New Roman" w:eastAsia="Times New Roman" w:hAnsi="Times New Roman"/>
              </w:rPr>
              <w:t>Anthropic</w:t>
            </w:r>
            <w:proofErr w:type="spellEnd"/>
            <w:r w:rsidRPr="00003118">
              <w:rPr>
                <w:rFonts w:ascii="Times New Roman" w:eastAsia="Times New Roman" w:hAnsi="Times New Roman"/>
              </w:rPr>
              <w:t xml:space="preserve">“, „Google“, „Meta“), kurių kapitalo pritraukimo apimtys siekia dešimtis milijardų, o pajamos – kelis milijardus eurų per metus. Ši situacija pabrėžia struktūrinį Europos technologinės ekosistemos iššūkį, kartu suteikdama </w:t>
            </w:r>
            <w:proofErr w:type="spellStart"/>
            <w:r w:rsidRPr="00003118">
              <w:rPr>
                <w:rFonts w:ascii="Times New Roman" w:eastAsia="Times New Roman" w:hAnsi="Times New Roman"/>
              </w:rPr>
              <w:t>Mistral</w:t>
            </w:r>
            <w:proofErr w:type="spellEnd"/>
            <w:r w:rsidRPr="00003118">
              <w:rPr>
                <w:rFonts w:ascii="Times New Roman" w:eastAsia="Times New Roman" w:hAnsi="Times New Roman"/>
              </w:rPr>
              <w:t xml:space="preserve"> AI galimybę tapti strateginiu Europos suvereniteto dirbtinio intelekto srityje instrumentu.</w:t>
            </w:r>
          </w:p>
        </w:tc>
        <w:tc>
          <w:tcPr>
            <w:tcW w:w="2268" w:type="dxa"/>
            <w:tcBorders>
              <w:bottom w:val="single" w:sz="4" w:space="0" w:color="000000"/>
            </w:tcBorders>
            <w:tcMar>
              <w:top w:w="29" w:type="dxa"/>
              <w:left w:w="115" w:type="dxa"/>
              <w:bottom w:w="29" w:type="dxa"/>
              <w:right w:w="115" w:type="dxa"/>
            </w:tcMar>
          </w:tcPr>
          <w:p w14:paraId="6D49176A" w14:textId="77777777" w:rsidR="002A484B" w:rsidRPr="00003118" w:rsidRDefault="002A484B" w:rsidP="002A484B">
            <w:pPr>
              <w:spacing w:before="80" w:after="40" w:line="240" w:lineRule="auto"/>
              <w:rPr>
                <w:rFonts w:ascii="Times New Roman" w:eastAsia="Times New Roman" w:hAnsi="Times New Roman"/>
              </w:rPr>
            </w:pPr>
            <w:hyperlink r:id="rId15" w:history="1">
              <w:proofErr w:type="spellStart"/>
              <w:r w:rsidRPr="00003118">
                <w:rPr>
                  <w:rFonts w:ascii="Times New Roman" w:hAnsi="Times New Roman"/>
                  <w:color w:val="0000FF"/>
                  <w:u w:val="single"/>
                </w:rPr>
                <w:t>Mistral</w:t>
              </w:r>
              <w:proofErr w:type="spellEnd"/>
              <w:r w:rsidRPr="00003118">
                <w:rPr>
                  <w:rFonts w:ascii="Times New Roman" w:hAnsi="Times New Roman"/>
                  <w:color w:val="0000FF"/>
                  <w:u w:val="single"/>
                </w:rPr>
                <w:t xml:space="preserve"> AI,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start-up</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française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d’intelligence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artificielle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valorisée</w:t>
              </w:r>
              <w:proofErr w:type="spellEnd"/>
              <w:r w:rsidRPr="00003118">
                <w:rPr>
                  <w:rFonts w:ascii="Times New Roman" w:hAnsi="Times New Roman"/>
                  <w:color w:val="0000FF"/>
                  <w:u w:val="single"/>
                </w:rPr>
                <w:t xml:space="preserve"> 11,7 </w:t>
              </w:r>
              <w:proofErr w:type="spellStart"/>
              <w:r w:rsidRPr="00003118">
                <w:rPr>
                  <w:rFonts w:ascii="Times New Roman" w:hAnsi="Times New Roman"/>
                  <w:color w:val="0000FF"/>
                  <w:u w:val="single"/>
                </w:rPr>
                <w:t>milliards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d’euros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après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avoir</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levé</w:t>
              </w:r>
              <w:proofErr w:type="spellEnd"/>
              <w:r w:rsidRPr="00003118">
                <w:rPr>
                  <w:rFonts w:ascii="Times New Roman" w:hAnsi="Times New Roman"/>
                  <w:color w:val="0000FF"/>
                  <w:u w:val="single"/>
                </w:rPr>
                <w:t xml:space="preserve"> 1,7 </w:t>
              </w:r>
              <w:proofErr w:type="spellStart"/>
              <w:r w:rsidRPr="00003118">
                <w:rPr>
                  <w:rFonts w:ascii="Times New Roman" w:hAnsi="Times New Roman"/>
                  <w:color w:val="0000FF"/>
                  <w:u w:val="single"/>
                </w:rPr>
                <w:t>milliard</w:t>
              </w:r>
              <w:proofErr w:type="spellEnd"/>
            </w:hyperlink>
          </w:p>
        </w:tc>
        <w:tc>
          <w:tcPr>
            <w:tcW w:w="1436" w:type="dxa"/>
            <w:tcMar>
              <w:top w:w="29" w:type="dxa"/>
              <w:left w:w="115" w:type="dxa"/>
              <w:bottom w:w="29" w:type="dxa"/>
              <w:right w:w="115" w:type="dxa"/>
            </w:tcMar>
          </w:tcPr>
          <w:p w14:paraId="28142343" w14:textId="240A503F" w:rsidR="002A484B" w:rsidRPr="00003118" w:rsidRDefault="002A484B" w:rsidP="002A484B">
            <w:pPr>
              <w:spacing w:before="80" w:after="40" w:line="240" w:lineRule="auto"/>
              <w:rPr>
                <w:rFonts w:ascii="Times New Roman" w:eastAsia="Times New Roman" w:hAnsi="Times New Roman"/>
              </w:rPr>
            </w:pPr>
            <w:r w:rsidRPr="00003118">
              <w:rPr>
                <w:rFonts w:ascii="Times New Roman" w:eastAsia="Times New Roman" w:hAnsi="Times New Roman"/>
              </w:rPr>
              <w:t xml:space="preserve">Europos dirbtinio intelekto </w:t>
            </w:r>
            <w:proofErr w:type="spellStart"/>
            <w:r w:rsidRPr="00003118">
              <w:rPr>
                <w:rFonts w:ascii="Times New Roman" w:eastAsia="Times New Roman" w:hAnsi="Times New Roman"/>
              </w:rPr>
              <w:t>startuolio</w:t>
            </w:r>
            <w:proofErr w:type="spellEnd"/>
            <w:r w:rsidRPr="00003118">
              <w:rPr>
                <w:rFonts w:ascii="Times New Roman" w:eastAsia="Times New Roman" w:hAnsi="Times New Roman"/>
              </w:rPr>
              <w:t xml:space="preserve"> </w:t>
            </w:r>
            <w:proofErr w:type="spellStart"/>
            <w:r w:rsidR="00092B06" w:rsidRPr="00003118">
              <w:rPr>
                <w:rFonts w:ascii="Times New Roman" w:eastAsia="Times New Roman" w:hAnsi="Times New Roman"/>
              </w:rPr>
              <w:t>Mistral</w:t>
            </w:r>
            <w:proofErr w:type="spellEnd"/>
            <w:r w:rsidR="00092B06" w:rsidRPr="00003118">
              <w:rPr>
                <w:rFonts w:ascii="Times New Roman" w:eastAsia="Times New Roman" w:hAnsi="Times New Roman"/>
              </w:rPr>
              <w:t xml:space="preserve"> AI </w:t>
            </w:r>
            <w:r w:rsidRPr="00003118">
              <w:rPr>
                <w:rFonts w:ascii="Times New Roman" w:eastAsia="Times New Roman" w:hAnsi="Times New Roman"/>
              </w:rPr>
              <w:t>plėtra</w:t>
            </w:r>
          </w:p>
        </w:tc>
      </w:tr>
      <w:tr w:rsidR="00F40A77" w:rsidRPr="00003118" w14:paraId="52A2F232" w14:textId="77777777" w:rsidTr="002A484B">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77D61A1D" w14:textId="7A3BF021" w:rsidR="00F40A77" w:rsidRPr="00003118" w:rsidRDefault="008330B1"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2025-09-25</w:t>
            </w:r>
          </w:p>
        </w:tc>
        <w:tc>
          <w:tcPr>
            <w:tcW w:w="5812" w:type="dxa"/>
            <w:tcMar>
              <w:top w:w="29" w:type="dxa"/>
              <w:left w:w="115" w:type="dxa"/>
              <w:bottom w:w="29" w:type="dxa"/>
              <w:right w:w="115" w:type="dxa"/>
            </w:tcMar>
          </w:tcPr>
          <w:p w14:paraId="6BB4C6C4" w14:textId="345AA6F1" w:rsidR="00F40A77" w:rsidRPr="00003118" w:rsidRDefault="008330B1" w:rsidP="00780628">
            <w:pPr>
              <w:pBdr>
                <w:top w:val="nil"/>
                <w:left w:val="nil"/>
                <w:bottom w:val="nil"/>
                <w:right w:val="nil"/>
                <w:between w:val="nil"/>
              </w:pBd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Prancūzijoje bus atidaryta pirma šalyje </w:t>
            </w:r>
            <w:proofErr w:type="spellStart"/>
            <w:r w:rsidRPr="00003118">
              <w:rPr>
                <w:rFonts w:ascii="Times New Roman" w:eastAsia="Times New Roman" w:hAnsi="Times New Roman"/>
              </w:rPr>
              <w:t>paracetamolio</w:t>
            </w:r>
            <w:proofErr w:type="spellEnd"/>
            <w:r w:rsidRPr="00003118">
              <w:rPr>
                <w:rFonts w:ascii="Times New Roman" w:eastAsia="Times New Roman" w:hAnsi="Times New Roman"/>
              </w:rPr>
              <w:t xml:space="preserve"> gamykla, gaminanti pagrindinius </w:t>
            </w:r>
            <w:proofErr w:type="spellStart"/>
            <w:r w:rsidRPr="00003118">
              <w:rPr>
                <w:rFonts w:ascii="Times New Roman" w:eastAsia="Times New Roman" w:hAnsi="Times New Roman"/>
              </w:rPr>
              <w:t>paracetamolio</w:t>
            </w:r>
            <w:proofErr w:type="spellEnd"/>
            <w:r w:rsidRPr="00003118">
              <w:rPr>
                <w:rFonts w:ascii="Times New Roman" w:eastAsia="Times New Roman" w:hAnsi="Times New Roman"/>
              </w:rPr>
              <w:t xml:space="preserve"> komponentus, kurie iki šiol buvo importuojami iš Kinijos, Indijos, Turkijos arba Amerikos. Prancūzai suvartoja apie 8000 tonų </w:t>
            </w:r>
            <w:proofErr w:type="spellStart"/>
            <w:r w:rsidRPr="00003118">
              <w:rPr>
                <w:rFonts w:ascii="Times New Roman" w:eastAsia="Times New Roman" w:hAnsi="Times New Roman"/>
              </w:rPr>
              <w:t>paracetamolio</w:t>
            </w:r>
            <w:proofErr w:type="spellEnd"/>
            <w:r w:rsidRPr="00003118">
              <w:rPr>
                <w:rFonts w:ascii="Times New Roman" w:eastAsia="Times New Roman" w:hAnsi="Times New Roman"/>
              </w:rPr>
              <w:t xml:space="preserve"> per metus, gamykla planuoja pagaminti apie pusę reikiamo kiekio. Pasaulinė sveikatos krizė Covid-19 pandemijos metu užtvirtino tiekimo grandinės nepertraukiamumo poreikį Europoje. </w:t>
            </w:r>
            <w:proofErr w:type="spellStart"/>
            <w:r w:rsidRPr="00003118">
              <w:rPr>
                <w:rFonts w:ascii="Times New Roman" w:eastAsia="Times New Roman" w:hAnsi="Times New Roman"/>
              </w:rPr>
              <w:t>Paracetamolis</w:t>
            </w:r>
            <w:proofErr w:type="spellEnd"/>
            <w:r w:rsidRPr="00003118">
              <w:rPr>
                <w:rFonts w:ascii="Times New Roman" w:eastAsia="Times New Roman" w:hAnsi="Times New Roman"/>
              </w:rPr>
              <w:t xml:space="preserve">, kartu su antibiotikais ir morfinu, yra pirmojoje Europos Sąjungos paskelbtų „kritinių“ vaistų sąraše, kurių nepertraukiamas tiekimas yra prioritetinis. Gamykla planuoja atsidaryti 2026 metų pabaigoje </w:t>
            </w:r>
            <w:proofErr w:type="spellStart"/>
            <w:r w:rsidRPr="00003118">
              <w:rPr>
                <w:rFonts w:ascii="Times New Roman" w:eastAsia="Times New Roman" w:hAnsi="Times New Roman"/>
              </w:rPr>
              <w:t>Toulouse</w:t>
            </w:r>
            <w:proofErr w:type="spellEnd"/>
            <w:r w:rsidRPr="00003118">
              <w:rPr>
                <w:rFonts w:ascii="Times New Roman" w:eastAsia="Times New Roman" w:hAnsi="Times New Roman"/>
              </w:rPr>
              <w:t xml:space="preserve"> miesto industrinėje zonoje. Projekto iniciatorius </w:t>
            </w:r>
            <w:r w:rsidRPr="00003118">
              <w:rPr>
                <w:rFonts w:ascii="Times New Roman" w:eastAsia="Times New Roman" w:hAnsi="Times New Roman"/>
                <w:b/>
                <w:bCs/>
              </w:rPr>
              <w:t>IPSOPHENE</w:t>
            </w:r>
            <w:r w:rsidRPr="00003118">
              <w:rPr>
                <w:rFonts w:ascii="Times New Roman" w:eastAsia="Times New Roman" w:hAnsi="Times New Roman"/>
              </w:rPr>
              <w:t xml:space="preserve"> farmacijos įmonė.</w:t>
            </w:r>
          </w:p>
        </w:tc>
        <w:tc>
          <w:tcPr>
            <w:tcW w:w="2268" w:type="dxa"/>
            <w:tcBorders>
              <w:bottom w:val="single" w:sz="4" w:space="0" w:color="000000"/>
            </w:tcBorders>
            <w:tcMar>
              <w:top w:w="29" w:type="dxa"/>
              <w:left w:w="115" w:type="dxa"/>
              <w:bottom w:w="29" w:type="dxa"/>
              <w:right w:w="115" w:type="dxa"/>
            </w:tcMar>
          </w:tcPr>
          <w:p w14:paraId="61A6AA6E" w14:textId="77777777" w:rsidR="00905700" w:rsidRPr="00003118" w:rsidRDefault="008330B1" w:rsidP="002A484B">
            <w:pPr>
              <w:spacing w:before="80" w:after="40" w:line="240" w:lineRule="auto"/>
              <w:rPr>
                <w:rFonts w:ascii="Times New Roman" w:eastAsia="Times New Roman" w:hAnsi="Times New Roman"/>
              </w:rPr>
            </w:pPr>
            <w:hyperlink r:id="rId16" w:history="1">
              <w:proofErr w:type="spellStart"/>
              <w:r w:rsidRPr="00003118">
                <w:rPr>
                  <w:rStyle w:val="Hyperlink"/>
                  <w:rFonts w:ascii="Times New Roman" w:eastAsia="Times New Roman" w:hAnsi="Times New Roman"/>
                </w:rPr>
                <w:t>Paracétamol</w:t>
              </w:r>
              <w:proofErr w:type="spellEnd"/>
              <w:r w:rsidRPr="00003118">
                <w:rPr>
                  <w:rStyle w:val="Hyperlink"/>
                  <w:rFonts w:ascii="Times New Roman" w:eastAsia="Times New Roman" w:hAnsi="Times New Roman"/>
                </w:rPr>
                <w:t xml:space="preserve"> : </w:t>
              </w:r>
              <w:proofErr w:type="spellStart"/>
              <w:r w:rsidRPr="00003118">
                <w:rPr>
                  <w:rStyle w:val="Hyperlink"/>
                  <w:rFonts w:ascii="Times New Roman" w:eastAsia="Times New Roman" w:hAnsi="Times New Roman"/>
                </w:rPr>
                <w:t>feu</w:t>
              </w:r>
              <w:proofErr w:type="spellEnd"/>
              <w:r w:rsidRPr="00003118">
                <w:rPr>
                  <w:rStyle w:val="Hyperlink"/>
                  <w:rFonts w:ascii="Times New Roman" w:eastAsia="Times New Roman" w:hAnsi="Times New Roman"/>
                </w:rPr>
                <w:t xml:space="preserve"> vert </w:t>
              </w:r>
              <w:proofErr w:type="spellStart"/>
              <w:r w:rsidRPr="00003118">
                <w:rPr>
                  <w:rStyle w:val="Hyperlink"/>
                  <w:rFonts w:ascii="Times New Roman" w:eastAsia="Times New Roman" w:hAnsi="Times New Roman"/>
                </w:rPr>
                <w:t>pour</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la</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construction</w:t>
              </w:r>
              <w:proofErr w:type="spellEnd"/>
              <w:r w:rsidRPr="00003118">
                <w:rPr>
                  <w:rStyle w:val="Hyperlink"/>
                  <w:rFonts w:ascii="Times New Roman" w:eastAsia="Times New Roman" w:hAnsi="Times New Roman"/>
                </w:rPr>
                <w:t xml:space="preserve"> de </w:t>
              </w:r>
              <w:proofErr w:type="spellStart"/>
              <w:r w:rsidRPr="00003118">
                <w:rPr>
                  <w:rStyle w:val="Hyperlink"/>
                  <w:rFonts w:ascii="Times New Roman" w:eastAsia="Times New Roman" w:hAnsi="Times New Roman"/>
                </w:rPr>
                <w:t>l’une</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des</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premières</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usines</w:t>
              </w:r>
              <w:proofErr w:type="spellEnd"/>
              <w:r w:rsidRPr="00003118">
                <w:rPr>
                  <w:rStyle w:val="Hyperlink"/>
                  <w:rFonts w:ascii="Times New Roman" w:eastAsia="Times New Roman" w:hAnsi="Times New Roman"/>
                </w:rPr>
                <w:t xml:space="preserve"> de France, à </w:t>
              </w:r>
              <w:proofErr w:type="spellStart"/>
              <w:r w:rsidRPr="00003118">
                <w:rPr>
                  <w:rStyle w:val="Hyperlink"/>
                  <w:rFonts w:ascii="Times New Roman" w:eastAsia="Times New Roman" w:hAnsi="Times New Roman"/>
                </w:rPr>
                <w:t>Toulouse</w:t>
              </w:r>
              <w:proofErr w:type="spellEnd"/>
              <w:r w:rsidRPr="00003118">
                <w:rPr>
                  <w:rStyle w:val="Hyperlink"/>
                  <w:rFonts w:ascii="Times New Roman" w:eastAsia="Times New Roman" w:hAnsi="Times New Roman"/>
                </w:rPr>
                <w:t xml:space="preserve"> – </w:t>
              </w:r>
              <w:proofErr w:type="spellStart"/>
              <w:r w:rsidRPr="00003118">
                <w:rPr>
                  <w:rStyle w:val="Hyperlink"/>
                  <w:rFonts w:ascii="Times New Roman" w:eastAsia="Times New Roman" w:hAnsi="Times New Roman"/>
                </w:rPr>
                <w:t>Libération</w:t>
              </w:r>
              <w:proofErr w:type="spellEnd"/>
            </w:hyperlink>
          </w:p>
          <w:p w14:paraId="60CE4E1B" w14:textId="77777777" w:rsidR="008330B1" w:rsidRPr="00003118" w:rsidRDefault="008330B1" w:rsidP="002A484B">
            <w:pPr>
              <w:spacing w:before="80" w:after="40" w:line="240" w:lineRule="auto"/>
              <w:rPr>
                <w:rFonts w:ascii="Times New Roman" w:eastAsia="Times New Roman" w:hAnsi="Times New Roman"/>
              </w:rPr>
            </w:pPr>
          </w:p>
          <w:p w14:paraId="113A2D57" w14:textId="2EC940FA" w:rsidR="008330B1" w:rsidRPr="00003118" w:rsidRDefault="008330B1" w:rsidP="002A484B">
            <w:pPr>
              <w:spacing w:before="80" w:after="40" w:line="240" w:lineRule="auto"/>
              <w:rPr>
                <w:rFonts w:ascii="Times New Roman" w:eastAsia="Times New Roman" w:hAnsi="Times New Roman"/>
              </w:rPr>
            </w:pPr>
            <w:hyperlink r:id="rId17" w:history="1">
              <w:proofErr w:type="spellStart"/>
              <w:r w:rsidRPr="00003118">
                <w:rPr>
                  <w:rStyle w:val="Hyperlink"/>
                  <w:rFonts w:ascii="Times New Roman" w:eastAsia="Times New Roman" w:hAnsi="Times New Roman"/>
                </w:rPr>
                <w:t>Qui</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sommes</w:t>
              </w:r>
              <w:proofErr w:type="spellEnd"/>
              <w:r w:rsidRPr="00003118">
                <w:rPr>
                  <w:rStyle w:val="Hyperlink"/>
                  <w:rFonts w:ascii="Times New Roman" w:eastAsia="Times New Roman" w:hAnsi="Times New Roman"/>
                </w:rPr>
                <w:t xml:space="preserve"> </w:t>
              </w:r>
              <w:proofErr w:type="spellStart"/>
              <w:r w:rsidRPr="00003118">
                <w:rPr>
                  <w:rStyle w:val="Hyperlink"/>
                  <w:rFonts w:ascii="Times New Roman" w:eastAsia="Times New Roman" w:hAnsi="Times New Roman"/>
                </w:rPr>
                <w:t>nous</w:t>
              </w:r>
              <w:proofErr w:type="spellEnd"/>
              <w:r w:rsidRPr="00003118">
                <w:rPr>
                  <w:rStyle w:val="Hyperlink"/>
                  <w:rFonts w:ascii="Times New Roman" w:eastAsia="Times New Roman" w:hAnsi="Times New Roman"/>
                </w:rPr>
                <w:t xml:space="preserve"> - </w:t>
              </w:r>
              <w:proofErr w:type="spellStart"/>
              <w:r w:rsidRPr="00003118">
                <w:rPr>
                  <w:rStyle w:val="Hyperlink"/>
                  <w:rFonts w:ascii="Times New Roman" w:eastAsia="Times New Roman" w:hAnsi="Times New Roman"/>
                </w:rPr>
                <w:t>Ipsophene</w:t>
              </w:r>
              <w:proofErr w:type="spellEnd"/>
            </w:hyperlink>
          </w:p>
        </w:tc>
        <w:tc>
          <w:tcPr>
            <w:tcW w:w="1436" w:type="dxa"/>
            <w:tcMar>
              <w:top w:w="29" w:type="dxa"/>
              <w:left w:w="115" w:type="dxa"/>
              <w:bottom w:w="29" w:type="dxa"/>
              <w:right w:w="115" w:type="dxa"/>
            </w:tcMar>
          </w:tcPr>
          <w:p w14:paraId="7FEA17E0" w14:textId="4B13DCD6" w:rsidR="00F40A77" w:rsidRPr="00003118" w:rsidRDefault="008330B1" w:rsidP="002A484B">
            <w:pPr>
              <w:spacing w:before="80" w:after="40" w:line="240" w:lineRule="auto"/>
              <w:rPr>
                <w:rFonts w:ascii="Times New Roman" w:eastAsia="Times New Roman" w:hAnsi="Times New Roman"/>
              </w:rPr>
            </w:pPr>
            <w:r w:rsidRPr="00003118">
              <w:rPr>
                <w:rFonts w:ascii="Times New Roman" w:eastAsia="Times New Roman" w:hAnsi="Times New Roman"/>
              </w:rPr>
              <w:t>Farmacijos pramonė</w:t>
            </w:r>
          </w:p>
        </w:tc>
      </w:tr>
      <w:tr w:rsidR="00F40A77" w:rsidRPr="00003118" w14:paraId="27BCF2BE" w14:textId="77777777" w:rsidTr="002A484B">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503251E3" w14:textId="2683609C" w:rsidR="00F40A77" w:rsidRPr="00003118" w:rsidRDefault="00A71142" w:rsidP="002A484B">
            <w:pPr>
              <w:spacing w:before="80" w:after="40" w:line="240" w:lineRule="auto"/>
              <w:rPr>
                <w:rFonts w:ascii="Times New Roman" w:eastAsia="Times New Roman" w:hAnsi="Times New Roman"/>
              </w:rPr>
            </w:pPr>
            <w:r w:rsidRPr="00003118">
              <w:rPr>
                <w:rFonts w:ascii="Times New Roman" w:eastAsia="Times New Roman" w:hAnsi="Times New Roman"/>
              </w:rPr>
              <w:t>2025 09 29</w:t>
            </w:r>
          </w:p>
        </w:tc>
        <w:tc>
          <w:tcPr>
            <w:tcW w:w="5812" w:type="dxa"/>
            <w:tcMar>
              <w:top w:w="29" w:type="dxa"/>
              <w:left w:w="115" w:type="dxa"/>
              <w:bottom w:w="29" w:type="dxa"/>
              <w:right w:w="115" w:type="dxa"/>
            </w:tcMar>
          </w:tcPr>
          <w:p w14:paraId="38946363" w14:textId="5F565F70" w:rsidR="00A71142" w:rsidRPr="00003118" w:rsidRDefault="00A71142" w:rsidP="00780628">
            <w:pPr>
              <w:pBdr>
                <w:top w:val="nil"/>
                <w:left w:val="nil"/>
                <w:bottom w:val="nil"/>
                <w:right w:val="nil"/>
                <w:between w:val="nil"/>
              </w:pBdr>
              <w:spacing w:before="80" w:after="40" w:line="240" w:lineRule="auto"/>
              <w:jc w:val="both"/>
              <w:rPr>
                <w:rFonts w:ascii="Times New Roman" w:eastAsia="Times New Roman" w:hAnsi="Times New Roman"/>
              </w:rPr>
            </w:pPr>
            <w:r w:rsidRPr="00003118">
              <w:rPr>
                <w:rFonts w:ascii="Times New Roman" w:eastAsia="Times New Roman" w:hAnsi="Times New Roman"/>
              </w:rPr>
              <w:t>Prancūzijoje vykdomas projektas, remiamas „France 2030“ nacionalinio investicijų plano, siekia iš esmės pakeisti kovą su vėžiu pasitelkiant kamienines ląsteles ir terapines vakcinas. Nacionalinė iniciatyva „</w:t>
            </w:r>
            <w:proofErr w:type="spellStart"/>
            <w:r w:rsidRPr="00003118">
              <w:rPr>
                <w:rFonts w:ascii="Times New Roman" w:eastAsia="Times New Roman" w:hAnsi="Times New Roman"/>
              </w:rPr>
              <w:t>Cithera</w:t>
            </w:r>
            <w:proofErr w:type="spellEnd"/>
            <w:r w:rsidRPr="00003118">
              <w:rPr>
                <w:rFonts w:ascii="Times New Roman" w:eastAsia="Times New Roman" w:hAnsi="Times New Roman"/>
              </w:rPr>
              <w:t xml:space="preserve">“ numato sukurti kamieninių </w:t>
            </w:r>
            <w:proofErr w:type="spellStart"/>
            <w:r w:rsidRPr="00003118">
              <w:rPr>
                <w:rFonts w:ascii="Times New Roman" w:eastAsia="Times New Roman" w:hAnsi="Times New Roman"/>
              </w:rPr>
              <w:t>pluripotentinių</w:t>
            </w:r>
            <w:proofErr w:type="spellEnd"/>
            <w:r w:rsidRPr="00003118">
              <w:rPr>
                <w:rFonts w:ascii="Times New Roman" w:eastAsia="Times New Roman" w:hAnsi="Times New Roman"/>
              </w:rPr>
              <w:t xml:space="preserve"> ląstelių banką, paremtą virkštelės kraujo ląstelių atsargomis. Šios ląstelės, galinčios diferencijuotis į bet kurią žmogaus kūno ląstelę, yra strateginė žaliava biomedicinai, leidžianti plėtoti </w:t>
            </w:r>
            <w:proofErr w:type="spellStart"/>
            <w:r w:rsidRPr="00003118">
              <w:rPr>
                <w:rFonts w:ascii="Times New Roman" w:eastAsia="Times New Roman" w:hAnsi="Times New Roman"/>
              </w:rPr>
              <w:t>regeneracinę</w:t>
            </w:r>
            <w:proofErr w:type="spellEnd"/>
            <w:r w:rsidRPr="00003118">
              <w:rPr>
                <w:rFonts w:ascii="Times New Roman" w:eastAsia="Times New Roman" w:hAnsi="Times New Roman"/>
              </w:rPr>
              <w:t xml:space="preserve"> mediciną, imunoterapiją ir užtikrinti sveikatos suverenitetą. Tokiu būdu Prancūzija siekia </w:t>
            </w:r>
            <w:r w:rsidRPr="00003118">
              <w:rPr>
                <w:rFonts w:ascii="Times New Roman" w:eastAsia="Times New Roman" w:hAnsi="Times New Roman"/>
              </w:rPr>
              <w:lastRenderedPageBreak/>
              <w:t xml:space="preserve">ne tik užtikrinti lygias galimybes gauti naujausias </w:t>
            </w:r>
            <w:proofErr w:type="spellStart"/>
            <w:r w:rsidRPr="00003118">
              <w:rPr>
                <w:rFonts w:ascii="Times New Roman" w:eastAsia="Times New Roman" w:hAnsi="Times New Roman"/>
              </w:rPr>
              <w:t>terapijas</w:t>
            </w:r>
            <w:proofErr w:type="spellEnd"/>
            <w:r w:rsidRPr="00003118">
              <w:rPr>
                <w:rFonts w:ascii="Times New Roman" w:eastAsia="Times New Roman" w:hAnsi="Times New Roman"/>
              </w:rPr>
              <w:t xml:space="preserve">, bet ir stiprinti savo pozicijas Europos </w:t>
            </w:r>
            <w:proofErr w:type="spellStart"/>
            <w:r w:rsidRPr="00003118">
              <w:rPr>
                <w:rFonts w:ascii="Times New Roman" w:eastAsia="Times New Roman" w:hAnsi="Times New Roman"/>
              </w:rPr>
              <w:t>biomokslų</w:t>
            </w:r>
            <w:proofErr w:type="spellEnd"/>
            <w:r w:rsidRPr="00003118">
              <w:rPr>
                <w:rFonts w:ascii="Times New Roman" w:eastAsia="Times New Roman" w:hAnsi="Times New Roman"/>
              </w:rPr>
              <w:t xml:space="preserve"> rinkoje. </w:t>
            </w:r>
          </w:p>
          <w:p w14:paraId="357C569E" w14:textId="3491E2BF" w:rsidR="00F40A77" w:rsidRPr="00003118" w:rsidRDefault="00A71142" w:rsidP="00780628">
            <w:pPr>
              <w:pBdr>
                <w:top w:val="nil"/>
                <w:left w:val="nil"/>
                <w:bottom w:val="nil"/>
                <w:right w:val="nil"/>
                <w:between w:val="nil"/>
              </w:pBd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Biotechnologijų įmonė </w:t>
            </w:r>
            <w:proofErr w:type="spellStart"/>
            <w:r w:rsidRPr="00003118">
              <w:rPr>
                <w:rFonts w:ascii="Times New Roman" w:eastAsia="Times New Roman" w:hAnsi="Times New Roman"/>
              </w:rPr>
              <w:t>IPSirius</w:t>
            </w:r>
            <w:proofErr w:type="spellEnd"/>
            <w:r w:rsidRPr="00003118">
              <w:rPr>
                <w:rFonts w:ascii="Times New Roman" w:eastAsia="Times New Roman" w:hAnsi="Times New Roman"/>
              </w:rPr>
              <w:t xml:space="preserve"> vysto universalų terapinį vakciną nuo vėžio, pasitelkdama kamieninių ląstelių ir vėžio kamieninių ląstelių genetinį panašumą. Skirtingai nei brangios, individualizuotos CAR-T terapijos, ši vakcina būtų pigesnė, universalesnė ir galėtų būti taikoma įvairių tipų navikams. Klinikiniai bandymai su žmonėmis planuojami artimiausiais dvejais–trejais metais, jei bus pritraukta apie 10 mln. eurų investicijų. Ši iniciatyva atspindi Prancūzijos pastangas pasivyti tarptautinę onkologijos tyrimų lyderystę ir kartu siekį sujungti mokslinę pažangą su pramonine plėtra.</w:t>
            </w:r>
          </w:p>
        </w:tc>
        <w:tc>
          <w:tcPr>
            <w:tcW w:w="2268" w:type="dxa"/>
            <w:tcBorders>
              <w:bottom w:val="single" w:sz="4" w:space="0" w:color="000000"/>
            </w:tcBorders>
            <w:tcMar>
              <w:top w:w="29" w:type="dxa"/>
              <w:left w:w="115" w:type="dxa"/>
              <w:bottom w:w="29" w:type="dxa"/>
              <w:right w:w="115" w:type="dxa"/>
            </w:tcMar>
          </w:tcPr>
          <w:p w14:paraId="7E13CD7A" w14:textId="5FC4ABFC" w:rsidR="00F40A77" w:rsidRPr="00003118" w:rsidRDefault="00A71142" w:rsidP="002A484B">
            <w:pPr>
              <w:spacing w:before="80" w:after="40" w:line="240" w:lineRule="auto"/>
              <w:rPr>
                <w:rFonts w:ascii="Times New Roman" w:eastAsia="Times New Roman" w:hAnsi="Times New Roman"/>
              </w:rPr>
            </w:pPr>
            <w:hyperlink r:id="rId18" w:history="1">
              <w:proofErr w:type="spellStart"/>
              <w:r w:rsidRPr="00003118">
                <w:rPr>
                  <w:rFonts w:ascii="Times New Roman" w:hAnsi="Times New Roman"/>
                  <w:color w:val="0000FF"/>
                  <w:u w:val="single"/>
                </w:rPr>
                <w:t>Révolutionner</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lutte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contre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cancer</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grâce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aux</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cellules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souches</w:t>
              </w:r>
              <w:proofErr w:type="spellEnd"/>
              <w:r w:rsidRPr="00003118">
                <w:rPr>
                  <w:rFonts w:ascii="Times New Roman" w:hAnsi="Times New Roman"/>
                  <w:color w:val="0000FF"/>
                  <w:u w:val="single"/>
                </w:rPr>
                <w:t xml:space="preserve"> et </w:t>
              </w:r>
              <w:proofErr w:type="spellStart"/>
              <w:r w:rsidRPr="00003118">
                <w:rPr>
                  <w:rFonts w:ascii="Times New Roman" w:hAnsi="Times New Roman"/>
                  <w:color w:val="0000FF"/>
                  <w:u w:val="single"/>
                </w:rPr>
                <w:t>aux</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vaccins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thérapeutiques</w:t>
              </w:r>
              <w:proofErr w:type="spellEnd"/>
            </w:hyperlink>
          </w:p>
        </w:tc>
        <w:tc>
          <w:tcPr>
            <w:tcW w:w="1436" w:type="dxa"/>
            <w:tcMar>
              <w:top w:w="29" w:type="dxa"/>
              <w:left w:w="115" w:type="dxa"/>
              <w:bottom w:w="29" w:type="dxa"/>
              <w:right w:w="115" w:type="dxa"/>
            </w:tcMar>
          </w:tcPr>
          <w:p w14:paraId="58BEB89B" w14:textId="7C838EFD" w:rsidR="00F40A77" w:rsidRPr="00003118" w:rsidRDefault="00A71142" w:rsidP="002A484B">
            <w:pPr>
              <w:spacing w:before="80" w:after="40" w:line="240" w:lineRule="auto"/>
              <w:rPr>
                <w:rFonts w:ascii="Times New Roman" w:eastAsia="Times New Roman" w:hAnsi="Times New Roman"/>
              </w:rPr>
            </w:pPr>
            <w:r w:rsidRPr="00003118">
              <w:rPr>
                <w:rFonts w:ascii="Times New Roman" w:eastAsia="Times New Roman" w:hAnsi="Times New Roman"/>
              </w:rPr>
              <w:t>Kamieninių ląstelių ir terapinių vakcinų tyrimai</w:t>
            </w:r>
          </w:p>
        </w:tc>
      </w:tr>
      <w:tr w:rsidR="00F40A77" w:rsidRPr="00003118" w14:paraId="76232AD0" w14:textId="77777777" w:rsidTr="002A484B">
        <w:trPr>
          <w:trHeight w:val="234"/>
        </w:trPr>
        <w:tc>
          <w:tcPr>
            <w:tcW w:w="10945" w:type="dxa"/>
            <w:gridSpan w:val="5"/>
            <w:tcMar>
              <w:top w:w="29" w:type="dxa"/>
              <w:left w:w="115" w:type="dxa"/>
              <w:bottom w:w="29" w:type="dxa"/>
              <w:right w:w="115" w:type="dxa"/>
            </w:tcMar>
          </w:tcPr>
          <w:p w14:paraId="7FAEF613" w14:textId="77777777" w:rsidR="00F40A77" w:rsidRPr="00003118" w:rsidRDefault="00F40A77" w:rsidP="002A484B">
            <w:pPr>
              <w:spacing w:before="80" w:after="40" w:line="240" w:lineRule="auto"/>
              <w:rPr>
                <w:rFonts w:ascii="Times New Roman" w:eastAsia="Times New Roman" w:hAnsi="Times New Roman"/>
                <w:b/>
              </w:rPr>
            </w:pPr>
            <w:r w:rsidRPr="00003118">
              <w:rPr>
                <w:rFonts w:ascii="Times New Roman" w:eastAsia="Times New Roman" w:hAnsi="Times New Roman"/>
                <w:b/>
              </w:rPr>
              <w:t>Bendra ekonominė informacija</w:t>
            </w:r>
          </w:p>
        </w:tc>
      </w:tr>
      <w:tr w:rsidR="00DB6130" w:rsidRPr="00003118" w14:paraId="21CBA1DA" w14:textId="77777777" w:rsidTr="002A484B">
        <w:trPr>
          <w:gridAfter w:val="1"/>
          <w:wAfter w:w="11" w:type="dxa"/>
          <w:trHeight w:val="216"/>
        </w:trPr>
        <w:tc>
          <w:tcPr>
            <w:tcW w:w="1418" w:type="dxa"/>
            <w:tcMar>
              <w:top w:w="29" w:type="dxa"/>
              <w:left w:w="115" w:type="dxa"/>
              <w:bottom w:w="29" w:type="dxa"/>
              <w:right w:w="115" w:type="dxa"/>
            </w:tcMar>
          </w:tcPr>
          <w:p w14:paraId="241D0C06" w14:textId="77777777" w:rsidR="00DB6130" w:rsidRPr="00003118" w:rsidRDefault="00DB6130"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2025 09 09</w:t>
            </w:r>
          </w:p>
          <w:p w14:paraId="3462E09C" w14:textId="77777777" w:rsidR="00092B06" w:rsidRPr="00003118" w:rsidRDefault="00092B06" w:rsidP="002A484B">
            <w:pPr>
              <w:spacing w:before="80" w:after="40" w:line="240" w:lineRule="auto"/>
              <w:rPr>
                <w:rFonts w:ascii="Times New Roman" w:eastAsia="Times New Roman" w:hAnsi="Times New Roman"/>
                <w:lang w:val="en-US"/>
              </w:rPr>
            </w:pPr>
          </w:p>
          <w:p w14:paraId="17691677" w14:textId="77777777" w:rsidR="00092B06" w:rsidRPr="00003118" w:rsidRDefault="00092B06" w:rsidP="002A484B">
            <w:pPr>
              <w:spacing w:before="80" w:after="40" w:line="240" w:lineRule="auto"/>
              <w:rPr>
                <w:rFonts w:ascii="Times New Roman" w:eastAsia="Times New Roman" w:hAnsi="Times New Roman"/>
                <w:lang w:val="en-US"/>
              </w:rPr>
            </w:pPr>
          </w:p>
          <w:p w14:paraId="5FC4ED30" w14:textId="77777777" w:rsidR="00092B06" w:rsidRPr="00003118" w:rsidRDefault="00092B06" w:rsidP="002A484B">
            <w:pPr>
              <w:spacing w:before="80" w:after="40" w:line="240" w:lineRule="auto"/>
              <w:rPr>
                <w:rFonts w:ascii="Times New Roman" w:eastAsia="Times New Roman" w:hAnsi="Times New Roman"/>
                <w:lang w:val="en-US"/>
              </w:rPr>
            </w:pPr>
          </w:p>
          <w:p w14:paraId="576F71B9" w14:textId="77777777" w:rsidR="00092B06" w:rsidRPr="00003118" w:rsidRDefault="00092B06" w:rsidP="002A484B">
            <w:pPr>
              <w:spacing w:before="80" w:after="40" w:line="240" w:lineRule="auto"/>
              <w:rPr>
                <w:rFonts w:ascii="Times New Roman" w:eastAsia="Times New Roman" w:hAnsi="Times New Roman"/>
                <w:lang w:val="en-US"/>
              </w:rPr>
            </w:pPr>
          </w:p>
          <w:p w14:paraId="3E817061" w14:textId="77777777" w:rsidR="00092B06" w:rsidRPr="00003118" w:rsidRDefault="00092B06" w:rsidP="002A484B">
            <w:pPr>
              <w:spacing w:before="80" w:after="40" w:line="240" w:lineRule="auto"/>
              <w:rPr>
                <w:rFonts w:ascii="Times New Roman" w:eastAsia="Times New Roman" w:hAnsi="Times New Roman"/>
                <w:lang w:val="en-US"/>
              </w:rPr>
            </w:pPr>
          </w:p>
          <w:p w14:paraId="386A5369" w14:textId="77777777" w:rsidR="00092B06" w:rsidRPr="00003118" w:rsidRDefault="00092B06" w:rsidP="002A484B">
            <w:pPr>
              <w:spacing w:before="80" w:after="40" w:line="240" w:lineRule="auto"/>
              <w:rPr>
                <w:rFonts w:ascii="Times New Roman" w:eastAsia="Times New Roman" w:hAnsi="Times New Roman"/>
                <w:lang w:val="en-US"/>
              </w:rPr>
            </w:pPr>
          </w:p>
          <w:p w14:paraId="6BC53216" w14:textId="77777777" w:rsidR="00092B06" w:rsidRPr="00003118" w:rsidRDefault="00092B06" w:rsidP="002A484B">
            <w:pPr>
              <w:spacing w:before="80" w:after="40" w:line="240" w:lineRule="auto"/>
              <w:rPr>
                <w:rFonts w:ascii="Times New Roman" w:eastAsia="Times New Roman" w:hAnsi="Times New Roman"/>
                <w:lang w:val="en-US"/>
              </w:rPr>
            </w:pPr>
          </w:p>
          <w:p w14:paraId="59B07465" w14:textId="77777777" w:rsidR="00092B06" w:rsidRPr="00003118" w:rsidRDefault="00092B06" w:rsidP="002A484B">
            <w:pPr>
              <w:spacing w:before="80" w:after="40" w:line="240" w:lineRule="auto"/>
              <w:rPr>
                <w:rFonts w:ascii="Times New Roman" w:eastAsia="Times New Roman" w:hAnsi="Times New Roman"/>
                <w:lang w:val="en-US"/>
              </w:rPr>
            </w:pPr>
          </w:p>
          <w:p w14:paraId="5A5B6223" w14:textId="77777777" w:rsidR="00092B06" w:rsidRPr="00003118" w:rsidRDefault="00092B06" w:rsidP="002A484B">
            <w:pPr>
              <w:spacing w:before="80" w:after="40" w:line="240" w:lineRule="auto"/>
              <w:rPr>
                <w:rFonts w:ascii="Times New Roman" w:eastAsia="Times New Roman" w:hAnsi="Times New Roman"/>
                <w:lang w:val="en-US"/>
              </w:rPr>
            </w:pPr>
          </w:p>
          <w:p w14:paraId="26E328D2" w14:textId="77777777" w:rsidR="00092B06" w:rsidRPr="00003118" w:rsidRDefault="00092B06" w:rsidP="002A484B">
            <w:pPr>
              <w:spacing w:before="80" w:after="40" w:line="240" w:lineRule="auto"/>
              <w:rPr>
                <w:rFonts w:ascii="Times New Roman" w:eastAsia="Times New Roman" w:hAnsi="Times New Roman"/>
                <w:lang w:val="en-US"/>
              </w:rPr>
            </w:pPr>
          </w:p>
          <w:p w14:paraId="20FB0F87" w14:textId="77777777" w:rsidR="00092B06" w:rsidRPr="00003118" w:rsidRDefault="00092B06" w:rsidP="002A484B">
            <w:pPr>
              <w:spacing w:before="80" w:after="40" w:line="240" w:lineRule="auto"/>
              <w:rPr>
                <w:rFonts w:ascii="Times New Roman" w:eastAsia="Times New Roman" w:hAnsi="Times New Roman"/>
                <w:lang w:val="en-US"/>
              </w:rPr>
            </w:pPr>
          </w:p>
          <w:p w14:paraId="63424506" w14:textId="2D9C2EC4" w:rsidR="00092B06" w:rsidRPr="00003118" w:rsidRDefault="00092B06"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2025 09 26</w:t>
            </w:r>
          </w:p>
        </w:tc>
        <w:tc>
          <w:tcPr>
            <w:tcW w:w="5812" w:type="dxa"/>
            <w:tcMar>
              <w:top w:w="29" w:type="dxa"/>
              <w:left w:w="115" w:type="dxa"/>
              <w:bottom w:w="29" w:type="dxa"/>
              <w:right w:w="115" w:type="dxa"/>
            </w:tcMar>
          </w:tcPr>
          <w:p w14:paraId="5DB58990" w14:textId="66F318FA" w:rsidR="00DB6130" w:rsidRPr="00003118" w:rsidRDefault="00DB6130"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Prezidentas </w:t>
            </w:r>
            <w:proofErr w:type="spellStart"/>
            <w:r w:rsidRPr="00003118">
              <w:rPr>
                <w:rFonts w:ascii="Times New Roman" w:eastAsia="Times New Roman" w:hAnsi="Times New Roman"/>
              </w:rPr>
              <w:t>E.Macronas</w:t>
            </w:r>
            <w:proofErr w:type="spellEnd"/>
            <w:r w:rsidRPr="00003118">
              <w:rPr>
                <w:rFonts w:ascii="Times New Roman" w:eastAsia="Times New Roman" w:hAnsi="Times New Roman"/>
              </w:rPr>
              <w:t xml:space="preserve"> paskyrė </w:t>
            </w:r>
            <w:proofErr w:type="spellStart"/>
            <w:r w:rsidRPr="00003118">
              <w:rPr>
                <w:rFonts w:ascii="Times New Roman" w:eastAsia="Times New Roman" w:hAnsi="Times New Roman"/>
              </w:rPr>
              <w:t>Sébastien</w:t>
            </w:r>
            <w:proofErr w:type="spellEnd"/>
            <w:r w:rsidRPr="00003118">
              <w:rPr>
                <w:rFonts w:ascii="Times New Roman" w:eastAsia="Times New Roman" w:hAnsi="Times New Roman"/>
              </w:rPr>
              <w:t xml:space="preserve"> </w:t>
            </w: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naujuoju Prancūzijos Ministru pirmininku, pakeitusiu </w:t>
            </w:r>
            <w:proofErr w:type="spellStart"/>
            <w:r w:rsidRPr="00003118">
              <w:rPr>
                <w:rFonts w:ascii="Times New Roman" w:eastAsia="Times New Roman" w:hAnsi="Times New Roman"/>
              </w:rPr>
              <w:t>François</w:t>
            </w:r>
            <w:proofErr w:type="spellEnd"/>
            <w:r w:rsidRPr="00003118">
              <w:rPr>
                <w:rFonts w:ascii="Times New Roman" w:eastAsia="Times New Roman" w:hAnsi="Times New Roman"/>
              </w:rPr>
              <w:t xml:space="preserve"> </w:t>
            </w:r>
            <w:proofErr w:type="spellStart"/>
            <w:r w:rsidRPr="00003118">
              <w:rPr>
                <w:rFonts w:ascii="Times New Roman" w:eastAsia="Times New Roman" w:hAnsi="Times New Roman"/>
              </w:rPr>
              <w:t>Bayrou</w:t>
            </w:r>
            <w:proofErr w:type="spellEnd"/>
            <w:r w:rsidRPr="00003118">
              <w:rPr>
                <w:rFonts w:ascii="Times New Roman" w:eastAsia="Times New Roman" w:hAnsi="Times New Roman"/>
              </w:rPr>
              <w:t xml:space="preserve">. </w:t>
            </w: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sieks išlaikyti ankstesnį kursą fiskalinės konsolidacijos ir valstybės skolos mažinimo srityje.</w:t>
            </w:r>
            <w:r w:rsidR="00071E58" w:rsidRPr="00003118">
              <w:rPr>
                <w:rFonts w:ascii="Times New Roman" w:eastAsia="Times New Roman" w:hAnsi="Times New Roman"/>
              </w:rPr>
              <w:t xml:space="preserve"> </w:t>
            </w:r>
            <w:r w:rsidRPr="00003118">
              <w:rPr>
                <w:rFonts w:ascii="Times New Roman" w:eastAsia="Times New Roman" w:hAnsi="Times New Roman"/>
              </w:rPr>
              <w:t xml:space="preserve">Būtent biudžeto klausimas kainavo postą </w:t>
            </w:r>
            <w:proofErr w:type="spellStart"/>
            <w:r w:rsidRPr="00003118">
              <w:rPr>
                <w:rFonts w:ascii="Times New Roman" w:eastAsia="Times New Roman" w:hAnsi="Times New Roman"/>
              </w:rPr>
              <w:t>Bayrou</w:t>
            </w:r>
            <w:proofErr w:type="spellEnd"/>
            <w:r w:rsidRPr="00003118">
              <w:rPr>
                <w:rFonts w:ascii="Times New Roman" w:eastAsia="Times New Roman" w:hAnsi="Times New Roman"/>
              </w:rPr>
              <w:t>, kurio planas dėl deficito mažinimo buvo vertintas kaip pernelyg griežtas</w:t>
            </w:r>
            <w:r w:rsidR="005E5C07" w:rsidRPr="00003118">
              <w:rPr>
                <w:rFonts w:ascii="Times New Roman" w:eastAsia="Times New Roman" w:hAnsi="Times New Roman"/>
              </w:rPr>
              <w:t>. Aktualus</w:t>
            </w:r>
            <w:r w:rsidRPr="00003118">
              <w:rPr>
                <w:rFonts w:ascii="Times New Roman" w:eastAsia="Times New Roman" w:hAnsi="Times New Roman"/>
              </w:rPr>
              <w:t xml:space="preserve"> klausimas, ar </w:t>
            </w: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sugebės išlaikyti numatytą deficitų mažinimo trajektoriją (nuo 5,4 % BVP 2025 m. iki žemiau 3 % 2029 m.), ar dėl politinės įtampos ir socialinių protestų bus priverstas daryti kompromisus.</w:t>
            </w:r>
          </w:p>
          <w:p w14:paraId="67E283CC" w14:textId="54C0844B" w:rsidR="00071E58" w:rsidRPr="00003118" w:rsidRDefault="00071E58"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N</w:t>
            </w:r>
            <w:r w:rsidR="00DB6130" w:rsidRPr="00003118">
              <w:rPr>
                <w:rFonts w:ascii="Times New Roman" w:eastAsia="Times New Roman" w:hAnsi="Times New Roman"/>
              </w:rPr>
              <w:t>ors Premjero pasikeitimas simbolizuoja naują pradžią, struktūrinės dilemos lieka tos pačios: didėjanti valstybės skola, būtinybė vykdyti griežtą biudžeto konsolidaciją ir politinės paramos trapumas.</w:t>
            </w:r>
          </w:p>
          <w:p w14:paraId="45502387" w14:textId="38F7B590" w:rsidR="00071E58" w:rsidRPr="00003118" w:rsidRDefault="00071E58"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Derybose su partijomis, darbdavių ir darbuotojų atstovais dėl  2026 m. biudžeto projekto, </w:t>
            </w:r>
            <w:proofErr w:type="spellStart"/>
            <w:r w:rsidRPr="00003118">
              <w:rPr>
                <w:rFonts w:ascii="Times New Roman" w:eastAsia="Times New Roman" w:hAnsi="Times New Roman"/>
              </w:rPr>
              <w:t>Sébastien</w:t>
            </w:r>
            <w:proofErr w:type="spellEnd"/>
            <w:r w:rsidRPr="00003118">
              <w:rPr>
                <w:rFonts w:ascii="Times New Roman" w:eastAsia="Times New Roman" w:hAnsi="Times New Roman"/>
              </w:rPr>
              <w:t xml:space="preserve"> </w:t>
            </w: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pabrėžė tęsiąs F. </w:t>
            </w:r>
            <w:proofErr w:type="spellStart"/>
            <w:r w:rsidRPr="00003118">
              <w:rPr>
                <w:rFonts w:ascii="Times New Roman" w:eastAsia="Times New Roman" w:hAnsi="Times New Roman"/>
              </w:rPr>
              <w:t>Bayrou</w:t>
            </w:r>
            <w:proofErr w:type="spellEnd"/>
            <w:r w:rsidRPr="00003118">
              <w:rPr>
                <w:rFonts w:ascii="Times New Roman" w:eastAsia="Times New Roman" w:hAnsi="Times New Roman"/>
              </w:rPr>
              <w:t xml:space="preserve"> pradėtą fiskalinės konsolidacijos kursą, bet kartu siekiantis išvengti taupymo ar socialinių garantijų mažinimo darbo </w:t>
            </w:r>
            <w:proofErr w:type="spellStart"/>
            <w:r w:rsidRPr="00003118">
              <w:rPr>
                <w:rFonts w:ascii="Times New Roman" w:eastAsia="Times New Roman" w:hAnsi="Times New Roman"/>
              </w:rPr>
              <w:t>jėgo</w:t>
            </w:r>
            <w:proofErr w:type="spellEnd"/>
            <w:r w:rsidRPr="00003118">
              <w:rPr>
                <w:rFonts w:ascii="Times New Roman" w:eastAsia="Times New Roman" w:hAnsi="Times New Roman"/>
              </w:rPr>
              <w:t xml:space="preserve"> atžvilgiu retorikos. </w:t>
            </w: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akcentuoja, kad biudžetas bus grindžiamas išlaidų mažinimu valdymo ir priežiūros srityse: planuojama apie 6 mlrd. eurų sumažinti valstybės aparato išlaidas, taip pat stiprinti socialinių bei fiskalinių sukčiavimų kontrolę. </w:t>
            </w:r>
          </w:p>
          <w:p w14:paraId="06451E1F" w14:textId="78A00BE8" w:rsidR="00071E58" w:rsidRPr="00003118" w:rsidRDefault="00071E58" w:rsidP="00780628">
            <w:pPr>
              <w:spacing w:before="80" w:after="40" w:line="240" w:lineRule="auto"/>
              <w:jc w:val="both"/>
              <w:rPr>
                <w:rFonts w:ascii="Times New Roman" w:eastAsia="Times New Roman" w:hAnsi="Times New Roman"/>
              </w:rPr>
            </w:pP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atmetė tiek siūlymus grįžti prie turto mokesčio, tiek taikyti </w:t>
            </w:r>
            <w:proofErr w:type="spellStart"/>
            <w:r w:rsidRPr="00003118">
              <w:rPr>
                <w:rFonts w:ascii="Times New Roman" w:eastAsia="Times New Roman" w:hAnsi="Times New Roman"/>
              </w:rPr>
              <w:t>Zucmano</w:t>
            </w:r>
            <w:proofErr w:type="spellEnd"/>
            <w:r w:rsidRPr="00003118">
              <w:rPr>
                <w:rFonts w:ascii="Times New Roman" w:eastAsia="Times New Roman" w:hAnsi="Times New Roman"/>
              </w:rPr>
              <w:t xml:space="preserve"> turtingųjų apmokestinimo schemą, </w:t>
            </w:r>
            <w:proofErr w:type="spellStart"/>
            <w:r w:rsidRPr="00003118">
              <w:rPr>
                <w:rFonts w:ascii="Times New Roman" w:eastAsia="Times New Roman" w:hAnsi="Times New Roman"/>
              </w:rPr>
              <w:t>motyvuodamas,jorg</w:t>
            </w:r>
            <w:proofErr w:type="spellEnd"/>
            <w:r w:rsidRPr="00003118">
              <w:rPr>
                <w:rFonts w:ascii="Times New Roman" w:eastAsia="Times New Roman" w:hAnsi="Times New Roman"/>
              </w:rPr>
              <w:t xml:space="preserve"> Prancūzijai </w:t>
            </w:r>
            <w:proofErr w:type="spellStart"/>
            <w:r w:rsidRPr="00003118">
              <w:rPr>
                <w:rFonts w:ascii="Times New Roman" w:eastAsia="Times New Roman" w:hAnsi="Times New Roman"/>
              </w:rPr>
              <w:t>reiklainga</w:t>
            </w:r>
            <w:proofErr w:type="spellEnd"/>
            <w:r w:rsidRPr="00003118">
              <w:rPr>
                <w:rFonts w:ascii="Times New Roman" w:eastAsia="Times New Roman" w:hAnsi="Times New Roman"/>
              </w:rPr>
              <w:t xml:space="preserve"> išlaikyti tiek ekonominį </w:t>
            </w:r>
            <w:proofErr w:type="spellStart"/>
            <w:r w:rsidRPr="00003118">
              <w:rPr>
                <w:rFonts w:ascii="Times New Roman" w:eastAsia="Times New Roman" w:hAnsi="Times New Roman"/>
              </w:rPr>
              <w:t>suverenitetą,tiek</w:t>
            </w:r>
            <w:proofErr w:type="spellEnd"/>
            <w:r w:rsidRPr="00003118">
              <w:rPr>
                <w:rFonts w:ascii="Times New Roman" w:eastAsia="Times New Roman" w:hAnsi="Times New Roman"/>
              </w:rPr>
              <w:t xml:space="preserve"> išvengti kapitalo pasitraukimo iš šalies. </w:t>
            </w:r>
          </w:p>
          <w:p w14:paraId="005EDAEA" w14:textId="24A12C88" w:rsidR="00071E58" w:rsidRPr="00003118" w:rsidRDefault="00071E58" w:rsidP="00780628">
            <w:pPr>
              <w:spacing w:before="80" w:after="40" w:line="240" w:lineRule="auto"/>
              <w:jc w:val="both"/>
              <w:rPr>
                <w:rFonts w:ascii="Times New Roman" w:eastAsia="Times New Roman" w:hAnsi="Times New Roman"/>
              </w:rPr>
            </w:pP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tikslas – pristatyti deficitą, artimą 4,7 % BVP (vietoje </w:t>
            </w:r>
            <w:proofErr w:type="spellStart"/>
            <w:r w:rsidRPr="00003118">
              <w:rPr>
                <w:rFonts w:ascii="Times New Roman" w:eastAsia="Times New Roman" w:hAnsi="Times New Roman"/>
              </w:rPr>
              <w:t>Bayrou</w:t>
            </w:r>
            <w:proofErr w:type="spellEnd"/>
            <w:r w:rsidRPr="00003118">
              <w:rPr>
                <w:rFonts w:ascii="Times New Roman" w:eastAsia="Times New Roman" w:hAnsi="Times New Roman"/>
              </w:rPr>
              <w:t xml:space="preserve"> numatytų 4,6 %), išlaikant įsipareigojimą pasiekti 3 % 2029 m. Ši pozicija rodo </w:t>
            </w:r>
            <w:proofErr w:type="spellStart"/>
            <w:r w:rsidRPr="00003118">
              <w:rPr>
                <w:rFonts w:ascii="Times New Roman" w:eastAsia="Times New Roman" w:hAnsi="Times New Roman"/>
              </w:rPr>
              <w:t>pragmatišką</w:t>
            </w:r>
            <w:proofErr w:type="spellEnd"/>
            <w:r w:rsidRPr="00003118">
              <w:rPr>
                <w:rFonts w:ascii="Times New Roman" w:eastAsia="Times New Roman" w:hAnsi="Times New Roman"/>
              </w:rPr>
              <w:t xml:space="preserve"> balansavimą tarp fiskalinės drausmės ir socialinių lūkesčių, tačiau kartu signalizuoja, kad siekiant užsitikrinti opozicijos, ypač Socialistų partijos, paramą, biudžeto formavime bus neišvengiami kompromisai.</w:t>
            </w:r>
          </w:p>
        </w:tc>
        <w:tc>
          <w:tcPr>
            <w:tcW w:w="2268" w:type="dxa"/>
            <w:tcMar>
              <w:top w:w="29" w:type="dxa"/>
              <w:left w:w="115" w:type="dxa"/>
              <w:bottom w:w="29" w:type="dxa"/>
              <w:right w:w="115" w:type="dxa"/>
            </w:tcMar>
          </w:tcPr>
          <w:p w14:paraId="55B5DFC9" w14:textId="77777777" w:rsidR="00DB6130" w:rsidRPr="00003118" w:rsidRDefault="00DB6130" w:rsidP="002A484B">
            <w:pPr>
              <w:spacing w:before="80" w:after="40" w:line="240" w:lineRule="auto"/>
              <w:rPr>
                <w:rFonts w:ascii="Times New Roman" w:hAnsi="Times New Roman"/>
              </w:rPr>
            </w:pPr>
            <w:hyperlink r:id="rId19" w:history="1">
              <w:proofErr w:type="spellStart"/>
              <w:r w:rsidRPr="00003118">
                <w:rPr>
                  <w:rFonts w:ascii="Times New Roman" w:hAnsi="Times New Roman"/>
                  <w:color w:val="0000FF"/>
                  <w:u w:val="single"/>
                </w:rPr>
                <w:t>Sébastien</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Lecornu</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nommé</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Premier</w:t>
              </w:r>
              <w:proofErr w:type="spellEnd"/>
              <w:r w:rsidRPr="00003118">
                <w:rPr>
                  <w:rFonts w:ascii="Times New Roman" w:hAnsi="Times New Roman"/>
                  <w:color w:val="0000FF"/>
                  <w:u w:val="single"/>
                </w:rPr>
                <w:t xml:space="preserve"> ministre, </w:t>
              </w:r>
              <w:proofErr w:type="spellStart"/>
              <w:r w:rsidRPr="00003118">
                <w:rPr>
                  <w:rFonts w:ascii="Times New Roman" w:hAnsi="Times New Roman"/>
                  <w:color w:val="0000FF"/>
                  <w:u w:val="single"/>
                </w:rPr>
                <w:t>un</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nouveau</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visage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qui</w:t>
              </w:r>
              <w:proofErr w:type="spellEnd"/>
              <w:r w:rsidRPr="00003118">
                <w:rPr>
                  <w:rFonts w:ascii="Times New Roman" w:hAnsi="Times New Roman"/>
                  <w:color w:val="0000FF"/>
                  <w:u w:val="single"/>
                </w:rPr>
                <w:t xml:space="preserve"> ne </w:t>
              </w:r>
              <w:proofErr w:type="spellStart"/>
              <w:r w:rsidRPr="00003118">
                <w:rPr>
                  <w:rFonts w:ascii="Times New Roman" w:hAnsi="Times New Roman"/>
                  <w:color w:val="0000FF"/>
                  <w:u w:val="single"/>
                </w:rPr>
                <w:t>change</w:t>
              </w:r>
              <w:proofErr w:type="spellEnd"/>
              <w:r w:rsidRPr="00003118">
                <w:rPr>
                  <w:rFonts w:ascii="Times New Roman" w:hAnsi="Times New Roman"/>
                  <w:color w:val="0000FF"/>
                  <w:u w:val="single"/>
                </w:rPr>
                <w:t xml:space="preserve"> pas </w:t>
              </w:r>
              <w:proofErr w:type="spellStart"/>
              <w:r w:rsidRPr="00003118">
                <w:rPr>
                  <w:rFonts w:ascii="Times New Roman" w:hAnsi="Times New Roman"/>
                  <w:color w:val="0000FF"/>
                  <w:u w:val="single"/>
                </w:rPr>
                <w:t>l'équation</w:t>
              </w:r>
              <w:proofErr w:type="spellEnd"/>
            </w:hyperlink>
          </w:p>
          <w:p w14:paraId="76ECD4D6" w14:textId="77777777" w:rsidR="00071E58" w:rsidRPr="00003118" w:rsidRDefault="00071E58" w:rsidP="002A484B">
            <w:pPr>
              <w:spacing w:before="80" w:after="40" w:line="240" w:lineRule="auto"/>
              <w:rPr>
                <w:rFonts w:ascii="Times New Roman" w:hAnsi="Times New Roman"/>
              </w:rPr>
            </w:pPr>
          </w:p>
          <w:p w14:paraId="2B6BE1F3" w14:textId="77777777" w:rsidR="00092B06" w:rsidRPr="00003118" w:rsidRDefault="00092B06" w:rsidP="002A484B">
            <w:pPr>
              <w:spacing w:before="80" w:after="40" w:line="240" w:lineRule="auto"/>
              <w:rPr>
                <w:rFonts w:ascii="Times New Roman" w:hAnsi="Times New Roman"/>
              </w:rPr>
            </w:pPr>
          </w:p>
          <w:p w14:paraId="63FD1A51" w14:textId="77777777" w:rsidR="00092B06" w:rsidRPr="00003118" w:rsidRDefault="00092B06" w:rsidP="002A484B">
            <w:pPr>
              <w:spacing w:before="80" w:after="40" w:line="240" w:lineRule="auto"/>
              <w:rPr>
                <w:rFonts w:ascii="Times New Roman" w:hAnsi="Times New Roman"/>
              </w:rPr>
            </w:pPr>
          </w:p>
          <w:p w14:paraId="6D8A4B07" w14:textId="77777777" w:rsidR="00092B06" w:rsidRPr="00003118" w:rsidRDefault="00092B06" w:rsidP="002A484B">
            <w:pPr>
              <w:spacing w:before="80" w:after="40" w:line="240" w:lineRule="auto"/>
              <w:rPr>
                <w:rFonts w:ascii="Times New Roman" w:hAnsi="Times New Roman"/>
              </w:rPr>
            </w:pPr>
          </w:p>
          <w:p w14:paraId="118A57F8" w14:textId="77777777" w:rsidR="00092B06" w:rsidRPr="00003118" w:rsidRDefault="00092B06" w:rsidP="002A484B">
            <w:pPr>
              <w:spacing w:before="80" w:after="40" w:line="240" w:lineRule="auto"/>
              <w:rPr>
                <w:rFonts w:ascii="Times New Roman" w:hAnsi="Times New Roman"/>
              </w:rPr>
            </w:pPr>
          </w:p>
          <w:p w14:paraId="3562B9A4" w14:textId="77777777" w:rsidR="00092B06" w:rsidRPr="00003118" w:rsidRDefault="00092B06" w:rsidP="002A484B">
            <w:pPr>
              <w:spacing w:before="80" w:after="40" w:line="240" w:lineRule="auto"/>
              <w:rPr>
                <w:rFonts w:ascii="Times New Roman" w:hAnsi="Times New Roman"/>
              </w:rPr>
            </w:pPr>
          </w:p>
          <w:p w14:paraId="58E20137" w14:textId="77777777" w:rsidR="00092B06" w:rsidRPr="00003118" w:rsidRDefault="00092B06" w:rsidP="002A484B">
            <w:pPr>
              <w:spacing w:before="80" w:after="40" w:line="240" w:lineRule="auto"/>
              <w:rPr>
                <w:rFonts w:ascii="Times New Roman" w:hAnsi="Times New Roman"/>
              </w:rPr>
            </w:pPr>
          </w:p>
          <w:p w14:paraId="0BAA2369" w14:textId="6E7ED112" w:rsidR="00071E58" w:rsidRPr="00003118" w:rsidRDefault="00071E58" w:rsidP="002A484B">
            <w:pPr>
              <w:spacing w:before="80" w:after="40" w:line="240" w:lineRule="auto"/>
              <w:rPr>
                <w:rFonts w:ascii="Times New Roman" w:hAnsi="Times New Roman"/>
              </w:rPr>
            </w:pPr>
            <w:hyperlink r:id="rId20" w:history="1">
              <w:proofErr w:type="spellStart"/>
              <w:r w:rsidRPr="00003118">
                <w:rPr>
                  <w:rStyle w:val="Hyperlink"/>
                  <w:rFonts w:ascii="Times New Roman" w:hAnsi="Times New Roman"/>
                </w:rPr>
                <w:t>Constitution</w:t>
              </w:r>
              <w:proofErr w:type="spellEnd"/>
              <w:r w:rsidRPr="00003118">
                <w:rPr>
                  <w:rStyle w:val="Hyperlink"/>
                  <w:rFonts w:ascii="Times New Roman" w:hAnsi="Times New Roman"/>
                </w:rPr>
                <w:t xml:space="preserve"> du </w:t>
              </w:r>
              <w:proofErr w:type="spellStart"/>
              <w:r w:rsidRPr="00003118">
                <w:rPr>
                  <w:rStyle w:val="Hyperlink"/>
                  <w:rFonts w:ascii="Times New Roman" w:hAnsi="Times New Roman"/>
                </w:rPr>
                <w:t>gouvernement</w:t>
              </w:r>
              <w:proofErr w:type="spellEnd"/>
              <w:r w:rsidRPr="00003118">
                <w:rPr>
                  <w:rStyle w:val="Hyperlink"/>
                  <w:rFonts w:ascii="Times New Roman" w:hAnsi="Times New Roman"/>
                </w:rPr>
                <w:t xml:space="preserve">, </w:t>
              </w:r>
              <w:proofErr w:type="spellStart"/>
              <w:r w:rsidRPr="00003118">
                <w:rPr>
                  <w:rStyle w:val="Hyperlink"/>
                  <w:rFonts w:ascii="Times New Roman" w:hAnsi="Times New Roman"/>
                </w:rPr>
                <w:t>taxe</w:t>
              </w:r>
              <w:proofErr w:type="spellEnd"/>
              <w:r w:rsidRPr="00003118">
                <w:rPr>
                  <w:rStyle w:val="Hyperlink"/>
                  <w:rFonts w:ascii="Times New Roman" w:hAnsi="Times New Roman"/>
                </w:rPr>
                <w:t xml:space="preserve"> </w:t>
              </w:r>
              <w:proofErr w:type="spellStart"/>
              <w:r w:rsidRPr="00003118">
                <w:rPr>
                  <w:rStyle w:val="Hyperlink"/>
                  <w:rFonts w:ascii="Times New Roman" w:hAnsi="Times New Roman"/>
                </w:rPr>
                <w:t>Zucman</w:t>
              </w:r>
              <w:proofErr w:type="spellEnd"/>
              <w:r w:rsidRPr="00003118">
                <w:rPr>
                  <w:rStyle w:val="Hyperlink"/>
                  <w:rFonts w:ascii="Times New Roman" w:hAnsi="Times New Roman"/>
                </w:rPr>
                <w:t xml:space="preserve">, ISF... </w:t>
              </w:r>
              <w:proofErr w:type="spellStart"/>
              <w:r w:rsidRPr="00003118">
                <w:rPr>
                  <w:rStyle w:val="Hyperlink"/>
                  <w:rFonts w:ascii="Times New Roman" w:hAnsi="Times New Roman"/>
                </w:rPr>
                <w:t>Ce</w:t>
              </w:r>
              <w:proofErr w:type="spellEnd"/>
              <w:r w:rsidRPr="00003118">
                <w:rPr>
                  <w:rStyle w:val="Hyperlink"/>
                  <w:rFonts w:ascii="Times New Roman" w:hAnsi="Times New Roman"/>
                </w:rPr>
                <w:t xml:space="preserve"> </w:t>
              </w:r>
              <w:proofErr w:type="spellStart"/>
              <w:r w:rsidRPr="00003118">
                <w:rPr>
                  <w:rStyle w:val="Hyperlink"/>
                  <w:rFonts w:ascii="Times New Roman" w:hAnsi="Times New Roman"/>
                </w:rPr>
                <w:t>qu'il</w:t>
              </w:r>
              <w:proofErr w:type="spellEnd"/>
              <w:r w:rsidRPr="00003118">
                <w:rPr>
                  <w:rStyle w:val="Hyperlink"/>
                  <w:rFonts w:ascii="Times New Roman" w:hAnsi="Times New Roman"/>
                </w:rPr>
                <w:t xml:space="preserve"> </w:t>
              </w:r>
              <w:proofErr w:type="spellStart"/>
              <w:r w:rsidRPr="00003118">
                <w:rPr>
                  <w:rStyle w:val="Hyperlink"/>
                  <w:rFonts w:ascii="Times New Roman" w:hAnsi="Times New Roman"/>
                </w:rPr>
                <w:t>faut</w:t>
              </w:r>
              <w:proofErr w:type="spellEnd"/>
              <w:r w:rsidRPr="00003118">
                <w:rPr>
                  <w:rStyle w:val="Hyperlink"/>
                  <w:rFonts w:ascii="Times New Roman" w:hAnsi="Times New Roman"/>
                </w:rPr>
                <w:t xml:space="preserve"> </w:t>
              </w:r>
              <w:proofErr w:type="spellStart"/>
              <w:r w:rsidRPr="00003118">
                <w:rPr>
                  <w:rStyle w:val="Hyperlink"/>
                  <w:rFonts w:ascii="Times New Roman" w:hAnsi="Times New Roman"/>
                </w:rPr>
                <w:t>retenir</w:t>
              </w:r>
              <w:proofErr w:type="spellEnd"/>
              <w:r w:rsidRPr="00003118">
                <w:rPr>
                  <w:rStyle w:val="Hyperlink"/>
                  <w:rFonts w:ascii="Times New Roman" w:hAnsi="Times New Roman"/>
                </w:rPr>
                <w:t xml:space="preserve"> de </w:t>
              </w:r>
              <w:proofErr w:type="spellStart"/>
              <w:r w:rsidRPr="00003118">
                <w:rPr>
                  <w:rStyle w:val="Hyperlink"/>
                  <w:rFonts w:ascii="Times New Roman" w:hAnsi="Times New Roman"/>
                </w:rPr>
                <w:t>l'interview</w:t>
              </w:r>
              <w:proofErr w:type="spellEnd"/>
              <w:r w:rsidRPr="00003118">
                <w:rPr>
                  <w:rStyle w:val="Hyperlink"/>
                  <w:rFonts w:ascii="Times New Roman" w:hAnsi="Times New Roman"/>
                </w:rPr>
                <w:t xml:space="preserve"> de </w:t>
              </w:r>
              <w:proofErr w:type="spellStart"/>
              <w:r w:rsidRPr="00003118">
                <w:rPr>
                  <w:rStyle w:val="Hyperlink"/>
                  <w:rFonts w:ascii="Times New Roman" w:hAnsi="Times New Roman"/>
                </w:rPr>
                <w:t>Sébastien</w:t>
              </w:r>
              <w:proofErr w:type="spellEnd"/>
              <w:r w:rsidRPr="00003118">
                <w:rPr>
                  <w:rStyle w:val="Hyperlink"/>
                  <w:rFonts w:ascii="Times New Roman" w:hAnsi="Times New Roman"/>
                </w:rPr>
                <w:t xml:space="preserve"> </w:t>
              </w:r>
              <w:proofErr w:type="spellStart"/>
              <w:r w:rsidRPr="00003118">
                <w:rPr>
                  <w:rStyle w:val="Hyperlink"/>
                  <w:rFonts w:ascii="Times New Roman" w:hAnsi="Times New Roman"/>
                </w:rPr>
                <w:t>Lecornu</w:t>
              </w:r>
              <w:proofErr w:type="spellEnd"/>
              <w:r w:rsidRPr="00003118">
                <w:rPr>
                  <w:rStyle w:val="Hyperlink"/>
                  <w:rFonts w:ascii="Times New Roman" w:hAnsi="Times New Roman"/>
                </w:rPr>
                <w:t xml:space="preserve"> - La </w:t>
              </w:r>
              <w:proofErr w:type="spellStart"/>
              <w:r w:rsidRPr="00003118">
                <w:rPr>
                  <w:rStyle w:val="Hyperlink"/>
                  <w:rFonts w:ascii="Times New Roman" w:hAnsi="Times New Roman"/>
                </w:rPr>
                <w:t>Montagne</w:t>
              </w:r>
              <w:proofErr w:type="spellEnd"/>
            </w:hyperlink>
          </w:p>
          <w:p w14:paraId="5200ED6B" w14:textId="30553605" w:rsidR="00DB6130" w:rsidRPr="00003118" w:rsidRDefault="00DB6130" w:rsidP="002A484B">
            <w:pPr>
              <w:spacing w:before="80" w:after="40" w:line="240" w:lineRule="auto"/>
              <w:rPr>
                <w:rFonts w:ascii="Times New Roman" w:hAnsi="Times New Roman"/>
              </w:rPr>
            </w:pPr>
          </w:p>
        </w:tc>
        <w:tc>
          <w:tcPr>
            <w:tcW w:w="1436" w:type="dxa"/>
            <w:tcMar>
              <w:top w:w="29" w:type="dxa"/>
              <w:left w:w="115" w:type="dxa"/>
              <w:bottom w:w="29" w:type="dxa"/>
              <w:right w:w="115" w:type="dxa"/>
            </w:tcMar>
          </w:tcPr>
          <w:p w14:paraId="08A0F45F" w14:textId="4AA41109" w:rsidR="00DB6130" w:rsidRPr="00003118" w:rsidRDefault="005E5C07" w:rsidP="002A484B">
            <w:pPr>
              <w:spacing w:before="80" w:after="40" w:line="240" w:lineRule="auto"/>
              <w:rPr>
                <w:rFonts w:ascii="Times New Roman" w:eastAsia="Times New Roman" w:hAnsi="Times New Roman"/>
              </w:rPr>
            </w:pPr>
            <w:r w:rsidRPr="00003118">
              <w:rPr>
                <w:rFonts w:ascii="Times New Roman" w:eastAsia="Times New Roman" w:hAnsi="Times New Roman"/>
              </w:rPr>
              <w:t xml:space="preserve">Paskirtas naujas Premjeras ir intensyvėjančios derybos dėl </w:t>
            </w:r>
            <w:r w:rsidRPr="00003118">
              <w:rPr>
                <w:rFonts w:ascii="Times New Roman" w:eastAsia="Times New Roman" w:hAnsi="Times New Roman"/>
                <w:lang w:val="es-ES"/>
              </w:rPr>
              <w:t xml:space="preserve">2026 </w:t>
            </w:r>
            <w:r w:rsidRPr="00003118">
              <w:rPr>
                <w:rFonts w:ascii="Times New Roman" w:eastAsia="Times New Roman" w:hAnsi="Times New Roman"/>
              </w:rPr>
              <w:t>m. biudžeto</w:t>
            </w:r>
          </w:p>
        </w:tc>
      </w:tr>
      <w:tr w:rsidR="00A60CAC" w:rsidRPr="00003118" w14:paraId="220C0705" w14:textId="77777777" w:rsidTr="002A484B">
        <w:trPr>
          <w:gridAfter w:val="1"/>
          <w:wAfter w:w="11" w:type="dxa"/>
          <w:trHeight w:val="216"/>
        </w:trPr>
        <w:tc>
          <w:tcPr>
            <w:tcW w:w="1418" w:type="dxa"/>
            <w:tcMar>
              <w:top w:w="29" w:type="dxa"/>
              <w:left w:w="115" w:type="dxa"/>
              <w:bottom w:w="29" w:type="dxa"/>
              <w:right w:w="115" w:type="dxa"/>
            </w:tcMar>
          </w:tcPr>
          <w:p w14:paraId="2E5FFDFD" w14:textId="09B2AFE1" w:rsidR="00A60CAC" w:rsidRPr="00003118" w:rsidRDefault="00A60CAC" w:rsidP="002A484B">
            <w:pPr>
              <w:spacing w:before="80" w:after="40" w:line="240" w:lineRule="auto"/>
              <w:rPr>
                <w:rFonts w:ascii="Times New Roman" w:eastAsia="Times New Roman" w:hAnsi="Times New Roman"/>
              </w:rPr>
            </w:pPr>
            <w:r w:rsidRPr="00003118">
              <w:rPr>
                <w:rFonts w:ascii="Times New Roman" w:eastAsia="Times New Roman" w:hAnsi="Times New Roman"/>
              </w:rPr>
              <w:t>2025 09 11</w:t>
            </w:r>
          </w:p>
        </w:tc>
        <w:tc>
          <w:tcPr>
            <w:tcW w:w="5812" w:type="dxa"/>
            <w:tcMar>
              <w:top w:w="29" w:type="dxa"/>
              <w:left w:w="115" w:type="dxa"/>
              <w:bottom w:w="29" w:type="dxa"/>
              <w:right w:w="115" w:type="dxa"/>
            </w:tcMar>
          </w:tcPr>
          <w:p w14:paraId="6C16C7A8" w14:textId="5AA4EBF5" w:rsidR="00A60CAC" w:rsidRPr="00003118" w:rsidRDefault="00A60CAC"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INSEE vertinimu, Prancūzijos ekonomikos augimas 2025 m. prognozuojamas itin nuosaikus – 0,8 %, kiek daugiau nei ankstesnė Finansų ministerijos prognozė (0,7 %). Nors ekonomika išvengs recesijos, bendras tempas išlieka silpnesnis nei euro zonoje, kur numatomas 1,4 % augimas. Palyginti su </w:t>
            </w:r>
            <w:r w:rsidRPr="00003118">
              <w:rPr>
                <w:rFonts w:ascii="Times New Roman" w:eastAsia="Times New Roman" w:hAnsi="Times New Roman"/>
              </w:rPr>
              <w:lastRenderedPageBreak/>
              <w:t>Vokietijos, Italijos ar Ispanijos atsigavimu, Prancūzija atrodo vangiau besivystanti. Infliacijos lygis: Prancūzijoje ji rugpjūtį siekė vos 0,9 %, kai euro zonoje bendrai – 2,1 %. Maža infliacija suteikia tam tikrą konkurencinį pranašumą vartotojams ir įmonėms, tačiau jos poveikį slopina labai silpna vidaus paklausa. Namų ūkių vartojimas 2025 m. beveik neaugs (+0,5 %), o investicijos išliks neigiamos (−0,9 %), nors kritimas bus mažesnis nei 2024 m. (−2,4 %). Politinė neapibrėžtis po 2024 m. Nacionalinės Asamblėjos paleidimo smarkiai pakenkė pasitikėjimui: tiek verslas, tiek gyventojai linkę kaupti santaupas (taupymo norma vasarą priartėjo prie 19 %), o ne plėsti išlaidas.</w:t>
            </w:r>
          </w:p>
          <w:p w14:paraId="339F9380" w14:textId="40F65CBC" w:rsidR="00A60CAC" w:rsidRPr="00003118" w:rsidRDefault="00A60CAC"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Darbo rinka išlieka santykinai atspari ekonominiam vangumui. Nors įmonių investicijų nuosmukis slopina produktyvumo augimą, prognozuojama, kad užimtumas 2025 m. dar padidės 0,1 % (po 0,3 % augimo 2024 m.), o nedarbo lygis pakils tik simboliškai iki 7,6 %. Daugiausia darbo vietų kuria turizmo ir aptarnavimo sektoriai, ypač apgyvendinimo ir maitinimo sritys, kurios išlaiko dinamiką dėl stipraus vidaus ir tarptautinio turizmo. Vis dėlto nuoseklus namų ūkių nerimas dėl darbo rinkos ateities skatina perteklinį taupymą, kuris kartu su politiniu nestabilumu lieka esminiu veiksniu, ribojančiu Prancūzijos ekonomikos atsigavimą.</w:t>
            </w:r>
          </w:p>
        </w:tc>
        <w:tc>
          <w:tcPr>
            <w:tcW w:w="2268" w:type="dxa"/>
            <w:tcMar>
              <w:top w:w="29" w:type="dxa"/>
              <w:left w:w="115" w:type="dxa"/>
              <w:bottom w:w="29" w:type="dxa"/>
              <w:right w:w="115" w:type="dxa"/>
            </w:tcMar>
          </w:tcPr>
          <w:p w14:paraId="12AC3DCE" w14:textId="77777777" w:rsidR="00A60CAC" w:rsidRPr="00003118" w:rsidRDefault="00A60CAC" w:rsidP="002A484B">
            <w:pPr>
              <w:spacing w:before="80" w:after="40" w:line="240" w:lineRule="auto"/>
              <w:rPr>
                <w:rFonts w:ascii="Times New Roman" w:hAnsi="Times New Roman"/>
              </w:rPr>
            </w:pPr>
            <w:hyperlink r:id="rId21" w:history="1">
              <w:r w:rsidRPr="00003118">
                <w:rPr>
                  <w:rFonts w:ascii="Times New Roman" w:hAnsi="Times New Roman"/>
                  <w:color w:val="0000FF"/>
                  <w:u w:val="single"/>
                </w:rPr>
                <w:t xml:space="preserve">La </w:t>
              </w:r>
              <w:proofErr w:type="spellStart"/>
              <w:r w:rsidRPr="00003118">
                <w:rPr>
                  <w:rFonts w:ascii="Times New Roman" w:hAnsi="Times New Roman"/>
                  <w:color w:val="0000FF"/>
                  <w:u w:val="single"/>
                </w:rPr>
                <w:t>croissance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française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devrait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atteindre</w:t>
              </w:r>
              <w:proofErr w:type="spellEnd"/>
              <w:r w:rsidRPr="00003118">
                <w:rPr>
                  <w:rFonts w:ascii="Times New Roman" w:hAnsi="Times New Roman"/>
                  <w:color w:val="0000FF"/>
                  <w:u w:val="single"/>
                </w:rPr>
                <w:t xml:space="preserve"> 0,8 % </w:t>
              </w:r>
              <w:proofErr w:type="spellStart"/>
              <w:r w:rsidRPr="00003118">
                <w:rPr>
                  <w:rFonts w:ascii="Times New Roman" w:hAnsi="Times New Roman"/>
                  <w:color w:val="0000FF"/>
                  <w:u w:val="single"/>
                </w:rPr>
                <w:t>en</w:t>
              </w:r>
              <w:proofErr w:type="spellEnd"/>
              <w:r w:rsidRPr="00003118">
                <w:rPr>
                  <w:rFonts w:ascii="Times New Roman" w:hAnsi="Times New Roman"/>
                  <w:color w:val="0000FF"/>
                  <w:u w:val="single"/>
                </w:rPr>
                <w:t xml:space="preserve"> 2025, </w:t>
              </w:r>
              <w:proofErr w:type="spellStart"/>
              <w:r w:rsidRPr="00003118">
                <w:rPr>
                  <w:rFonts w:ascii="Times New Roman" w:hAnsi="Times New Roman"/>
                  <w:color w:val="0000FF"/>
                  <w:u w:val="single"/>
                </w:rPr>
                <w:t>l’incertitude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politique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pèse</w:t>
              </w:r>
              <w:proofErr w:type="spellEnd"/>
            </w:hyperlink>
          </w:p>
          <w:p w14:paraId="0BEA5F02" w14:textId="2B5E26AA" w:rsidR="00A60CAC" w:rsidRPr="00003118" w:rsidRDefault="00A60CAC" w:rsidP="002A484B">
            <w:pPr>
              <w:spacing w:before="80" w:after="40" w:line="240" w:lineRule="auto"/>
              <w:rPr>
                <w:rFonts w:ascii="Times New Roman" w:hAnsi="Times New Roman"/>
              </w:rPr>
            </w:pPr>
          </w:p>
        </w:tc>
        <w:tc>
          <w:tcPr>
            <w:tcW w:w="1436" w:type="dxa"/>
            <w:tcMar>
              <w:top w:w="29" w:type="dxa"/>
              <w:left w:w="115" w:type="dxa"/>
              <w:bottom w:w="29" w:type="dxa"/>
              <w:right w:w="115" w:type="dxa"/>
            </w:tcMar>
          </w:tcPr>
          <w:p w14:paraId="394B8A79" w14:textId="42337700" w:rsidR="00A60CAC" w:rsidRPr="00003118" w:rsidRDefault="00A60CAC" w:rsidP="002A484B">
            <w:pPr>
              <w:spacing w:before="80" w:after="40" w:line="240" w:lineRule="auto"/>
              <w:rPr>
                <w:rFonts w:ascii="Times New Roman" w:eastAsia="Times New Roman" w:hAnsi="Times New Roman"/>
              </w:rPr>
            </w:pPr>
            <w:r w:rsidRPr="00003118">
              <w:rPr>
                <w:rFonts w:ascii="Times New Roman" w:eastAsia="Times New Roman" w:hAnsi="Times New Roman"/>
              </w:rPr>
              <w:lastRenderedPageBreak/>
              <w:t>Prancūzijos ekonomik</w:t>
            </w:r>
            <w:r w:rsidR="005E5C07" w:rsidRPr="00003118">
              <w:rPr>
                <w:rFonts w:ascii="Times New Roman" w:eastAsia="Times New Roman" w:hAnsi="Times New Roman"/>
              </w:rPr>
              <w:t xml:space="preserve">a </w:t>
            </w:r>
            <w:r w:rsidRPr="00003118">
              <w:rPr>
                <w:rFonts w:ascii="Times New Roman" w:eastAsia="Times New Roman" w:hAnsi="Times New Roman"/>
              </w:rPr>
              <w:t>202</w:t>
            </w:r>
            <w:r w:rsidR="00092B06" w:rsidRPr="00003118">
              <w:rPr>
                <w:rFonts w:ascii="Times New Roman" w:eastAsia="Times New Roman" w:hAnsi="Times New Roman"/>
              </w:rPr>
              <w:t>5-aisiais –</w:t>
            </w:r>
            <w:r w:rsidRPr="00003118">
              <w:rPr>
                <w:rFonts w:ascii="Times New Roman" w:eastAsia="Times New Roman" w:hAnsi="Times New Roman"/>
              </w:rPr>
              <w:t>vangus augimas</w:t>
            </w:r>
          </w:p>
        </w:tc>
      </w:tr>
      <w:tr w:rsidR="00C03A2B" w:rsidRPr="00003118" w14:paraId="3FD05298" w14:textId="77777777" w:rsidTr="002A484B">
        <w:trPr>
          <w:gridAfter w:val="1"/>
          <w:wAfter w:w="11" w:type="dxa"/>
          <w:trHeight w:val="216"/>
        </w:trPr>
        <w:tc>
          <w:tcPr>
            <w:tcW w:w="1418" w:type="dxa"/>
            <w:tcMar>
              <w:top w:w="29" w:type="dxa"/>
              <w:left w:w="115" w:type="dxa"/>
              <w:bottom w:w="29" w:type="dxa"/>
              <w:right w:w="115" w:type="dxa"/>
            </w:tcMar>
          </w:tcPr>
          <w:p w14:paraId="6284C30C" w14:textId="7AC2740E" w:rsidR="00C03A2B" w:rsidRPr="00003118" w:rsidRDefault="00C03A2B" w:rsidP="002A484B">
            <w:pPr>
              <w:spacing w:before="80" w:after="40" w:line="240" w:lineRule="auto"/>
              <w:rPr>
                <w:rFonts w:ascii="Times New Roman" w:eastAsia="Times New Roman" w:hAnsi="Times New Roman"/>
              </w:rPr>
            </w:pPr>
            <w:r w:rsidRPr="00003118">
              <w:rPr>
                <w:rFonts w:ascii="Times New Roman" w:eastAsia="Times New Roman" w:hAnsi="Times New Roman"/>
              </w:rPr>
              <w:t>2025 09 12</w:t>
            </w:r>
          </w:p>
        </w:tc>
        <w:tc>
          <w:tcPr>
            <w:tcW w:w="5812" w:type="dxa"/>
            <w:tcMar>
              <w:top w:w="29" w:type="dxa"/>
              <w:left w:w="115" w:type="dxa"/>
              <w:bottom w:w="29" w:type="dxa"/>
              <w:right w:w="115" w:type="dxa"/>
            </w:tcMar>
          </w:tcPr>
          <w:p w14:paraId="63B3F493" w14:textId="77777777" w:rsidR="00C03A2B" w:rsidRPr="00003118" w:rsidRDefault="00C03A2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2025 m. rugsėjo 12 d. tarptautinė reitingų agentūra </w:t>
            </w:r>
            <w:proofErr w:type="spellStart"/>
            <w:r w:rsidRPr="00003118">
              <w:rPr>
                <w:rFonts w:ascii="Times New Roman" w:eastAsia="Times New Roman" w:hAnsi="Times New Roman"/>
              </w:rPr>
              <w:t>Fitch</w:t>
            </w:r>
            <w:proofErr w:type="spellEnd"/>
            <w:r w:rsidRPr="00003118">
              <w:rPr>
                <w:rFonts w:ascii="Times New Roman" w:eastAsia="Times New Roman" w:hAnsi="Times New Roman"/>
              </w:rPr>
              <w:t xml:space="preserve"> sumažino Prancūzijos skolos reitingą nuo AA– iki A+, atspindėdama gilėjančius šalies fiskalinius iššūkius ir politinį nestabilumą. Šis sprendimas, simboliškai žymintis Prancūzijos nuosmukį finansinių įsipareigojimų patikimumo srityje, reiškia, kad valstybė gali būti priversta skolintis už didesnes palūkanas. Per pastaruosius dešimtmečius skola išaugo nuo 20 % BVP (1980) iki 114 % (2025), o prognozės rodo galimą 120 % ribos peržengimą iki 2030 m. Per vienerius metus skolos aptarnavimo kaštai jau padidėjo nuo 2,85 % iki 3,5 % už dešimties metų obligacijas, o tai yra viena sparčiausių palūkanų normų kilimų tarp išsivysčiusių šalių. Skirtingai nei Vokietija, Austrija ar Nyderlandai, išlaikę aukščiausią AAA reitingą, Prancūzija praranda patikimiausių skolininkų statusą ir atsiduria vienoje eilėje su silpnesnėmis Europos ekonomikomis.</w:t>
            </w:r>
          </w:p>
          <w:p w14:paraId="1A3B87EA" w14:textId="06462830" w:rsidR="00C03A2B" w:rsidRPr="00003118" w:rsidRDefault="00C03A2B" w:rsidP="00780628">
            <w:pPr>
              <w:spacing w:before="80" w:after="40" w:line="240" w:lineRule="auto"/>
              <w:jc w:val="both"/>
              <w:rPr>
                <w:rFonts w:ascii="Times New Roman" w:eastAsia="Times New Roman" w:hAnsi="Times New Roman"/>
              </w:rPr>
            </w:pPr>
            <w:proofErr w:type="spellStart"/>
            <w:r w:rsidRPr="00003118">
              <w:rPr>
                <w:rFonts w:ascii="Times New Roman" w:eastAsia="Times New Roman" w:hAnsi="Times New Roman"/>
              </w:rPr>
              <w:t>Fitch</w:t>
            </w:r>
            <w:proofErr w:type="spellEnd"/>
            <w:r w:rsidRPr="00003118">
              <w:rPr>
                <w:rFonts w:ascii="Times New Roman" w:eastAsia="Times New Roman" w:hAnsi="Times New Roman"/>
              </w:rPr>
              <w:t xml:space="preserve"> savo sprendimą grindė ne tik ekonominiais, bet ir politiniais veiksniais – nepavykusiu F. </w:t>
            </w:r>
            <w:proofErr w:type="spellStart"/>
            <w:r w:rsidRPr="00003118">
              <w:rPr>
                <w:rFonts w:ascii="Times New Roman" w:eastAsia="Times New Roman" w:hAnsi="Times New Roman"/>
              </w:rPr>
              <w:t>Bayrou</w:t>
            </w:r>
            <w:proofErr w:type="spellEnd"/>
            <w:r w:rsidRPr="00003118">
              <w:rPr>
                <w:rFonts w:ascii="Times New Roman" w:eastAsia="Times New Roman" w:hAnsi="Times New Roman"/>
              </w:rPr>
              <w:t xml:space="preserve"> biudžeto planu, protestais dėl taupymo priemonių ir abejonėmis ar naujasis premjeras S. </w:t>
            </w:r>
            <w:proofErr w:type="spellStart"/>
            <w:r w:rsidRPr="00003118">
              <w:rPr>
                <w:rFonts w:ascii="Times New Roman" w:eastAsia="Times New Roman" w:hAnsi="Times New Roman"/>
              </w:rPr>
              <w:t>Lecornu</w:t>
            </w:r>
            <w:proofErr w:type="spellEnd"/>
            <w:r w:rsidRPr="00003118">
              <w:rPr>
                <w:rFonts w:ascii="Times New Roman" w:eastAsia="Times New Roman" w:hAnsi="Times New Roman"/>
              </w:rPr>
              <w:t xml:space="preserve"> sugebės pasiekti konsensusą dėl fiskalinės konsolidacijos. Pasak </w:t>
            </w:r>
            <w:proofErr w:type="spellStart"/>
            <w:r w:rsidRPr="00003118">
              <w:rPr>
                <w:rFonts w:ascii="Times New Roman" w:eastAsia="Times New Roman" w:hAnsi="Times New Roman"/>
              </w:rPr>
              <w:t>Fitch</w:t>
            </w:r>
            <w:proofErr w:type="spellEnd"/>
            <w:r w:rsidRPr="00003118">
              <w:rPr>
                <w:rFonts w:ascii="Times New Roman" w:eastAsia="Times New Roman" w:hAnsi="Times New Roman"/>
              </w:rPr>
              <w:t>, tikėtina, kad Prancūzijos deficitas 2026–2027 m. išliks virš 5 % BVP, o planas pasiekti 3 % iki 2029 m. tampa mažai realistiškas, ypač artėjant 2027 m. prezidento rinkimams. Tai yra pirmas kartas per 12 metų, kai Prancūzija neteko dvigubo A reitingo.</w:t>
            </w:r>
          </w:p>
        </w:tc>
        <w:tc>
          <w:tcPr>
            <w:tcW w:w="2268" w:type="dxa"/>
            <w:tcMar>
              <w:top w:w="29" w:type="dxa"/>
              <w:left w:w="115" w:type="dxa"/>
              <w:bottom w:w="29" w:type="dxa"/>
              <w:right w:w="115" w:type="dxa"/>
            </w:tcMar>
          </w:tcPr>
          <w:p w14:paraId="78D9ECB4" w14:textId="65FA9012" w:rsidR="00C03A2B" w:rsidRPr="00003118" w:rsidRDefault="00C03A2B" w:rsidP="002A484B">
            <w:pPr>
              <w:spacing w:before="80" w:after="40" w:line="240" w:lineRule="auto"/>
              <w:rPr>
                <w:rFonts w:ascii="Times New Roman" w:hAnsi="Times New Roman"/>
              </w:rPr>
            </w:pPr>
            <w:hyperlink r:id="rId22" w:history="1">
              <w:proofErr w:type="spellStart"/>
              <w:r w:rsidRPr="00003118">
                <w:rPr>
                  <w:rFonts w:ascii="Times New Roman" w:hAnsi="Times New Roman"/>
                  <w:color w:val="0000FF"/>
                  <w:u w:val="single"/>
                </w:rPr>
                <w:t>L’agence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Fitch</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fait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perdre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son</w:t>
              </w:r>
              <w:proofErr w:type="spellEnd"/>
              <w:r w:rsidRPr="00003118">
                <w:rPr>
                  <w:rFonts w:ascii="Times New Roman" w:hAnsi="Times New Roman"/>
                  <w:color w:val="0000FF"/>
                  <w:u w:val="single"/>
                </w:rPr>
                <w:t xml:space="preserve"> « </w:t>
              </w:r>
              <w:proofErr w:type="spellStart"/>
              <w:r w:rsidRPr="00003118">
                <w:rPr>
                  <w:rFonts w:ascii="Times New Roman" w:hAnsi="Times New Roman"/>
                  <w:color w:val="0000FF"/>
                  <w:u w:val="single"/>
                </w:rPr>
                <w:t>double</w:t>
              </w:r>
              <w:proofErr w:type="spellEnd"/>
              <w:r w:rsidRPr="00003118">
                <w:rPr>
                  <w:rFonts w:ascii="Times New Roman" w:hAnsi="Times New Roman"/>
                  <w:color w:val="0000FF"/>
                  <w:u w:val="single"/>
                </w:rPr>
                <w:t xml:space="preserve"> A » à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France</w:t>
              </w:r>
            </w:hyperlink>
          </w:p>
        </w:tc>
        <w:tc>
          <w:tcPr>
            <w:tcW w:w="1436" w:type="dxa"/>
            <w:tcMar>
              <w:top w:w="29" w:type="dxa"/>
              <w:left w:w="115" w:type="dxa"/>
              <w:bottom w:w="29" w:type="dxa"/>
              <w:right w:w="115" w:type="dxa"/>
            </w:tcMar>
          </w:tcPr>
          <w:p w14:paraId="5B5AA748" w14:textId="71CD47D0" w:rsidR="00C03A2B" w:rsidRPr="00003118" w:rsidRDefault="00C03A2B" w:rsidP="002A484B">
            <w:pPr>
              <w:spacing w:before="80" w:after="40" w:line="240" w:lineRule="auto"/>
              <w:rPr>
                <w:rFonts w:ascii="Times New Roman" w:eastAsia="Times New Roman" w:hAnsi="Times New Roman"/>
              </w:rPr>
            </w:pPr>
            <w:r w:rsidRPr="00003118">
              <w:rPr>
                <w:rFonts w:ascii="Times New Roman" w:eastAsia="Times New Roman" w:hAnsi="Times New Roman"/>
              </w:rPr>
              <w:t>Prancūzijos skolos reitingas</w:t>
            </w:r>
          </w:p>
        </w:tc>
      </w:tr>
      <w:tr w:rsidR="006055C0" w:rsidRPr="00003118" w14:paraId="16409F83" w14:textId="77777777" w:rsidTr="002A484B">
        <w:trPr>
          <w:gridAfter w:val="1"/>
          <w:wAfter w:w="11" w:type="dxa"/>
          <w:trHeight w:val="216"/>
        </w:trPr>
        <w:tc>
          <w:tcPr>
            <w:tcW w:w="1418" w:type="dxa"/>
            <w:tcMar>
              <w:top w:w="29" w:type="dxa"/>
              <w:left w:w="115" w:type="dxa"/>
              <w:bottom w:w="29" w:type="dxa"/>
              <w:right w:w="115" w:type="dxa"/>
            </w:tcMar>
          </w:tcPr>
          <w:p w14:paraId="3C629EED" w14:textId="1477B15C" w:rsidR="006055C0" w:rsidRPr="00003118" w:rsidRDefault="00092B06" w:rsidP="002A484B">
            <w:pPr>
              <w:spacing w:before="80" w:after="40" w:line="240" w:lineRule="auto"/>
              <w:rPr>
                <w:rFonts w:ascii="Times New Roman" w:eastAsia="Times New Roman" w:hAnsi="Times New Roman"/>
              </w:rPr>
            </w:pPr>
            <w:r w:rsidRPr="00003118">
              <w:rPr>
                <w:rFonts w:ascii="Times New Roman" w:eastAsia="Times New Roman" w:hAnsi="Times New Roman"/>
              </w:rPr>
              <w:t>2025 09 25</w:t>
            </w:r>
          </w:p>
        </w:tc>
        <w:tc>
          <w:tcPr>
            <w:tcW w:w="5812" w:type="dxa"/>
            <w:tcMar>
              <w:top w:w="29" w:type="dxa"/>
              <w:left w:w="115" w:type="dxa"/>
              <w:bottom w:w="29" w:type="dxa"/>
              <w:right w:w="115" w:type="dxa"/>
            </w:tcMar>
          </w:tcPr>
          <w:p w14:paraId="1EB13D8F" w14:textId="6F8B3E7C" w:rsidR="006055C0" w:rsidRPr="00003118" w:rsidRDefault="006055C0"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Prancūzijos valstybės skola toliau sparčiai auga. 2025 m. antrąjį ketvirtį ji padidėjo dar 70,9 mlrd. eurų ir pasiekė 3,416 </w:t>
            </w:r>
            <w:proofErr w:type="spellStart"/>
            <w:r w:rsidRPr="00003118">
              <w:rPr>
                <w:rFonts w:ascii="Times New Roman" w:eastAsia="Times New Roman" w:hAnsi="Times New Roman"/>
              </w:rPr>
              <w:t>trln</w:t>
            </w:r>
            <w:proofErr w:type="spellEnd"/>
            <w:r w:rsidRPr="00003118">
              <w:rPr>
                <w:rFonts w:ascii="Times New Roman" w:eastAsia="Times New Roman" w:hAnsi="Times New Roman"/>
              </w:rPr>
              <w:t>. eurų, tai sudaro 115,6 % BVP (2024 m. pabaigoje buvo 113,2 %). Didžiausią augimo dalį sudaro valstybės skola (+64,3 mlrd.), kiek mažiau – SODROS (+7,8 mlrd.), o savivaldybių skola šiek tiek sumažėjo.</w:t>
            </w:r>
          </w:p>
          <w:p w14:paraId="021E9549" w14:textId="4BE905F8" w:rsidR="006055C0" w:rsidRPr="00003118" w:rsidRDefault="006055C0"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lastRenderedPageBreak/>
              <w:t>Vyriausybės prognozėse numatyta, kad skola toliau didės ir 2027 m. pasieks piką – 118,1 % BVP, o mažėti pradės tik vėliau, jei pavyks įgyvendinti sudėtingus biudžeto taupymo planus. Tam būtina palaipsniui mažinti deficitą: nuo 5,4 % BVP šiemet iki mažiau nei 3 % 2029 m.</w:t>
            </w:r>
          </w:p>
          <w:p w14:paraId="2E77C9EF" w14:textId="3CF2453F" w:rsidR="006055C0" w:rsidRPr="00003118" w:rsidRDefault="006055C0"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Vis dėlto analitikai abejoja šios trajektorijos realumu dėl politinio nestabilumo. </w:t>
            </w:r>
            <w:proofErr w:type="spellStart"/>
            <w:r w:rsidRPr="00003118">
              <w:rPr>
                <w:rFonts w:ascii="Times New Roman" w:eastAsia="Times New Roman" w:hAnsi="Times New Roman"/>
              </w:rPr>
              <w:t>Goldman</w:t>
            </w:r>
            <w:proofErr w:type="spellEnd"/>
            <w:r w:rsidRPr="00003118">
              <w:rPr>
                <w:rFonts w:ascii="Times New Roman" w:eastAsia="Times New Roman" w:hAnsi="Times New Roman"/>
              </w:rPr>
              <w:t xml:space="preserve"> </w:t>
            </w:r>
            <w:proofErr w:type="spellStart"/>
            <w:r w:rsidRPr="00003118">
              <w:rPr>
                <w:rFonts w:ascii="Times New Roman" w:eastAsia="Times New Roman" w:hAnsi="Times New Roman"/>
              </w:rPr>
              <w:t>Sachs</w:t>
            </w:r>
            <w:proofErr w:type="spellEnd"/>
            <w:r w:rsidRPr="00003118">
              <w:rPr>
                <w:rFonts w:ascii="Times New Roman" w:eastAsia="Times New Roman" w:hAnsi="Times New Roman"/>
              </w:rPr>
              <w:t xml:space="preserve"> prognozuoja, kad skola gali stabilizuotis tik apie 122 % BVP po 2029 m., o </w:t>
            </w:r>
            <w:proofErr w:type="spellStart"/>
            <w:r w:rsidRPr="00003118">
              <w:rPr>
                <w:rFonts w:ascii="Times New Roman" w:eastAsia="Times New Roman" w:hAnsi="Times New Roman"/>
              </w:rPr>
              <w:t>Fitch</w:t>
            </w:r>
            <w:proofErr w:type="spellEnd"/>
            <w:r w:rsidRPr="00003118">
              <w:rPr>
                <w:rFonts w:ascii="Times New Roman" w:eastAsia="Times New Roman" w:hAnsi="Times New Roman"/>
              </w:rPr>
              <w:t xml:space="preserve"> vertinimu, 2027 m. ji sieks 121 % BVP be aiškios perspektyvos mažėti. Be to, skolos aptarnavimo našta taip pat auga – iki 2029 m. ji gali viršyti 100 mlrd. eurų per metus.</w:t>
            </w:r>
          </w:p>
        </w:tc>
        <w:tc>
          <w:tcPr>
            <w:tcW w:w="2268" w:type="dxa"/>
            <w:tcMar>
              <w:top w:w="29" w:type="dxa"/>
              <w:left w:w="115" w:type="dxa"/>
              <w:bottom w:w="29" w:type="dxa"/>
              <w:right w:w="115" w:type="dxa"/>
            </w:tcMar>
          </w:tcPr>
          <w:p w14:paraId="448A9583" w14:textId="2EB86D18" w:rsidR="006055C0" w:rsidRPr="00003118" w:rsidRDefault="006055C0" w:rsidP="002A484B">
            <w:pPr>
              <w:spacing w:before="80" w:after="40" w:line="240" w:lineRule="auto"/>
              <w:rPr>
                <w:rFonts w:ascii="Times New Roman" w:hAnsi="Times New Roman"/>
              </w:rPr>
            </w:pPr>
            <w:hyperlink r:id="rId23" w:history="1">
              <w:proofErr w:type="spellStart"/>
              <w:r w:rsidRPr="00003118">
                <w:rPr>
                  <w:rFonts w:ascii="Times New Roman" w:hAnsi="Times New Roman"/>
                  <w:color w:val="0000FF"/>
                  <w:u w:val="single"/>
                </w:rPr>
                <w:t>Plus</w:t>
              </w:r>
              <w:proofErr w:type="spellEnd"/>
              <w:r w:rsidRPr="00003118">
                <w:rPr>
                  <w:rFonts w:ascii="Times New Roman" w:hAnsi="Times New Roman"/>
                  <w:color w:val="0000FF"/>
                  <w:u w:val="single"/>
                </w:rPr>
                <w:t xml:space="preserve"> de 3.400 </w:t>
              </w:r>
              <w:proofErr w:type="spellStart"/>
              <w:r w:rsidRPr="00003118">
                <w:rPr>
                  <w:rFonts w:ascii="Times New Roman" w:hAnsi="Times New Roman"/>
                  <w:color w:val="0000FF"/>
                  <w:u w:val="single"/>
                </w:rPr>
                <w:t>milliards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d'euros</w:t>
              </w:r>
              <w:proofErr w:type="spellEnd"/>
              <w:r w:rsidRPr="00003118">
                <w:rPr>
                  <w:rFonts w:ascii="Times New Roman" w:hAnsi="Times New Roman"/>
                  <w:color w:val="0000FF"/>
                  <w:u w:val="single"/>
                </w:rPr>
                <w:t xml:space="preserve"> : </w:t>
              </w:r>
              <w:proofErr w:type="spellStart"/>
              <w:r w:rsidRPr="00003118">
                <w:rPr>
                  <w:rFonts w:ascii="Times New Roman" w:hAnsi="Times New Roman"/>
                  <w:color w:val="0000FF"/>
                  <w:u w:val="single"/>
                </w:rPr>
                <w:t>l'inexorable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gonflement</w:t>
              </w:r>
              <w:proofErr w:type="spellEnd"/>
              <w:r w:rsidRPr="00003118">
                <w:rPr>
                  <w:rFonts w:ascii="Times New Roman" w:hAnsi="Times New Roman"/>
                  <w:color w:val="0000FF"/>
                  <w:u w:val="single"/>
                </w:rPr>
                <w:t xml:space="preserve"> de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dette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française</w:t>
              </w:r>
              <w:proofErr w:type="spellEnd"/>
              <w:r w:rsidRPr="00003118">
                <w:rPr>
                  <w:rFonts w:ascii="Times New Roman" w:hAnsi="Times New Roman"/>
                  <w:color w:val="0000FF"/>
                  <w:u w:val="single"/>
                </w:rPr>
                <w:t xml:space="preserve"> | Les </w:t>
              </w:r>
              <w:proofErr w:type="spellStart"/>
              <w:r w:rsidRPr="0000311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1396AB91" w14:textId="250B4F01" w:rsidR="006055C0" w:rsidRPr="00003118" w:rsidRDefault="006055C0" w:rsidP="002A484B">
            <w:pPr>
              <w:spacing w:before="80" w:after="40" w:line="240" w:lineRule="auto"/>
              <w:rPr>
                <w:rFonts w:ascii="Times New Roman" w:eastAsia="Times New Roman" w:hAnsi="Times New Roman"/>
              </w:rPr>
            </w:pPr>
            <w:r w:rsidRPr="00003118">
              <w:rPr>
                <w:rFonts w:ascii="Times New Roman" w:eastAsia="Times New Roman" w:hAnsi="Times New Roman"/>
              </w:rPr>
              <w:t xml:space="preserve">Prancūzijos skolos augimo prognozės </w:t>
            </w:r>
          </w:p>
        </w:tc>
      </w:tr>
      <w:tr w:rsidR="00A71142" w:rsidRPr="00003118" w14:paraId="1F193A91" w14:textId="77777777" w:rsidTr="002A484B">
        <w:trPr>
          <w:gridAfter w:val="1"/>
          <w:wAfter w:w="11" w:type="dxa"/>
          <w:trHeight w:val="216"/>
        </w:trPr>
        <w:tc>
          <w:tcPr>
            <w:tcW w:w="1418" w:type="dxa"/>
            <w:tcMar>
              <w:top w:w="29" w:type="dxa"/>
              <w:left w:w="115" w:type="dxa"/>
              <w:bottom w:w="29" w:type="dxa"/>
              <w:right w:w="115" w:type="dxa"/>
            </w:tcMar>
          </w:tcPr>
          <w:p w14:paraId="42D2B3F8" w14:textId="0E982E10" w:rsidR="00A71142" w:rsidRPr="00003118" w:rsidRDefault="00A71142" w:rsidP="002A484B">
            <w:pPr>
              <w:spacing w:before="80" w:after="40" w:line="240" w:lineRule="auto"/>
              <w:rPr>
                <w:rFonts w:ascii="Times New Roman" w:eastAsia="Times New Roman" w:hAnsi="Times New Roman"/>
              </w:rPr>
            </w:pPr>
            <w:r w:rsidRPr="00003118">
              <w:rPr>
                <w:rFonts w:ascii="Times New Roman" w:eastAsia="Times New Roman" w:hAnsi="Times New Roman"/>
              </w:rPr>
              <w:t>2025 09 25</w:t>
            </w:r>
          </w:p>
        </w:tc>
        <w:tc>
          <w:tcPr>
            <w:tcW w:w="5812" w:type="dxa"/>
            <w:tcMar>
              <w:top w:w="29" w:type="dxa"/>
              <w:left w:w="115" w:type="dxa"/>
              <w:bottom w:w="29" w:type="dxa"/>
              <w:right w:w="115" w:type="dxa"/>
            </w:tcMar>
          </w:tcPr>
          <w:p w14:paraId="335E769D" w14:textId="4596DCBA" w:rsidR="00A71142" w:rsidRPr="00003118" w:rsidRDefault="00A71142"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2025 m. pirmoje pusėje Prancūzijoje gerokai išaugo įmonių tarpusavio atsiskaitymų vėlavimai, kuriuos lėmė politinis ir fiskalinis neapibrėžtumas. Vidutiniškai įmonės vėluoja atsiskaityti 14,1 dienos, palyginti su 13,5 dienos 2024 m. pabaigoje, o tik 45 % įmonių laiku atsiskaito su tiekėjais. Šis reiškinys ypač žalingas smulkioms ir vidutinėms įmonėms bei amatininkams, kurie dažnai priversti imti banko paskolas, kad galėtų sumokėti darbuotojams ir išvengti veiklos paralyžiaus. Didžiausi vėlavimai fiksuojami patiriančiuose struktūrinių sunkumų sektoriuose, pvz., tekstilės ir nekilnojamojo turto rinkose, kur vėlavimai atsiskaityti siekia 21–28 dienas.</w:t>
            </w:r>
          </w:p>
          <w:p w14:paraId="284F10EE" w14:textId="37658D4D" w:rsidR="00A71142" w:rsidRPr="00003118" w:rsidRDefault="00A71142"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Paradoksalu, kad vėlavimų lyderiais </w:t>
            </w:r>
            <w:proofErr w:type="spellStart"/>
            <w:r w:rsidRPr="00003118">
              <w:rPr>
                <w:rFonts w:ascii="Times New Roman" w:eastAsia="Times New Roman" w:hAnsi="Times New Roman"/>
              </w:rPr>
              <w:t>tampusios</w:t>
            </w:r>
            <w:proofErr w:type="spellEnd"/>
            <w:r w:rsidRPr="00003118">
              <w:rPr>
                <w:rFonts w:ascii="Times New Roman" w:eastAsia="Times New Roman" w:hAnsi="Times New Roman"/>
              </w:rPr>
              <w:t xml:space="preserve"> stambios įmonės ir netgi viešasis sektorius, įskaitant valstybinės administracijos padalinius, mokyklas ir ligonines. Tai kelia pavojų mažesniems tiekėjams, nes nesumokėtos sumos gali sudaryti reikšmingą jų apyvartos dalį. Atsižvelgiant į šią padėtį, ankstesnysis ministras pirmininkas F. </w:t>
            </w:r>
            <w:proofErr w:type="spellStart"/>
            <w:r w:rsidRPr="00003118">
              <w:rPr>
                <w:rFonts w:ascii="Times New Roman" w:eastAsia="Times New Roman" w:hAnsi="Times New Roman"/>
              </w:rPr>
              <w:t>Bayrou</w:t>
            </w:r>
            <w:proofErr w:type="spellEnd"/>
            <w:r w:rsidRPr="00003118">
              <w:rPr>
                <w:rFonts w:ascii="Times New Roman" w:eastAsia="Times New Roman" w:hAnsi="Times New Roman"/>
              </w:rPr>
              <w:t xml:space="preserve"> palaikė siūlymą griežtinti sankcijas už vėlavimus, kad jos galėtų siekti iki 1 % skolininko apyvartos, tačiau jo pasitraukimas sustabdė šios priemonės įgyvendinimą, dar labiau sustiprinant bendrą ekonominio klimato neapibrėžtumą.</w:t>
            </w:r>
          </w:p>
        </w:tc>
        <w:tc>
          <w:tcPr>
            <w:tcW w:w="2268" w:type="dxa"/>
            <w:tcMar>
              <w:top w:w="29" w:type="dxa"/>
              <w:left w:w="115" w:type="dxa"/>
              <w:bottom w:w="29" w:type="dxa"/>
              <w:right w:w="115" w:type="dxa"/>
            </w:tcMar>
          </w:tcPr>
          <w:p w14:paraId="7C493A26" w14:textId="443C2D37" w:rsidR="00A71142" w:rsidRPr="00003118" w:rsidRDefault="00311FC6" w:rsidP="002A484B">
            <w:pPr>
              <w:spacing w:before="80" w:after="40" w:line="240" w:lineRule="auto"/>
              <w:rPr>
                <w:rFonts w:ascii="Times New Roman" w:hAnsi="Times New Roman"/>
              </w:rPr>
            </w:pPr>
            <w:hyperlink r:id="rId24" w:history="1">
              <w:r w:rsidRPr="00003118">
                <w:rPr>
                  <w:rFonts w:ascii="Times New Roman" w:hAnsi="Times New Roman"/>
                  <w:color w:val="0000FF"/>
                  <w:u w:val="single"/>
                </w:rPr>
                <w:t xml:space="preserve">Les </w:t>
              </w:r>
              <w:proofErr w:type="spellStart"/>
              <w:r w:rsidRPr="00003118">
                <w:rPr>
                  <w:rFonts w:ascii="Times New Roman" w:hAnsi="Times New Roman"/>
                  <w:color w:val="0000FF"/>
                  <w:u w:val="single"/>
                </w:rPr>
                <w:t>retards</w:t>
              </w:r>
              <w:proofErr w:type="spellEnd"/>
              <w:r w:rsidRPr="00003118">
                <w:rPr>
                  <w:rFonts w:ascii="Times New Roman" w:hAnsi="Times New Roman"/>
                  <w:color w:val="0000FF"/>
                  <w:u w:val="single"/>
                </w:rPr>
                <w:t xml:space="preserve"> de </w:t>
              </w:r>
              <w:proofErr w:type="spellStart"/>
              <w:r w:rsidRPr="00003118">
                <w:rPr>
                  <w:rFonts w:ascii="Times New Roman" w:hAnsi="Times New Roman"/>
                  <w:color w:val="0000FF"/>
                  <w:u w:val="single"/>
                </w:rPr>
                <w:t>paiement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entre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entreprises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augmentent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avec</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l’incertitude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politique</w:t>
              </w:r>
              <w:proofErr w:type="spellEnd"/>
              <w:r w:rsidRPr="00003118">
                <w:rPr>
                  <w:rFonts w:ascii="Times New Roman" w:hAnsi="Times New Roman"/>
                  <w:color w:val="0000FF"/>
                  <w:u w:val="single"/>
                </w:rPr>
                <w:t xml:space="preserve"> et </w:t>
              </w:r>
              <w:proofErr w:type="spellStart"/>
              <w:r w:rsidRPr="00003118">
                <w:rPr>
                  <w:rFonts w:ascii="Times New Roman" w:hAnsi="Times New Roman"/>
                  <w:color w:val="0000FF"/>
                  <w:u w:val="single"/>
                </w:rPr>
                <w:t>budgétaire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en</w:t>
              </w:r>
              <w:proofErr w:type="spellEnd"/>
              <w:r w:rsidRPr="00003118">
                <w:rPr>
                  <w:rFonts w:ascii="Times New Roman" w:hAnsi="Times New Roman"/>
                  <w:color w:val="0000FF"/>
                  <w:u w:val="single"/>
                </w:rPr>
                <w:t xml:space="preserve"> France</w:t>
              </w:r>
            </w:hyperlink>
          </w:p>
        </w:tc>
        <w:tc>
          <w:tcPr>
            <w:tcW w:w="1436" w:type="dxa"/>
            <w:tcMar>
              <w:top w:w="29" w:type="dxa"/>
              <w:left w:w="115" w:type="dxa"/>
              <w:bottom w:w="29" w:type="dxa"/>
              <w:right w:w="115" w:type="dxa"/>
            </w:tcMar>
          </w:tcPr>
          <w:p w14:paraId="2048ACC8" w14:textId="3C70C261" w:rsidR="00A71142" w:rsidRPr="00003118" w:rsidRDefault="00311FC6" w:rsidP="002A484B">
            <w:pPr>
              <w:spacing w:before="80" w:after="40" w:line="240" w:lineRule="auto"/>
              <w:rPr>
                <w:rFonts w:ascii="Times New Roman" w:eastAsia="Times New Roman" w:hAnsi="Times New Roman"/>
              </w:rPr>
            </w:pPr>
            <w:r w:rsidRPr="00003118">
              <w:rPr>
                <w:rFonts w:ascii="Times New Roman" w:eastAsia="Times New Roman" w:hAnsi="Times New Roman"/>
              </w:rPr>
              <w:t>Politinis ir fiskalinis neapibrėžtumas didina įmonių atsiskaitymų vėlavimus</w:t>
            </w:r>
          </w:p>
        </w:tc>
      </w:tr>
      <w:tr w:rsidR="002A6BAB" w:rsidRPr="00003118" w14:paraId="5A5B2064" w14:textId="77777777" w:rsidTr="002A484B">
        <w:trPr>
          <w:gridAfter w:val="1"/>
          <w:wAfter w:w="11" w:type="dxa"/>
          <w:trHeight w:val="216"/>
        </w:trPr>
        <w:tc>
          <w:tcPr>
            <w:tcW w:w="1418" w:type="dxa"/>
            <w:tcMar>
              <w:top w:w="29" w:type="dxa"/>
              <w:left w:w="115" w:type="dxa"/>
              <w:bottom w:w="29" w:type="dxa"/>
              <w:right w:w="115" w:type="dxa"/>
            </w:tcMar>
          </w:tcPr>
          <w:p w14:paraId="6D77902F" w14:textId="080D7982" w:rsidR="002A6BAB" w:rsidRPr="00003118" w:rsidRDefault="002A6BAB" w:rsidP="002A484B">
            <w:pPr>
              <w:spacing w:before="80" w:after="40" w:line="240" w:lineRule="auto"/>
              <w:rPr>
                <w:rFonts w:ascii="Times New Roman" w:eastAsia="Times New Roman" w:hAnsi="Times New Roman"/>
              </w:rPr>
            </w:pPr>
            <w:r w:rsidRPr="00003118">
              <w:rPr>
                <w:rFonts w:ascii="Times New Roman" w:eastAsia="Times New Roman" w:hAnsi="Times New Roman"/>
                <w:lang w:val="en-US"/>
              </w:rPr>
              <w:t>2025 09 28</w:t>
            </w:r>
          </w:p>
        </w:tc>
        <w:tc>
          <w:tcPr>
            <w:tcW w:w="5812" w:type="dxa"/>
            <w:tcMar>
              <w:top w:w="29" w:type="dxa"/>
              <w:left w:w="115" w:type="dxa"/>
              <w:bottom w:w="29" w:type="dxa"/>
              <w:right w:w="115" w:type="dxa"/>
            </w:tcMar>
          </w:tcPr>
          <w:p w14:paraId="1EE34B2B" w14:textId="07FB3371"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Prezidentūra antrus metus iš eilės neplanuoja didinti savo biudžeto – 2026 m. jis išliks 122,6 mln. eurų, t. y. 0,027 % valstybės išlaidų. Šis sprendimas pristatomas kaip solidarumo pavyzdys diržų susiveržimo laikotarpiu. Prezidentūros atstovai pabrėžia, kad atsižvelgiant į infliaciją ir natūralų atlyginimų augimą (2024 m. iš viso 822 darbuotojai), šis sąnaudų lygio išlaikymas reiškia mažesnes veiklos išlaidas. Valstybės kontrolės ataskaitoje šis valdymo ir organizacinės struktūros optimizavimas įvertintas teigiamai.</w:t>
            </w:r>
          </w:p>
        </w:tc>
        <w:tc>
          <w:tcPr>
            <w:tcW w:w="2268" w:type="dxa"/>
            <w:tcMar>
              <w:top w:w="29" w:type="dxa"/>
              <w:left w:w="115" w:type="dxa"/>
              <w:bottom w:w="29" w:type="dxa"/>
              <w:right w:w="115" w:type="dxa"/>
            </w:tcMar>
          </w:tcPr>
          <w:p w14:paraId="10C78046" w14:textId="75DF493C" w:rsidR="002A6BAB" w:rsidRPr="00003118" w:rsidRDefault="00003118" w:rsidP="002A484B">
            <w:pPr>
              <w:spacing w:before="80" w:after="40" w:line="240" w:lineRule="auto"/>
              <w:rPr>
                <w:rFonts w:ascii="Times New Roman" w:hAnsi="Times New Roman"/>
              </w:rPr>
            </w:pPr>
            <w:hyperlink r:id="rId25" w:history="1">
              <w:r w:rsidRPr="00003118">
                <w:rPr>
                  <w:rFonts w:ascii="Times New Roman" w:hAnsi="Times New Roman"/>
                  <w:color w:val="0000FF"/>
                  <w:u w:val="single"/>
                </w:rPr>
                <w:t xml:space="preserve">La </w:t>
              </w:r>
              <w:proofErr w:type="spellStart"/>
              <w:r w:rsidRPr="00003118">
                <w:rPr>
                  <w:rFonts w:ascii="Times New Roman" w:hAnsi="Times New Roman"/>
                  <w:color w:val="0000FF"/>
                  <w:u w:val="single"/>
                </w:rPr>
                <w:t>dotation</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budgétaire</w:t>
              </w:r>
              <w:proofErr w:type="spellEnd"/>
              <w:r w:rsidRPr="00003118">
                <w:rPr>
                  <w:rFonts w:ascii="Times New Roman" w:hAnsi="Times New Roman"/>
                  <w:color w:val="0000FF"/>
                  <w:u w:val="single"/>
                </w:rPr>
                <w:t xml:space="preserve"> de </w:t>
              </w:r>
              <w:proofErr w:type="spellStart"/>
              <w:r w:rsidRPr="00003118">
                <w:rPr>
                  <w:rFonts w:ascii="Times New Roman" w:hAnsi="Times New Roman"/>
                  <w:color w:val="0000FF"/>
                  <w:u w:val="single"/>
                </w:rPr>
                <w:t>l’Elysée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gelée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pour</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2ᵉ </w:t>
              </w:r>
              <w:proofErr w:type="spellStart"/>
              <w:r w:rsidRPr="00003118">
                <w:rPr>
                  <w:rFonts w:ascii="Times New Roman" w:hAnsi="Times New Roman"/>
                  <w:color w:val="0000FF"/>
                  <w:u w:val="single"/>
                </w:rPr>
                <w:t>année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d’affilée</w:t>
              </w:r>
              <w:proofErr w:type="spellEnd"/>
            </w:hyperlink>
          </w:p>
        </w:tc>
        <w:tc>
          <w:tcPr>
            <w:tcW w:w="1436" w:type="dxa"/>
            <w:tcMar>
              <w:top w:w="29" w:type="dxa"/>
              <w:left w:w="115" w:type="dxa"/>
              <w:bottom w:w="29" w:type="dxa"/>
              <w:right w:w="115" w:type="dxa"/>
            </w:tcMar>
          </w:tcPr>
          <w:p w14:paraId="5090B420" w14:textId="206E563E" w:rsidR="002A6BAB" w:rsidRPr="00003118" w:rsidRDefault="002A6BAB" w:rsidP="002A484B">
            <w:pPr>
              <w:spacing w:before="80" w:after="40" w:line="240" w:lineRule="auto"/>
              <w:rPr>
                <w:rFonts w:ascii="Times New Roman" w:eastAsia="Times New Roman" w:hAnsi="Times New Roman"/>
              </w:rPr>
            </w:pPr>
            <w:r w:rsidRPr="00003118">
              <w:rPr>
                <w:rFonts w:ascii="Times New Roman" w:eastAsia="Times New Roman" w:hAnsi="Times New Roman"/>
              </w:rPr>
              <w:t>Prezidentūros biudžetas 2026-aisiais nebus didinamas</w:t>
            </w:r>
          </w:p>
        </w:tc>
      </w:tr>
      <w:tr w:rsidR="002A6BAB" w:rsidRPr="00003118" w14:paraId="103217EB" w14:textId="77777777" w:rsidTr="002A484B">
        <w:trPr>
          <w:gridAfter w:val="1"/>
          <w:wAfter w:w="11" w:type="dxa"/>
          <w:trHeight w:val="216"/>
        </w:trPr>
        <w:tc>
          <w:tcPr>
            <w:tcW w:w="1418" w:type="dxa"/>
            <w:tcMar>
              <w:top w:w="29" w:type="dxa"/>
              <w:left w:w="115" w:type="dxa"/>
              <w:bottom w:w="29" w:type="dxa"/>
              <w:right w:w="115" w:type="dxa"/>
            </w:tcMar>
          </w:tcPr>
          <w:p w14:paraId="3E2E6DC4" w14:textId="7581CA04" w:rsidR="002A6BAB" w:rsidRPr="00003118" w:rsidRDefault="002A6BAB" w:rsidP="002A484B">
            <w:pPr>
              <w:spacing w:before="80" w:after="40" w:line="240" w:lineRule="auto"/>
              <w:rPr>
                <w:rFonts w:ascii="Times New Roman" w:eastAsia="Times New Roman" w:hAnsi="Times New Roman"/>
              </w:rPr>
            </w:pPr>
            <w:r w:rsidRPr="00003118">
              <w:rPr>
                <w:rFonts w:ascii="Times New Roman" w:eastAsia="Times New Roman" w:hAnsi="Times New Roman"/>
              </w:rPr>
              <w:t>2025-09-30</w:t>
            </w:r>
          </w:p>
        </w:tc>
        <w:tc>
          <w:tcPr>
            <w:tcW w:w="5812" w:type="dxa"/>
            <w:tcMar>
              <w:top w:w="29" w:type="dxa"/>
              <w:left w:w="115" w:type="dxa"/>
              <w:bottom w:w="29" w:type="dxa"/>
              <w:right w:w="115" w:type="dxa"/>
            </w:tcMar>
          </w:tcPr>
          <w:p w14:paraId="61465E09" w14:textId="4EDBCD32"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Nors rugpjūčio mėnesį Prancūzijos statistikos ir ekonominių tyrimų institutas INSEE infliaciją įvertino 0,9 %, t. y. gerokai mažiau nei kitur Europoje, rugsėjį ji vėl pradėjo kilti ir viršijo 1 % ribą. Remiantis pirmuoju INSEE antradienį paskelbtu įverčiu, vartotojų kainos, palyginti su tuo pačiu laikotarpiu praėjusiais metais, išaugo 1,2 %. Šį atsigavimą daugiausia lėmė paslaugų kainos. Savo ruožtu suderintas vartotojų kainų indeksas, leidžiantis palyginti Europos lygmeniu, rugsėjį išaugo 1,1 %.</w:t>
            </w:r>
          </w:p>
          <w:p w14:paraId="65659971" w14:textId="615BC889"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Paslaugų kainos rugsėjį, palyginti su tuo pačiu laikotarpiu praėjusiais metais, išaugo 2,4 %, o rugpjūtį jos pakilo 2,1 %. Valstybiniai statistikai teigia, kad šį kainų kilimą, susijusį su grįžimu į mokyklą, galima paaiškinti „aiškiu paslaugų kainų </w:t>
            </w:r>
            <w:r w:rsidRPr="00003118">
              <w:rPr>
                <w:rFonts w:ascii="Times New Roman" w:eastAsia="Times New Roman" w:hAnsi="Times New Roman"/>
              </w:rPr>
              <w:lastRenderedPageBreak/>
              <w:t>kilimo spartėjimu, susijusiu su daug mažiau tvariu ryšių paslaugų kainų kritimu ir sveikatos paslaugų kainų kilimo spartėjimu“.</w:t>
            </w:r>
          </w:p>
          <w:p w14:paraId="0F43F43F" w14:textId="749DAD8D"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Tuo pačiu laikotarpiu maisto ir tabako kainos vis dar kyla metiniu tempu – atitinkamai 1,7 % ir 4,1 %, o pagamintų prekių kainos sumažėjo 0,4 %. Energijos kainos taip pat toliau mažėja – 4,5 %.</w:t>
            </w:r>
          </w:p>
          <w:p w14:paraId="073F993C" w14:textId="6017E6A4"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Tačiau, palyginti su praėjusiu mėnesiu, kainos mažėja. Rugpjūčio–rugsėjo mėnesiais jos sumažėjo 1 %, nors prieš mėnesį padidėjo 0,4 %. To priežastis – „staigus sezoninis transporto paslaugų, ypač oro transporto, ir apgyvendinimo kainų kritimas“, – nurodo INSEE.</w:t>
            </w:r>
          </w:p>
          <w:p w14:paraId="1635C9F4" w14:textId="735B0729"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Infliacija šiek tiek didėja, bet ne vartojimas. Pasak INSEE, namų ūkių vartojimas rugpjūtį padidėjo tik nežymiai – 0,1 %, po to, kai liepą sumažėjo daug daugiau nei buvo skelbta iš pradžių. Pasak INSEE, vartojimo sumažėjimas liepą siekė 0,6 %, o ne 0,3 %, kaip buvo skelbta anksčiau. Išsamiau, INSEE praneša apie staigų drabužių ir tekstilės pirkimų atsigavimą rugpjūtį (+1,8 % po 2,6 % kritimo liepą). Tačiau, vertinant pagal metinį rodiklį, bendras namų ūkių vartojimas mažėjo 0,8 %, o vien tik pagamintų prekių vartojimas net 0,9 %.</w:t>
            </w:r>
          </w:p>
        </w:tc>
        <w:tc>
          <w:tcPr>
            <w:tcW w:w="2268" w:type="dxa"/>
            <w:tcMar>
              <w:top w:w="29" w:type="dxa"/>
              <w:left w:w="115" w:type="dxa"/>
              <w:bottom w:w="29" w:type="dxa"/>
              <w:right w:w="115" w:type="dxa"/>
            </w:tcMar>
          </w:tcPr>
          <w:p w14:paraId="28914FA3" w14:textId="33E30FBE" w:rsidR="00003118" w:rsidRPr="00003118" w:rsidRDefault="00003118" w:rsidP="002A484B">
            <w:pPr>
              <w:spacing w:before="80" w:after="40" w:line="240" w:lineRule="auto"/>
              <w:rPr>
                <w:rFonts w:ascii="Times New Roman" w:eastAsia="Times New Roman" w:hAnsi="Times New Roman"/>
              </w:rPr>
            </w:pPr>
            <w:hyperlink r:id="rId26" w:history="1">
              <w:proofErr w:type="spellStart"/>
              <w:r w:rsidRPr="00003118">
                <w:rPr>
                  <w:rFonts w:ascii="Times New Roman" w:hAnsi="Times New Roman"/>
                  <w:color w:val="0000FF"/>
                  <w:u w:val="single"/>
                </w:rPr>
                <w:t>L'inflation</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repasse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au-dessus</w:t>
              </w:r>
              <w:proofErr w:type="spellEnd"/>
              <w:r w:rsidRPr="00003118">
                <w:rPr>
                  <w:rFonts w:ascii="Times New Roman" w:hAnsi="Times New Roman"/>
                  <w:color w:val="0000FF"/>
                  <w:u w:val="single"/>
                </w:rPr>
                <w:t xml:space="preserve"> de 1 %,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consommation</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déçoit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toujours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autant</w:t>
              </w:r>
              <w:proofErr w:type="spellEnd"/>
              <w:r w:rsidRPr="00003118">
                <w:rPr>
                  <w:rFonts w:ascii="Times New Roman" w:hAnsi="Times New Roman"/>
                  <w:color w:val="0000FF"/>
                  <w:u w:val="single"/>
                </w:rPr>
                <w:t xml:space="preserve"> | Les </w:t>
              </w:r>
              <w:proofErr w:type="spellStart"/>
              <w:r w:rsidRPr="0000311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9A8EA51" w14:textId="693CD864" w:rsidR="002A6BAB" w:rsidRPr="00003118" w:rsidRDefault="002A6BAB" w:rsidP="002A484B">
            <w:pPr>
              <w:spacing w:before="80" w:after="40" w:line="240" w:lineRule="auto"/>
              <w:rPr>
                <w:rFonts w:ascii="Times New Roman" w:eastAsia="Times New Roman" w:hAnsi="Times New Roman"/>
              </w:rPr>
            </w:pPr>
            <w:r w:rsidRPr="00003118">
              <w:rPr>
                <w:rFonts w:ascii="Times New Roman" w:eastAsia="Times New Roman" w:hAnsi="Times New Roman"/>
              </w:rPr>
              <w:t>Infliacija</w:t>
            </w:r>
          </w:p>
        </w:tc>
      </w:tr>
      <w:tr w:rsidR="002A6BAB" w:rsidRPr="00003118" w14:paraId="3F4EE6D4" w14:textId="77777777" w:rsidTr="002A484B">
        <w:trPr>
          <w:gridAfter w:val="1"/>
          <w:wAfter w:w="11" w:type="dxa"/>
          <w:trHeight w:val="216"/>
        </w:trPr>
        <w:tc>
          <w:tcPr>
            <w:tcW w:w="1418" w:type="dxa"/>
            <w:tcMar>
              <w:top w:w="29" w:type="dxa"/>
              <w:left w:w="115" w:type="dxa"/>
              <w:bottom w:w="29" w:type="dxa"/>
              <w:right w:w="115" w:type="dxa"/>
            </w:tcMar>
          </w:tcPr>
          <w:p w14:paraId="6CCC5AD3" w14:textId="71D0C2A9" w:rsidR="002A6BAB" w:rsidRPr="00003118" w:rsidRDefault="002A6BAB"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2025 09 30</w:t>
            </w:r>
          </w:p>
        </w:tc>
        <w:tc>
          <w:tcPr>
            <w:tcW w:w="5812" w:type="dxa"/>
            <w:tcMar>
              <w:top w:w="29" w:type="dxa"/>
              <w:left w:w="115" w:type="dxa"/>
              <w:bottom w:w="29" w:type="dxa"/>
              <w:right w:w="115" w:type="dxa"/>
            </w:tcMar>
          </w:tcPr>
          <w:p w14:paraId="76C5434A" w14:textId="267C820F"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2024 m. Prancūzijoje namų ūkių išlaidos sveikatos priežiūrai padidėjo vidutiniškai iki 292 eurų vienam gyventojui per metus, t. y. 6 % daugiau nei ankstesniais metais, daugiausia dėl padidintų fiksuotų paciento mokėjimų už vaistus, konsultacijas ar transportą, kurie dabar siekia atitinkamai 1 eurą už vaistų pakuotę ir 2 eurus už gydytojo vizitą. Nors bendros išlaidos sveikatai Prancūzijoje išlieka vienos mažiausių Europos Sąjungoje, tendencija rodo, kad valdžia ketina didinti gyventojų prisidėjimą prie sveikatos sistemos finansavimo siekiant mažinti SODRA deficitą.</w:t>
            </w:r>
          </w:p>
        </w:tc>
        <w:tc>
          <w:tcPr>
            <w:tcW w:w="2268" w:type="dxa"/>
            <w:tcMar>
              <w:top w:w="29" w:type="dxa"/>
              <w:left w:w="115" w:type="dxa"/>
              <w:bottom w:w="29" w:type="dxa"/>
              <w:right w:w="115" w:type="dxa"/>
            </w:tcMar>
          </w:tcPr>
          <w:p w14:paraId="08B36ACB" w14:textId="5BE79DAE" w:rsidR="00003118" w:rsidRPr="00003118" w:rsidRDefault="00003118" w:rsidP="002A484B">
            <w:pPr>
              <w:spacing w:before="80" w:after="40" w:line="240" w:lineRule="auto"/>
              <w:rPr>
                <w:rFonts w:ascii="Times New Roman" w:eastAsia="Times New Roman" w:hAnsi="Times New Roman"/>
              </w:rPr>
            </w:pPr>
            <w:hyperlink r:id="rId27" w:history="1">
              <w:proofErr w:type="spellStart"/>
              <w:r w:rsidRPr="00003118">
                <w:rPr>
                  <w:rFonts w:ascii="Times New Roman" w:hAnsi="Times New Roman"/>
                  <w:color w:val="0000FF"/>
                  <w:u w:val="single"/>
                </w:rPr>
                <w:t>Pourquoi</w:t>
              </w:r>
              <w:proofErr w:type="spellEnd"/>
              <w:r w:rsidRPr="00003118">
                <w:rPr>
                  <w:rFonts w:ascii="Times New Roman" w:hAnsi="Times New Roman"/>
                  <w:color w:val="0000FF"/>
                  <w:u w:val="single"/>
                </w:rPr>
                <w:t xml:space="preserve"> les </w:t>
              </w:r>
              <w:proofErr w:type="spellStart"/>
              <w:r w:rsidRPr="00003118">
                <w:rPr>
                  <w:rFonts w:ascii="Times New Roman" w:hAnsi="Times New Roman"/>
                  <w:color w:val="0000FF"/>
                  <w:u w:val="single"/>
                </w:rPr>
                <w:t>Français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ont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déboursé</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plus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pour</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leur</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santé</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en</w:t>
              </w:r>
              <w:proofErr w:type="spellEnd"/>
              <w:r w:rsidRPr="00003118">
                <w:rPr>
                  <w:rFonts w:ascii="Times New Roman" w:hAnsi="Times New Roman"/>
                  <w:color w:val="0000FF"/>
                  <w:u w:val="single"/>
                </w:rPr>
                <w:t xml:space="preserve"> 2024 | Les </w:t>
              </w:r>
              <w:proofErr w:type="spellStart"/>
              <w:r w:rsidRPr="0000311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614996D" w14:textId="701D2F59" w:rsidR="002A6BAB" w:rsidRPr="00003118" w:rsidRDefault="002A6BAB" w:rsidP="002A484B">
            <w:pPr>
              <w:spacing w:before="80" w:after="40" w:line="240" w:lineRule="auto"/>
              <w:rPr>
                <w:rFonts w:ascii="Times New Roman" w:eastAsia="Times New Roman" w:hAnsi="Times New Roman"/>
              </w:rPr>
            </w:pPr>
            <w:r w:rsidRPr="00003118">
              <w:rPr>
                <w:rFonts w:ascii="Times New Roman" w:eastAsia="Times New Roman" w:hAnsi="Times New Roman"/>
              </w:rPr>
              <w:t>Namų ūkių išlaidos sveikatos paslaugoms</w:t>
            </w:r>
          </w:p>
        </w:tc>
      </w:tr>
      <w:tr w:rsidR="002A6BAB" w:rsidRPr="00003118" w14:paraId="150406C0" w14:textId="77777777" w:rsidTr="002A484B">
        <w:trPr>
          <w:gridAfter w:val="1"/>
          <w:wAfter w:w="11" w:type="dxa"/>
          <w:trHeight w:val="216"/>
        </w:trPr>
        <w:tc>
          <w:tcPr>
            <w:tcW w:w="1418" w:type="dxa"/>
            <w:tcMar>
              <w:top w:w="29" w:type="dxa"/>
              <w:left w:w="115" w:type="dxa"/>
              <w:bottom w:w="29" w:type="dxa"/>
              <w:right w:w="115" w:type="dxa"/>
            </w:tcMar>
          </w:tcPr>
          <w:p w14:paraId="50FA3300" w14:textId="5CD6C153" w:rsidR="002A6BAB" w:rsidRPr="00003118" w:rsidRDefault="002A6BAB" w:rsidP="002A484B">
            <w:pPr>
              <w:spacing w:before="80" w:after="40" w:line="240" w:lineRule="auto"/>
              <w:rPr>
                <w:rFonts w:ascii="Times New Roman" w:eastAsia="Times New Roman" w:hAnsi="Times New Roman"/>
              </w:rPr>
            </w:pPr>
            <w:r w:rsidRPr="00003118">
              <w:rPr>
                <w:rFonts w:ascii="Times New Roman" w:eastAsia="Times New Roman" w:hAnsi="Times New Roman"/>
              </w:rPr>
              <w:t>2025 09 30</w:t>
            </w:r>
          </w:p>
        </w:tc>
        <w:tc>
          <w:tcPr>
            <w:tcW w:w="5812" w:type="dxa"/>
            <w:tcMar>
              <w:top w:w="29" w:type="dxa"/>
              <w:left w:w="115" w:type="dxa"/>
              <w:bottom w:w="29" w:type="dxa"/>
              <w:right w:w="115" w:type="dxa"/>
            </w:tcMar>
          </w:tcPr>
          <w:p w14:paraId="298354A1" w14:textId="35C37946" w:rsidR="002A6BAB" w:rsidRPr="00003118" w:rsidRDefault="002A6BAB"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Spalio 13 d. Prancūzijoje planuojamas MEDEF mitingas, kurio tikslas – išreikšti pasipriešinimą galimiems mokesčių didinimams ir ginti įmonių interesus, atskleidė nesutarimus tarp darbdavių organizacijų: U2P, vienijanti amatininkus, prekybininkus ir laisvąsias profesijas, bei CPME, atstovaujanti smulkiajam ir vidutiniam verslui, atsisakė dalyvauti MEDEF renginyje, motyvuodamos vienašališku sprendimo priėmimu ir galimos įtampos didinimu. Darbdavių asociacija MEDEF siekia užkirsti kelią naujiems mokesčių augimams, galintiems didinti darbo sąnaudas ir silpninti įmonių konkurencingumą, o smulkusis verslas palaiko biudžeto pajamų didinimą, siekdamas užtikrinti socialinį teisingumą bei viešųjų paslaugų finansavimą.</w:t>
            </w:r>
          </w:p>
        </w:tc>
        <w:tc>
          <w:tcPr>
            <w:tcW w:w="2268" w:type="dxa"/>
            <w:tcMar>
              <w:top w:w="29" w:type="dxa"/>
              <w:left w:w="115" w:type="dxa"/>
              <w:bottom w:w="29" w:type="dxa"/>
              <w:right w:w="115" w:type="dxa"/>
            </w:tcMar>
          </w:tcPr>
          <w:p w14:paraId="2E525EDC" w14:textId="3DC6F5CB" w:rsidR="00003118" w:rsidRPr="00003118" w:rsidRDefault="00003118" w:rsidP="002A484B">
            <w:pPr>
              <w:spacing w:before="80" w:after="40" w:line="240" w:lineRule="auto"/>
              <w:rPr>
                <w:rFonts w:ascii="Times New Roman" w:eastAsia="Times New Roman" w:hAnsi="Times New Roman"/>
              </w:rPr>
            </w:pPr>
            <w:hyperlink r:id="rId28" w:history="1">
              <w:proofErr w:type="spellStart"/>
              <w:r w:rsidRPr="00003118">
                <w:rPr>
                  <w:rFonts w:ascii="Times New Roman" w:hAnsi="Times New Roman"/>
                  <w:color w:val="0000FF"/>
                  <w:u w:val="single"/>
                </w:rPr>
                <w:t>Meeting</w:t>
              </w:r>
              <w:proofErr w:type="spellEnd"/>
              <w:r w:rsidRPr="00003118">
                <w:rPr>
                  <w:rFonts w:ascii="Times New Roman" w:hAnsi="Times New Roman"/>
                  <w:color w:val="0000FF"/>
                  <w:u w:val="single"/>
                </w:rPr>
                <w:t xml:space="preserve"> du 13 </w:t>
              </w:r>
              <w:proofErr w:type="spellStart"/>
              <w:r w:rsidRPr="00003118">
                <w:rPr>
                  <w:rFonts w:ascii="Times New Roman" w:hAnsi="Times New Roman"/>
                  <w:color w:val="0000FF"/>
                  <w:u w:val="single"/>
                </w:rPr>
                <w:t>octobre</w:t>
              </w:r>
              <w:proofErr w:type="spellEnd"/>
              <w:r w:rsidRPr="00003118">
                <w:rPr>
                  <w:rFonts w:ascii="Times New Roman" w:hAnsi="Times New Roman"/>
                  <w:color w:val="0000FF"/>
                  <w:u w:val="single"/>
                </w:rPr>
                <w:t xml:space="preserve"> : </w:t>
              </w:r>
              <w:proofErr w:type="spellStart"/>
              <w:r w:rsidRPr="00003118">
                <w:rPr>
                  <w:rFonts w:ascii="Times New Roman" w:hAnsi="Times New Roman"/>
                  <w:color w:val="0000FF"/>
                  <w:u w:val="single"/>
                </w:rPr>
                <w:t>après</w:t>
              </w:r>
              <w:proofErr w:type="spellEnd"/>
              <w:r w:rsidRPr="00003118">
                <w:rPr>
                  <w:rFonts w:ascii="Times New Roman" w:hAnsi="Times New Roman"/>
                  <w:color w:val="0000FF"/>
                  <w:u w:val="single"/>
                </w:rPr>
                <w:t xml:space="preserve"> l'U2P, </w:t>
              </w:r>
              <w:proofErr w:type="spellStart"/>
              <w:r w:rsidRPr="00003118">
                <w:rPr>
                  <w:rFonts w:ascii="Times New Roman" w:hAnsi="Times New Roman"/>
                  <w:color w:val="0000FF"/>
                  <w:u w:val="single"/>
                </w:rPr>
                <w:t>la</w:t>
              </w:r>
              <w:proofErr w:type="spellEnd"/>
              <w:r w:rsidRPr="00003118">
                <w:rPr>
                  <w:rFonts w:ascii="Times New Roman" w:hAnsi="Times New Roman"/>
                  <w:color w:val="0000FF"/>
                  <w:u w:val="single"/>
                </w:rPr>
                <w:t xml:space="preserve"> CPME </w:t>
              </w:r>
              <w:proofErr w:type="spellStart"/>
              <w:r w:rsidRPr="00003118">
                <w:rPr>
                  <w:rFonts w:ascii="Times New Roman" w:hAnsi="Times New Roman"/>
                  <w:color w:val="0000FF"/>
                  <w:u w:val="single"/>
                </w:rPr>
                <w:t>décline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l'invitation</w:t>
              </w:r>
              <w:proofErr w:type="spellEnd"/>
              <w:r w:rsidRPr="00003118">
                <w:rPr>
                  <w:rFonts w:ascii="Times New Roman" w:hAnsi="Times New Roman"/>
                  <w:color w:val="0000FF"/>
                  <w:u w:val="single"/>
                </w:rPr>
                <w:t xml:space="preserve"> du </w:t>
              </w:r>
              <w:proofErr w:type="spellStart"/>
              <w:r w:rsidRPr="00003118">
                <w:rPr>
                  <w:rFonts w:ascii="Times New Roman" w:hAnsi="Times New Roman"/>
                  <w:color w:val="0000FF"/>
                  <w:u w:val="single"/>
                </w:rPr>
                <w:t>Medef</w:t>
              </w:r>
              <w:proofErr w:type="spellEnd"/>
              <w:r w:rsidRPr="00003118">
                <w:rPr>
                  <w:rFonts w:ascii="Times New Roman" w:hAnsi="Times New Roman"/>
                  <w:color w:val="0000FF"/>
                  <w:u w:val="single"/>
                </w:rPr>
                <w:t xml:space="preserve"> | Les </w:t>
              </w:r>
              <w:proofErr w:type="spellStart"/>
              <w:r w:rsidRPr="0000311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290DE482" w14:textId="37E8DDA0" w:rsidR="002A6BAB" w:rsidRPr="00003118" w:rsidRDefault="002A6BAB" w:rsidP="002A484B">
            <w:pPr>
              <w:spacing w:before="80" w:after="40" w:line="240" w:lineRule="auto"/>
              <w:rPr>
                <w:rFonts w:ascii="Times New Roman" w:eastAsia="Times New Roman" w:hAnsi="Times New Roman"/>
              </w:rPr>
            </w:pPr>
            <w:r w:rsidRPr="00003118">
              <w:rPr>
                <w:rFonts w:ascii="Times New Roman" w:eastAsia="Times New Roman" w:hAnsi="Times New Roman"/>
              </w:rPr>
              <w:t>Įtampa tarp darbdavių organizacijų dėl mokesčių politikos</w:t>
            </w:r>
          </w:p>
        </w:tc>
      </w:tr>
      <w:tr w:rsidR="002A6BAB" w:rsidRPr="00003118" w14:paraId="53686C05" w14:textId="77777777" w:rsidTr="002A484B">
        <w:trPr>
          <w:trHeight w:val="216"/>
        </w:trPr>
        <w:tc>
          <w:tcPr>
            <w:tcW w:w="10945" w:type="dxa"/>
            <w:gridSpan w:val="5"/>
            <w:tcMar>
              <w:top w:w="29" w:type="dxa"/>
              <w:left w:w="115" w:type="dxa"/>
              <w:bottom w:w="29" w:type="dxa"/>
              <w:right w:w="115" w:type="dxa"/>
            </w:tcMar>
          </w:tcPr>
          <w:p w14:paraId="494E142A" w14:textId="5EC2B793" w:rsidR="002A6BAB" w:rsidRPr="00003118" w:rsidRDefault="002A6BAB" w:rsidP="002A484B">
            <w:pPr>
              <w:spacing w:before="80" w:after="40" w:line="240" w:lineRule="auto"/>
              <w:rPr>
                <w:rFonts w:ascii="Times New Roman" w:eastAsia="Times New Roman" w:hAnsi="Times New Roman"/>
                <w:b/>
              </w:rPr>
            </w:pPr>
            <w:bookmarkStart w:id="0" w:name="_heading=h.3ewnitgxijcj" w:colFirst="0" w:colLast="0"/>
            <w:bookmarkEnd w:id="0"/>
            <w:r w:rsidRPr="00003118">
              <w:rPr>
                <w:rFonts w:ascii="Times New Roman" w:eastAsia="Times New Roman" w:hAnsi="Times New Roman"/>
                <w:b/>
              </w:rPr>
              <w:t>Kita ekonominiam bendradarbiavimui aktuali informacija</w:t>
            </w:r>
          </w:p>
        </w:tc>
      </w:tr>
      <w:tr w:rsidR="002A6BAB" w:rsidRPr="00003118" w14:paraId="11C5CE81" w14:textId="77777777" w:rsidTr="002A484B">
        <w:trPr>
          <w:gridAfter w:val="1"/>
          <w:wAfter w:w="11" w:type="dxa"/>
          <w:trHeight w:val="216"/>
        </w:trPr>
        <w:tc>
          <w:tcPr>
            <w:tcW w:w="1418" w:type="dxa"/>
            <w:tcMar>
              <w:top w:w="29" w:type="dxa"/>
              <w:left w:w="115" w:type="dxa"/>
              <w:bottom w:w="29" w:type="dxa"/>
              <w:right w:w="115" w:type="dxa"/>
            </w:tcMar>
          </w:tcPr>
          <w:p w14:paraId="6804D0B5" w14:textId="51827476" w:rsidR="002A6BAB" w:rsidRPr="00003118" w:rsidRDefault="003742B2"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2025 09 19</w:t>
            </w:r>
          </w:p>
        </w:tc>
        <w:tc>
          <w:tcPr>
            <w:tcW w:w="5812" w:type="dxa"/>
            <w:tcMar>
              <w:top w:w="29" w:type="dxa"/>
              <w:left w:w="115" w:type="dxa"/>
              <w:bottom w:w="29" w:type="dxa"/>
              <w:right w:w="115" w:type="dxa"/>
            </w:tcMar>
          </w:tcPr>
          <w:p w14:paraId="1BC7A83E" w14:textId="70A4E4D5" w:rsidR="002A6BAB" w:rsidRPr="00003118" w:rsidRDefault="003742B2"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2024 m. Prancūzija pasiekė antrą geriausią ginklų pramonės eksporto rezultatą (rekordiniai 2022-ieji) savo istorijoje – 21,6 mlrd. eurų vertės pardavimus, kas leido jai išsaugoti antrąją vietą ginklų pramonės eksportuotojų sąraše po JAV. Pirmą kartą istorijoje beveik 60 % kontraktų buvo europinės kilmės, įskaitant tiek ES valstybes (41 % visų užsakymų), tiek tokias kaip Serbija ir Ukraina. Šie duomenys patvirtina jau kelerius metus stebimą tendenciją, jog Europos rinka įgyja vis didesnę svarbą Prancūzijos ginklų pramonės eksporto struktūroje. Kitų </w:t>
            </w:r>
            <w:r w:rsidRPr="00003118">
              <w:rPr>
                <w:rFonts w:ascii="Times New Roman" w:eastAsia="Times New Roman" w:hAnsi="Times New Roman"/>
              </w:rPr>
              <w:lastRenderedPageBreak/>
              <w:t>regionų reikšmė mažėjo: Azijos dalis krito iki 23 % (nuo maždaug 42 % 2023 m.), o Artimųjų Rytų rinkos išliko stabilios – 11 %. Gynybos ministerijos 2025 m. ataskaitoje pabrėžiama, kad ši tendencija liudija augantį Europos šalių pasirengimą stiprinti savo gynybinius pajėgumus, reaguojant į Rusijos keliamą grėsmę ir bendrą tarptautinio saugumo situacijos nestabilumą. Įskaitant vietinius užsakymus pačioms Prancūzijos ginkluotosioms pajėgoms, bendra pramonės įmonėms pateiktų užsakymų suma 2024 metais siekė apie 40 mlrd. eurų. Labiausiai šią sumą lėmė keli stambūs tarptautiniai kontraktai: 18 naikintuvų „</w:t>
            </w:r>
            <w:proofErr w:type="spellStart"/>
            <w:r w:rsidRPr="00003118">
              <w:rPr>
                <w:rFonts w:ascii="Times New Roman" w:eastAsia="Times New Roman" w:hAnsi="Times New Roman"/>
              </w:rPr>
              <w:t>Rafale</w:t>
            </w:r>
            <w:proofErr w:type="spellEnd"/>
            <w:r w:rsidRPr="00003118">
              <w:rPr>
                <w:rFonts w:ascii="Times New Roman" w:eastAsia="Times New Roman" w:hAnsi="Times New Roman"/>
              </w:rPr>
              <w:t>“ pardavimas Indonezijai 12 „</w:t>
            </w:r>
            <w:proofErr w:type="spellStart"/>
            <w:r w:rsidRPr="00003118">
              <w:rPr>
                <w:rFonts w:ascii="Times New Roman" w:eastAsia="Times New Roman" w:hAnsi="Times New Roman"/>
              </w:rPr>
              <w:t>Rafale</w:t>
            </w:r>
            <w:proofErr w:type="spellEnd"/>
            <w:r w:rsidRPr="00003118">
              <w:rPr>
                <w:rFonts w:ascii="Times New Roman" w:eastAsia="Times New Roman" w:hAnsi="Times New Roman"/>
              </w:rPr>
              <w:t>“ pardavimas Serbijai, ir 4 „</w:t>
            </w:r>
            <w:proofErr w:type="spellStart"/>
            <w:r w:rsidRPr="00003118">
              <w:rPr>
                <w:rFonts w:ascii="Times New Roman" w:eastAsia="Times New Roman" w:hAnsi="Times New Roman"/>
              </w:rPr>
              <w:t>Barracuda</w:t>
            </w:r>
            <w:proofErr w:type="spellEnd"/>
            <w:r w:rsidRPr="00003118">
              <w:rPr>
                <w:rFonts w:ascii="Times New Roman" w:eastAsia="Times New Roman" w:hAnsi="Times New Roman"/>
              </w:rPr>
              <w:t>“ klasės povandeninių laivų pardavimas Nyderlandams. Skelbiama, kad 43 % ginklų pramonės eksporto sudarė aeronautikos produktai, 33 % – laivybos pramonės gaminiai, 15 % – sausumos ginkluotė, o likusią dalį sudarė radarai, ryšių sistemos (5 %) ir raketinė ginkluotė (4 %). Prancūzija išlaiko lyderystę aukštųjų technologijų ginklų segmente, ypač aviacijos ir jūrų pramonėje, ir jos vaidmuo kaip vienos iš pagrindinių Europos gynybos pramonės tiekėjų stiprėja.</w:t>
            </w:r>
          </w:p>
        </w:tc>
        <w:tc>
          <w:tcPr>
            <w:tcW w:w="2268" w:type="dxa"/>
            <w:tcMar>
              <w:top w:w="29" w:type="dxa"/>
              <w:left w:w="115" w:type="dxa"/>
              <w:bottom w:w="29" w:type="dxa"/>
              <w:right w:w="115" w:type="dxa"/>
            </w:tcMar>
          </w:tcPr>
          <w:p w14:paraId="558E08FF" w14:textId="5D5CBD85" w:rsidR="005E105A" w:rsidRPr="00003118" w:rsidRDefault="00003118" w:rsidP="002A484B">
            <w:pPr>
              <w:spacing w:before="80" w:after="40" w:line="240" w:lineRule="auto"/>
              <w:rPr>
                <w:rFonts w:ascii="Times New Roman" w:eastAsia="Times New Roman" w:hAnsi="Times New Roman"/>
              </w:rPr>
            </w:pPr>
            <w:hyperlink r:id="rId29" w:history="1">
              <w:proofErr w:type="spellStart"/>
              <w:r w:rsidRPr="00003118">
                <w:rPr>
                  <w:rFonts w:ascii="Times New Roman" w:hAnsi="Times New Roman"/>
                  <w:color w:val="0000FF"/>
                  <w:u w:val="single"/>
                </w:rPr>
                <w:t>L'Europe</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nouveau</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moteur</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des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exportations</w:t>
              </w:r>
              <w:proofErr w:type="spellEnd"/>
              <w:r w:rsidRPr="00003118">
                <w:rPr>
                  <w:rFonts w:ascii="Times New Roman" w:hAnsi="Times New Roman"/>
                  <w:color w:val="0000FF"/>
                  <w:u w:val="single"/>
                </w:rPr>
                <w:t> </w:t>
              </w:r>
              <w:proofErr w:type="spellStart"/>
              <w:r w:rsidRPr="00003118">
                <w:rPr>
                  <w:rFonts w:ascii="Times New Roman" w:hAnsi="Times New Roman"/>
                  <w:color w:val="0000FF"/>
                  <w:u w:val="single"/>
                </w:rPr>
                <w:t>françaises</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d'armement</w:t>
              </w:r>
              <w:proofErr w:type="spellEnd"/>
              <w:r w:rsidRPr="00003118">
                <w:rPr>
                  <w:rFonts w:ascii="Times New Roman" w:hAnsi="Times New Roman"/>
                  <w:color w:val="0000FF"/>
                  <w:u w:val="single"/>
                </w:rPr>
                <w:t xml:space="preserve"> | Les </w:t>
              </w:r>
              <w:proofErr w:type="spellStart"/>
              <w:r w:rsidRPr="00003118">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44FBFA80" w14:textId="41D84E55" w:rsidR="002A6BAB" w:rsidRPr="00003118" w:rsidRDefault="003742B2" w:rsidP="002A484B">
            <w:pPr>
              <w:spacing w:before="80" w:after="40" w:line="240" w:lineRule="auto"/>
              <w:rPr>
                <w:rFonts w:ascii="Times New Roman" w:eastAsia="Times New Roman" w:hAnsi="Times New Roman"/>
              </w:rPr>
            </w:pPr>
            <w:r w:rsidRPr="00003118">
              <w:rPr>
                <w:rFonts w:ascii="Times New Roman" w:eastAsia="Times New Roman" w:hAnsi="Times New Roman"/>
              </w:rPr>
              <w:t>Prancūzijos gynybos pramonės ir eksporto rinkų plėtra</w:t>
            </w:r>
          </w:p>
        </w:tc>
      </w:tr>
      <w:tr w:rsidR="001D37EA" w:rsidRPr="00003118" w14:paraId="489C7018" w14:textId="77777777" w:rsidTr="002A484B">
        <w:trPr>
          <w:gridAfter w:val="1"/>
          <w:wAfter w:w="11" w:type="dxa"/>
          <w:trHeight w:val="216"/>
        </w:trPr>
        <w:tc>
          <w:tcPr>
            <w:tcW w:w="1418" w:type="dxa"/>
            <w:tcMar>
              <w:top w:w="29" w:type="dxa"/>
              <w:left w:w="115" w:type="dxa"/>
              <w:bottom w:w="29" w:type="dxa"/>
              <w:right w:w="115" w:type="dxa"/>
            </w:tcMar>
          </w:tcPr>
          <w:p w14:paraId="52AE6A19" w14:textId="4A6E2FB4" w:rsidR="001D37EA" w:rsidRPr="00003118" w:rsidRDefault="001D37EA" w:rsidP="002A484B">
            <w:pPr>
              <w:spacing w:before="80" w:after="40" w:line="240" w:lineRule="auto"/>
              <w:rPr>
                <w:rFonts w:ascii="Times New Roman" w:eastAsia="Times New Roman" w:hAnsi="Times New Roman"/>
                <w:lang w:val="en-US"/>
              </w:rPr>
            </w:pPr>
            <w:r w:rsidRPr="00003118">
              <w:rPr>
                <w:rFonts w:ascii="Times New Roman" w:eastAsia="Times New Roman" w:hAnsi="Times New Roman"/>
                <w:lang w:val="en-US"/>
              </w:rPr>
              <w:t>2025 09 28</w:t>
            </w:r>
          </w:p>
        </w:tc>
        <w:tc>
          <w:tcPr>
            <w:tcW w:w="5812" w:type="dxa"/>
            <w:tcMar>
              <w:top w:w="29" w:type="dxa"/>
              <w:left w:w="115" w:type="dxa"/>
              <w:bottom w:w="29" w:type="dxa"/>
              <w:right w:w="115" w:type="dxa"/>
            </w:tcMar>
          </w:tcPr>
          <w:p w14:paraId="1D63D116" w14:textId="1A018D32" w:rsidR="001D37EA" w:rsidRPr="00003118" w:rsidRDefault="001D37EA"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 xml:space="preserve">Oro uostai didina saugumo patikrą siekdami apsisaugoti nuo neteisėtų dronų skrydžių, galinčių sutrikdyti skrydžių saugą ir oro eismo valdymą. Paryžiaus oro uostų operatorius </w:t>
            </w:r>
            <w:proofErr w:type="spellStart"/>
            <w:r w:rsidRPr="00003118">
              <w:rPr>
                <w:rFonts w:ascii="Times New Roman" w:eastAsia="Times New Roman" w:hAnsi="Times New Roman"/>
              </w:rPr>
              <w:t>Groupe</w:t>
            </w:r>
            <w:proofErr w:type="spellEnd"/>
            <w:r w:rsidRPr="00003118">
              <w:rPr>
                <w:rFonts w:ascii="Times New Roman" w:eastAsia="Times New Roman" w:hAnsi="Times New Roman"/>
              </w:rPr>
              <w:t xml:space="preserve"> ADP įgyvendina kompleksines apsaugos priemones </w:t>
            </w:r>
            <w:proofErr w:type="spellStart"/>
            <w:r w:rsidRPr="00003118">
              <w:rPr>
                <w:rFonts w:ascii="Times New Roman" w:eastAsia="Times New Roman" w:hAnsi="Times New Roman"/>
              </w:rPr>
              <w:t>Roissy</w:t>
            </w:r>
            <w:proofErr w:type="spellEnd"/>
            <w:r w:rsidRPr="00003118">
              <w:rPr>
                <w:rFonts w:ascii="Times New Roman" w:eastAsia="Times New Roman" w:hAnsi="Times New Roman"/>
              </w:rPr>
              <w:t>–</w:t>
            </w:r>
            <w:proofErr w:type="spellStart"/>
            <w:r w:rsidRPr="00003118">
              <w:rPr>
                <w:rFonts w:ascii="Times New Roman" w:eastAsia="Times New Roman" w:hAnsi="Times New Roman"/>
              </w:rPr>
              <w:t>Charles</w:t>
            </w:r>
            <w:proofErr w:type="spellEnd"/>
            <w:r w:rsidRPr="00003118">
              <w:rPr>
                <w:rFonts w:ascii="Times New Roman" w:eastAsia="Times New Roman" w:hAnsi="Times New Roman"/>
              </w:rPr>
              <w:t>-de-</w:t>
            </w:r>
            <w:proofErr w:type="spellStart"/>
            <w:r w:rsidRPr="00003118">
              <w:rPr>
                <w:rFonts w:ascii="Times New Roman" w:eastAsia="Times New Roman" w:hAnsi="Times New Roman"/>
              </w:rPr>
              <w:t>Gaulle</w:t>
            </w:r>
            <w:proofErr w:type="spellEnd"/>
            <w:r w:rsidRPr="00003118">
              <w:rPr>
                <w:rFonts w:ascii="Times New Roman" w:eastAsia="Times New Roman" w:hAnsi="Times New Roman"/>
              </w:rPr>
              <w:t xml:space="preserve"> ir </w:t>
            </w:r>
            <w:proofErr w:type="spellStart"/>
            <w:r w:rsidRPr="00003118">
              <w:rPr>
                <w:rFonts w:ascii="Times New Roman" w:eastAsia="Times New Roman" w:hAnsi="Times New Roman"/>
              </w:rPr>
              <w:t>Orly</w:t>
            </w:r>
            <w:proofErr w:type="spellEnd"/>
            <w:r w:rsidRPr="00003118">
              <w:rPr>
                <w:rFonts w:ascii="Times New Roman" w:eastAsia="Times New Roman" w:hAnsi="Times New Roman"/>
              </w:rPr>
              <w:t xml:space="preserve"> oro uostuose. 2017 m. įkurta dukterinė įmonė </w:t>
            </w:r>
            <w:proofErr w:type="spellStart"/>
            <w:r w:rsidRPr="00003118">
              <w:rPr>
                <w:rFonts w:ascii="Times New Roman" w:eastAsia="Times New Roman" w:hAnsi="Times New Roman"/>
              </w:rPr>
              <w:t>Hologarde</w:t>
            </w:r>
            <w:proofErr w:type="spellEnd"/>
            <w:r w:rsidRPr="00003118">
              <w:rPr>
                <w:rFonts w:ascii="Times New Roman" w:eastAsia="Times New Roman" w:hAnsi="Times New Roman"/>
              </w:rPr>
              <w:t xml:space="preserve">, bendradarbiaudama su </w:t>
            </w:r>
            <w:proofErr w:type="spellStart"/>
            <w:r w:rsidRPr="00003118">
              <w:rPr>
                <w:rFonts w:ascii="Times New Roman" w:eastAsia="Times New Roman" w:hAnsi="Times New Roman"/>
              </w:rPr>
              <w:t>Thales</w:t>
            </w:r>
            <w:proofErr w:type="spellEnd"/>
            <w:r w:rsidRPr="00003118">
              <w:rPr>
                <w:rFonts w:ascii="Times New Roman" w:eastAsia="Times New Roman" w:hAnsi="Times New Roman"/>
              </w:rPr>
              <w:t xml:space="preserve"> ir nacionalinėmis navigacijos tarnybomis, sukūrė sistemą, kuri apjungia radarus, optinius bei radijo dažnio jutiklius ir dirbtinio intelekto algoritmus. Šios priemonės leidžia aptikti dronus daugiau kaip 7 km atstumu ir atskirti juos nuo kitų objektų, taip sumažinant klaidingų signalų riziką. Tokie sprendimai tapo būtini, nes kasmet prie oro uostų užfiksuojama per 2000 incidentų, susijusių su dronų veikla.</w:t>
            </w:r>
          </w:p>
          <w:p w14:paraId="082927D0" w14:textId="1958EA86" w:rsidR="001D37EA" w:rsidRPr="00003118" w:rsidRDefault="001D37EA" w:rsidP="00780628">
            <w:pPr>
              <w:spacing w:before="80" w:after="40" w:line="240" w:lineRule="auto"/>
              <w:jc w:val="both"/>
              <w:rPr>
                <w:rFonts w:ascii="Times New Roman" w:eastAsia="Times New Roman" w:hAnsi="Times New Roman"/>
              </w:rPr>
            </w:pPr>
            <w:r w:rsidRPr="00003118">
              <w:rPr>
                <w:rFonts w:ascii="Times New Roman" w:eastAsia="Times New Roman" w:hAnsi="Times New Roman"/>
              </w:rPr>
              <w:t>Tačiau neutralizavimo klausimas išlieka išskirtine valstybės atsakomybe – sprendimus dėl dronų numušimo ar sunaikinimo priima oro transporto žandarmerija. ADP vengia viešinti konkrečias priemones, nors buvo svarstyti signalų blokavimo ir tinklų naudojimo metodai. Straipsnyje pabrėžiama, kad nors oro uostų infrastruktūros apsauga smarkiai sustiprinta, pilotai tebėra pažeidžiama grandis, nes jie neturi techninių priemonių dronų aptikimui skrydžio metu ir priversti remtis vien tik vizualiniu pastebėjimu, kas itin rizikinga kilimo ir tūpimo fazėse.</w:t>
            </w:r>
          </w:p>
        </w:tc>
        <w:tc>
          <w:tcPr>
            <w:tcW w:w="2268" w:type="dxa"/>
            <w:tcMar>
              <w:top w:w="29" w:type="dxa"/>
              <w:left w:w="115" w:type="dxa"/>
              <w:bottom w:w="29" w:type="dxa"/>
              <w:right w:w="115" w:type="dxa"/>
            </w:tcMar>
          </w:tcPr>
          <w:p w14:paraId="2DE9198D" w14:textId="508C052A" w:rsidR="001D37EA" w:rsidRPr="00003118" w:rsidRDefault="00003118" w:rsidP="002A484B">
            <w:pPr>
              <w:spacing w:before="80" w:after="40" w:line="240" w:lineRule="auto"/>
              <w:rPr>
                <w:rFonts w:ascii="Times New Roman" w:hAnsi="Times New Roman"/>
              </w:rPr>
            </w:pPr>
            <w:hyperlink r:id="rId30" w:history="1">
              <w:proofErr w:type="spellStart"/>
              <w:r w:rsidRPr="00003118">
                <w:rPr>
                  <w:rFonts w:ascii="Times New Roman" w:hAnsi="Times New Roman"/>
                  <w:color w:val="0000FF"/>
                  <w:u w:val="single"/>
                </w:rPr>
                <w:t>Survols</w:t>
              </w:r>
              <w:proofErr w:type="spellEnd"/>
              <w:r w:rsidRPr="00003118">
                <w:rPr>
                  <w:rFonts w:ascii="Times New Roman" w:hAnsi="Times New Roman"/>
                  <w:color w:val="0000FF"/>
                  <w:u w:val="single"/>
                </w:rPr>
                <w:t xml:space="preserve"> de </w:t>
              </w:r>
              <w:proofErr w:type="spellStart"/>
              <w:r w:rsidRPr="00003118">
                <w:rPr>
                  <w:rFonts w:ascii="Times New Roman" w:hAnsi="Times New Roman"/>
                  <w:color w:val="0000FF"/>
                  <w:u w:val="single"/>
                </w:rPr>
                <w:t>drones</w:t>
              </w:r>
              <w:proofErr w:type="spellEnd"/>
              <w:r w:rsidRPr="00003118">
                <w:rPr>
                  <w:rFonts w:ascii="Times New Roman" w:hAnsi="Times New Roman"/>
                  <w:color w:val="0000FF"/>
                  <w:u w:val="single"/>
                </w:rPr>
                <w:t xml:space="preserve"> : </w:t>
              </w:r>
              <w:proofErr w:type="spellStart"/>
              <w:r w:rsidRPr="00003118">
                <w:rPr>
                  <w:rFonts w:ascii="Times New Roman" w:hAnsi="Times New Roman"/>
                  <w:color w:val="0000FF"/>
                  <w:u w:val="single"/>
                </w:rPr>
                <w:t>comment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sont</w:t>
              </w:r>
              <w:proofErr w:type="spellEnd"/>
              <w:r w:rsidRPr="00003118">
                <w:rPr>
                  <w:rFonts w:ascii="Times New Roman" w:hAnsi="Times New Roman"/>
                  <w:color w:val="0000FF"/>
                  <w:u w:val="single"/>
                </w:rPr>
                <w:t xml:space="preserve"> </w:t>
              </w:r>
              <w:proofErr w:type="spellStart"/>
              <w:r w:rsidRPr="00003118">
                <w:rPr>
                  <w:rFonts w:ascii="Times New Roman" w:hAnsi="Times New Roman"/>
                  <w:color w:val="0000FF"/>
                  <w:u w:val="single"/>
                </w:rPr>
                <w:t>protégés</w:t>
              </w:r>
              <w:proofErr w:type="spellEnd"/>
              <w:r w:rsidRPr="00003118">
                <w:rPr>
                  <w:rFonts w:ascii="Times New Roman" w:hAnsi="Times New Roman"/>
                  <w:color w:val="0000FF"/>
                  <w:u w:val="single"/>
                </w:rPr>
                <w:t xml:space="preserve"> les </w:t>
              </w:r>
              <w:proofErr w:type="spellStart"/>
              <w:r w:rsidRPr="00003118">
                <w:rPr>
                  <w:rFonts w:ascii="Times New Roman" w:hAnsi="Times New Roman"/>
                  <w:color w:val="0000FF"/>
                  <w:u w:val="single"/>
                </w:rPr>
                <w:t>aéroports</w:t>
              </w:r>
              <w:proofErr w:type="spellEnd"/>
              <w:r w:rsidRPr="00003118">
                <w:rPr>
                  <w:rFonts w:ascii="Times New Roman" w:hAnsi="Times New Roman"/>
                  <w:color w:val="0000FF"/>
                  <w:u w:val="single"/>
                </w:rPr>
                <w:t xml:space="preserve"> de </w:t>
              </w:r>
              <w:proofErr w:type="spellStart"/>
              <w:r w:rsidRPr="00003118">
                <w:rPr>
                  <w:rFonts w:ascii="Times New Roman" w:hAnsi="Times New Roman"/>
                  <w:color w:val="0000FF"/>
                  <w:u w:val="single"/>
                </w:rPr>
                <w:t>Roissy</w:t>
              </w:r>
              <w:proofErr w:type="spellEnd"/>
              <w:r w:rsidRPr="00003118">
                <w:rPr>
                  <w:rFonts w:ascii="Times New Roman" w:hAnsi="Times New Roman"/>
                  <w:color w:val="0000FF"/>
                  <w:u w:val="single"/>
                </w:rPr>
                <w:t xml:space="preserve"> et </w:t>
              </w:r>
              <w:proofErr w:type="spellStart"/>
              <w:r w:rsidRPr="00003118">
                <w:rPr>
                  <w:rFonts w:ascii="Times New Roman" w:hAnsi="Times New Roman"/>
                  <w:color w:val="0000FF"/>
                  <w:u w:val="single"/>
                </w:rPr>
                <w:t>d’Orly</w:t>
              </w:r>
              <w:proofErr w:type="spellEnd"/>
            </w:hyperlink>
          </w:p>
        </w:tc>
        <w:tc>
          <w:tcPr>
            <w:tcW w:w="1436" w:type="dxa"/>
            <w:tcMar>
              <w:top w:w="29" w:type="dxa"/>
              <w:left w:w="115" w:type="dxa"/>
              <w:bottom w:w="29" w:type="dxa"/>
              <w:right w:w="115" w:type="dxa"/>
            </w:tcMar>
          </w:tcPr>
          <w:p w14:paraId="6285F888" w14:textId="38661AA0" w:rsidR="001D37EA" w:rsidRPr="00003118" w:rsidRDefault="001D37EA" w:rsidP="002A484B">
            <w:pPr>
              <w:spacing w:before="80" w:after="40" w:line="240" w:lineRule="auto"/>
              <w:rPr>
                <w:rFonts w:ascii="Times New Roman" w:eastAsia="Times New Roman" w:hAnsi="Times New Roman"/>
              </w:rPr>
            </w:pPr>
            <w:r w:rsidRPr="00003118">
              <w:rPr>
                <w:rFonts w:ascii="Times New Roman" w:eastAsia="Times New Roman" w:hAnsi="Times New Roman"/>
              </w:rPr>
              <w:t xml:space="preserve">Prancūzijos oro uostų patirtis kovojant </w:t>
            </w:r>
            <w:r w:rsidR="00003118" w:rsidRPr="00003118">
              <w:rPr>
                <w:rFonts w:ascii="Times New Roman" w:eastAsia="Times New Roman" w:hAnsi="Times New Roman"/>
              </w:rPr>
              <w:t xml:space="preserve">prieš </w:t>
            </w:r>
            <w:r w:rsidRPr="00003118">
              <w:rPr>
                <w:rFonts w:ascii="Times New Roman" w:eastAsia="Times New Roman" w:hAnsi="Times New Roman"/>
              </w:rPr>
              <w:t>dron</w:t>
            </w:r>
            <w:r w:rsidR="00003118" w:rsidRPr="00003118">
              <w:rPr>
                <w:rFonts w:ascii="Times New Roman" w:eastAsia="Times New Roman" w:hAnsi="Times New Roman"/>
              </w:rPr>
              <w:t>u</w:t>
            </w:r>
            <w:r w:rsidRPr="00003118">
              <w:rPr>
                <w:rFonts w:ascii="Times New Roman" w:eastAsia="Times New Roman" w:hAnsi="Times New Roman"/>
              </w:rPr>
              <w:t>s</w:t>
            </w:r>
          </w:p>
        </w:tc>
      </w:tr>
    </w:tbl>
    <w:p w14:paraId="4DD2E61C" w14:textId="77777777" w:rsidR="00771DF0" w:rsidRPr="00771DF0" w:rsidRDefault="00771DF0" w:rsidP="002A484B">
      <w:pPr>
        <w:spacing w:after="0" w:line="240" w:lineRule="auto"/>
        <w:rPr>
          <w:rFonts w:ascii="Times New Roman" w:eastAsia="Times New Roman" w:hAnsi="Times New Roman"/>
        </w:rPr>
      </w:pPr>
    </w:p>
    <w:p w14:paraId="1BAF3D4D" w14:textId="2CCF6E64" w:rsidR="00C43812" w:rsidRPr="00771DF0" w:rsidRDefault="00771DF0" w:rsidP="002A484B">
      <w:pPr>
        <w:spacing w:after="0" w:line="240" w:lineRule="auto"/>
        <w:rPr>
          <w:rFonts w:ascii="Times New Roman" w:eastAsia="Times New Roman" w:hAnsi="Times New Roman"/>
        </w:rPr>
      </w:pPr>
      <w:r w:rsidRPr="00771DF0">
        <w:rPr>
          <w:rFonts w:ascii="Times New Roman" w:eastAsia="Times New Roman" w:hAnsi="Times New Roman"/>
        </w:rPr>
        <w:t>Parengė:</w:t>
      </w:r>
    </w:p>
    <w:p w14:paraId="0240E498" w14:textId="06179DFC" w:rsidR="00771DF0" w:rsidRPr="00771DF0" w:rsidRDefault="006157B6" w:rsidP="002A484B">
      <w:pPr>
        <w:spacing w:after="0" w:line="240" w:lineRule="auto"/>
        <w:rPr>
          <w:rFonts w:ascii="Times New Roman" w:eastAsia="Times New Roman" w:hAnsi="Times New Roman"/>
        </w:rPr>
      </w:pPr>
      <w:r>
        <w:rPr>
          <w:rFonts w:ascii="Times New Roman" w:eastAsia="Times New Roman" w:hAnsi="Times New Roman"/>
        </w:rPr>
        <w:t>Vitalija Kardokaitė-Šimanauskienė</w:t>
      </w:r>
      <w:r w:rsidR="00771DF0" w:rsidRPr="00771DF0">
        <w:rPr>
          <w:rFonts w:ascii="Times New Roman" w:eastAsia="Times New Roman" w:hAnsi="Times New Roman"/>
        </w:rPr>
        <w:t xml:space="preserve">, LR ambasados Prancūzijos Respublikoje </w:t>
      </w:r>
      <w:r w:rsidR="00CC3A30">
        <w:rPr>
          <w:rFonts w:ascii="Times New Roman" w:eastAsia="Times New Roman" w:hAnsi="Times New Roman"/>
        </w:rPr>
        <w:t>trečioji sekretorė</w:t>
      </w:r>
      <w:r w:rsidR="00771DF0" w:rsidRPr="00771DF0">
        <w:rPr>
          <w:rFonts w:ascii="Times New Roman" w:eastAsia="Times New Roman" w:hAnsi="Times New Roman"/>
        </w:rPr>
        <w:t xml:space="preserve">, tel. +33 1 88 75 06 79, el. paštas </w:t>
      </w:r>
      <w:hyperlink r:id="rId31" w:history="1">
        <w:r w:rsidR="005B1C21" w:rsidRPr="00915A21">
          <w:rPr>
            <w:rStyle w:val="Hyperlink"/>
            <w:rFonts w:ascii="Times New Roman" w:eastAsia="Times New Roman" w:hAnsi="Times New Roman"/>
          </w:rPr>
          <w:t>vitalija.kardokaite-simanauskiene@urm.lt</w:t>
        </w:r>
      </w:hyperlink>
      <w:r w:rsidR="005B1C21">
        <w:rPr>
          <w:rFonts w:ascii="Times New Roman" w:eastAsia="Times New Roman" w:hAnsi="Times New Roman"/>
        </w:rPr>
        <w:t xml:space="preserve"> </w:t>
      </w:r>
    </w:p>
    <w:p w14:paraId="7CBF3D26" w14:textId="77777777" w:rsidR="00771DF0" w:rsidRPr="00771DF0" w:rsidRDefault="00771DF0" w:rsidP="002A484B">
      <w:pPr>
        <w:spacing w:after="0" w:line="240" w:lineRule="auto"/>
        <w:rPr>
          <w:rFonts w:ascii="Times New Roman" w:eastAsia="Times New Roman" w:hAnsi="Times New Roman"/>
        </w:rPr>
      </w:pPr>
    </w:p>
    <w:p w14:paraId="5C70CDAD" w14:textId="2746C4C7" w:rsidR="00771DF0" w:rsidRDefault="00771DF0" w:rsidP="002A484B">
      <w:pPr>
        <w:spacing w:after="0" w:line="240" w:lineRule="auto"/>
        <w:rPr>
          <w:rFonts w:ascii="Times New Roman" w:eastAsia="Times New Roman" w:hAnsi="Times New Roman"/>
        </w:rPr>
      </w:pPr>
      <w:r w:rsidRPr="00771DF0">
        <w:rPr>
          <w:rFonts w:ascii="Times New Roman" w:eastAsia="Times New Roman" w:hAnsi="Times New Roman"/>
        </w:rPr>
        <w:t xml:space="preserve">Otilija Snieškaitė, LR ambasados Prancūzijos Respublikoje komercijos atašė, mob. +33 </w:t>
      </w:r>
      <w:r w:rsidR="00523A30">
        <w:rPr>
          <w:rFonts w:ascii="Times New Roman" w:eastAsia="Times New Roman" w:hAnsi="Times New Roman"/>
        </w:rPr>
        <w:t>7 60 52 42 58</w:t>
      </w:r>
      <w:r w:rsidRPr="00771DF0">
        <w:rPr>
          <w:rFonts w:ascii="Times New Roman" w:eastAsia="Times New Roman" w:hAnsi="Times New Roman"/>
        </w:rPr>
        <w:t xml:space="preserve">, el. paštas </w:t>
      </w:r>
      <w:hyperlink r:id="rId32" w:history="1">
        <w:r w:rsidR="00A108CD" w:rsidRPr="00B15A9F">
          <w:rPr>
            <w:rStyle w:val="Hyperlink"/>
            <w:rFonts w:ascii="Times New Roman" w:eastAsia="Times New Roman" w:hAnsi="Times New Roman"/>
          </w:rPr>
          <w:t>otilija.snieskaite@urm.lt</w:t>
        </w:r>
      </w:hyperlink>
    </w:p>
    <w:p w14:paraId="68ECCE47" w14:textId="77777777" w:rsidR="00A108CD" w:rsidRDefault="00A108CD" w:rsidP="002A484B">
      <w:pPr>
        <w:spacing w:after="0" w:line="240" w:lineRule="auto"/>
        <w:rPr>
          <w:rFonts w:ascii="Times New Roman" w:eastAsia="Times New Roman" w:hAnsi="Times New Roman"/>
        </w:rPr>
      </w:pPr>
    </w:p>
    <w:p w14:paraId="6E8F514B" w14:textId="397B8D00" w:rsidR="00771DF0" w:rsidRPr="00771DF0" w:rsidRDefault="00A108CD" w:rsidP="002A484B">
      <w:pPr>
        <w:spacing w:after="0" w:line="240" w:lineRule="auto"/>
        <w:rPr>
          <w:rFonts w:ascii="Times New Roman" w:eastAsia="Times New Roman" w:hAnsi="Times New Roman"/>
        </w:rPr>
      </w:pPr>
      <w:r>
        <w:rPr>
          <w:rFonts w:ascii="Times New Roman" w:eastAsia="Times New Roman" w:hAnsi="Times New Roman"/>
        </w:rPr>
        <w:t>Neringa Greičiutė</w:t>
      </w:r>
      <w:r w:rsidR="00EE73E3">
        <w:rPr>
          <w:rFonts w:ascii="Times New Roman" w:eastAsia="Times New Roman" w:hAnsi="Times New Roman"/>
        </w:rPr>
        <w:t xml:space="preserve">, LR ambasados Prancūzijos Respublikoje komercijos atašė, mob. </w:t>
      </w:r>
      <w:r w:rsidR="00EE73E3" w:rsidRPr="00EE73E3">
        <w:rPr>
          <w:rFonts w:ascii="Times New Roman" w:eastAsia="Times New Roman" w:hAnsi="Times New Roman"/>
        </w:rPr>
        <w:t>+33765712942</w:t>
      </w:r>
      <w:r w:rsidR="00EE73E3">
        <w:rPr>
          <w:rFonts w:ascii="Times New Roman" w:eastAsia="Times New Roman" w:hAnsi="Times New Roman"/>
        </w:rPr>
        <w:t>, el. paštas</w:t>
      </w:r>
      <w:r w:rsidR="005B1C21">
        <w:rPr>
          <w:rFonts w:ascii="Times New Roman" w:eastAsia="Times New Roman" w:hAnsi="Times New Roman"/>
        </w:rPr>
        <w:t xml:space="preserve"> </w:t>
      </w:r>
      <w:hyperlink r:id="rId33" w:history="1">
        <w:r w:rsidR="005B1C21" w:rsidRPr="00915A21">
          <w:rPr>
            <w:rStyle w:val="Hyperlink"/>
            <w:rFonts w:ascii="Times New Roman" w:eastAsia="Times New Roman" w:hAnsi="Times New Roman"/>
          </w:rPr>
          <w:t>neringa.greiciute</w:t>
        </w:r>
        <w:r w:rsidR="005B1C21" w:rsidRPr="00915A21">
          <w:rPr>
            <w:rStyle w:val="Hyperlink"/>
            <w:rFonts w:ascii="Times New Roman" w:eastAsia="Times New Roman" w:hAnsi="Times New Roman"/>
            <w:lang w:val="es-ES"/>
          </w:rPr>
          <w:t>@urm.lt</w:t>
        </w:r>
      </w:hyperlink>
      <w:r w:rsidR="005B1C21">
        <w:rPr>
          <w:rFonts w:ascii="Times New Roman" w:eastAsia="Times New Roman" w:hAnsi="Times New Roman"/>
          <w:lang w:val="es-ES"/>
        </w:rPr>
        <w:t xml:space="preserve"> </w:t>
      </w:r>
    </w:p>
    <w:p w14:paraId="1FCE2A0C" w14:textId="5441C985" w:rsidR="00D22BFD" w:rsidRPr="00640017" w:rsidRDefault="00771DF0">
      <w:pPr>
        <w:spacing w:after="0" w:line="240" w:lineRule="auto"/>
        <w:rPr>
          <w:rFonts w:ascii="Times New Roman" w:eastAsia="Times New Roman" w:hAnsi="Times New Roman"/>
        </w:rPr>
      </w:pPr>
      <w:r w:rsidRPr="00771DF0">
        <w:rPr>
          <w:rFonts w:ascii="Times New Roman" w:eastAsia="Times New Roman" w:hAnsi="Times New Roman"/>
        </w:rPr>
        <w:t>_______________________________________________</w:t>
      </w:r>
    </w:p>
    <w:sectPr w:rsidR="00D22BFD" w:rsidRPr="00640017">
      <w:footerReference w:type="default" r:id="rId34"/>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16C0" w14:textId="77777777" w:rsidR="006D62FC" w:rsidRDefault="006D62FC">
      <w:pPr>
        <w:spacing w:after="0" w:line="240" w:lineRule="auto"/>
      </w:pPr>
      <w:r>
        <w:separator/>
      </w:r>
    </w:p>
  </w:endnote>
  <w:endnote w:type="continuationSeparator" w:id="0">
    <w:p w14:paraId="3B4F7229" w14:textId="77777777" w:rsidR="006D62FC" w:rsidRDefault="006D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7814" w14:textId="77777777" w:rsidR="006D62FC" w:rsidRDefault="006D62FC">
      <w:pPr>
        <w:spacing w:after="0" w:line="240" w:lineRule="auto"/>
      </w:pPr>
      <w:r>
        <w:separator/>
      </w:r>
    </w:p>
  </w:footnote>
  <w:footnote w:type="continuationSeparator" w:id="0">
    <w:p w14:paraId="36D29DA3" w14:textId="77777777" w:rsidR="006D62FC" w:rsidRDefault="006D62FC">
      <w:pPr>
        <w:spacing w:after="0" w:line="240" w:lineRule="auto"/>
      </w:pPr>
      <w:r>
        <w:continuationSeparator/>
      </w:r>
    </w:p>
  </w:footnote>
  <w:footnote w:id="1">
    <w:p w14:paraId="0CE32ADB" w14:textId="77777777" w:rsidR="00F40A77" w:rsidRDefault="00F40A77" w:rsidP="00D4766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7640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3118"/>
    <w:rsid w:val="00005164"/>
    <w:rsid w:val="00005561"/>
    <w:rsid w:val="000055CF"/>
    <w:rsid w:val="000105DA"/>
    <w:rsid w:val="0001508A"/>
    <w:rsid w:val="000250B6"/>
    <w:rsid w:val="0002730A"/>
    <w:rsid w:val="00027ED0"/>
    <w:rsid w:val="00031248"/>
    <w:rsid w:val="00033CF9"/>
    <w:rsid w:val="000365DB"/>
    <w:rsid w:val="00041854"/>
    <w:rsid w:val="00042BD4"/>
    <w:rsid w:val="00051172"/>
    <w:rsid w:val="000514BD"/>
    <w:rsid w:val="00054E46"/>
    <w:rsid w:val="000569A6"/>
    <w:rsid w:val="000607C6"/>
    <w:rsid w:val="00061E4C"/>
    <w:rsid w:val="0006501C"/>
    <w:rsid w:val="000664DA"/>
    <w:rsid w:val="0006733C"/>
    <w:rsid w:val="0007150E"/>
    <w:rsid w:val="00071E58"/>
    <w:rsid w:val="00071F81"/>
    <w:rsid w:val="00074AD5"/>
    <w:rsid w:val="000768D4"/>
    <w:rsid w:val="0008042B"/>
    <w:rsid w:val="00084D81"/>
    <w:rsid w:val="0008592C"/>
    <w:rsid w:val="0009000B"/>
    <w:rsid w:val="00090377"/>
    <w:rsid w:val="00092B06"/>
    <w:rsid w:val="000931B9"/>
    <w:rsid w:val="00096246"/>
    <w:rsid w:val="0009694F"/>
    <w:rsid w:val="000A5D67"/>
    <w:rsid w:val="000A76B9"/>
    <w:rsid w:val="000B14C6"/>
    <w:rsid w:val="000B306A"/>
    <w:rsid w:val="000B37C0"/>
    <w:rsid w:val="000B3B1D"/>
    <w:rsid w:val="000C03DC"/>
    <w:rsid w:val="000C2683"/>
    <w:rsid w:val="000C3429"/>
    <w:rsid w:val="000C3CE0"/>
    <w:rsid w:val="000C5DB6"/>
    <w:rsid w:val="000C6E63"/>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6B6"/>
    <w:rsid w:val="00112807"/>
    <w:rsid w:val="00120A3D"/>
    <w:rsid w:val="0012207C"/>
    <w:rsid w:val="00122FF8"/>
    <w:rsid w:val="00125EB3"/>
    <w:rsid w:val="001310C1"/>
    <w:rsid w:val="001322BA"/>
    <w:rsid w:val="00136BAA"/>
    <w:rsid w:val="00142144"/>
    <w:rsid w:val="00143987"/>
    <w:rsid w:val="001445D6"/>
    <w:rsid w:val="00152986"/>
    <w:rsid w:val="001532E9"/>
    <w:rsid w:val="001629E8"/>
    <w:rsid w:val="00165564"/>
    <w:rsid w:val="00165D4A"/>
    <w:rsid w:val="001729AE"/>
    <w:rsid w:val="00172D1B"/>
    <w:rsid w:val="00172D27"/>
    <w:rsid w:val="00181A3D"/>
    <w:rsid w:val="00186DE2"/>
    <w:rsid w:val="00190D3D"/>
    <w:rsid w:val="00195483"/>
    <w:rsid w:val="00196250"/>
    <w:rsid w:val="0019751B"/>
    <w:rsid w:val="001A0005"/>
    <w:rsid w:val="001A117B"/>
    <w:rsid w:val="001A2548"/>
    <w:rsid w:val="001A2EC2"/>
    <w:rsid w:val="001A5FDB"/>
    <w:rsid w:val="001A77E3"/>
    <w:rsid w:val="001B2DA1"/>
    <w:rsid w:val="001B376E"/>
    <w:rsid w:val="001B533E"/>
    <w:rsid w:val="001B5475"/>
    <w:rsid w:val="001B6EF3"/>
    <w:rsid w:val="001C0A1C"/>
    <w:rsid w:val="001C213C"/>
    <w:rsid w:val="001C228F"/>
    <w:rsid w:val="001C252C"/>
    <w:rsid w:val="001C2742"/>
    <w:rsid w:val="001D0F0D"/>
    <w:rsid w:val="001D1490"/>
    <w:rsid w:val="001D37EA"/>
    <w:rsid w:val="001D5450"/>
    <w:rsid w:val="001D7C47"/>
    <w:rsid w:val="001E213D"/>
    <w:rsid w:val="001E5C73"/>
    <w:rsid w:val="001E6FB0"/>
    <w:rsid w:val="001F0C13"/>
    <w:rsid w:val="001F1CEE"/>
    <w:rsid w:val="00201C16"/>
    <w:rsid w:val="00202FEB"/>
    <w:rsid w:val="0020410B"/>
    <w:rsid w:val="0020670D"/>
    <w:rsid w:val="00207D1A"/>
    <w:rsid w:val="00210E8F"/>
    <w:rsid w:val="00210F68"/>
    <w:rsid w:val="002144FF"/>
    <w:rsid w:val="00214E84"/>
    <w:rsid w:val="00215681"/>
    <w:rsid w:val="002165F9"/>
    <w:rsid w:val="002211B2"/>
    <w:rsid w:val="00222FFB"/>
    <w:rsid w:val="00224051"/>
    <w:rsid w:val="0022699B"/>
    <w:rsid w:val="00226BFC"/>
    <w:rsid w:val="00231B5C"/>
    <w:rsid w:val="002366BC"/>
    <w:rsid w:val="002421E2"/>
    <w:rsid w:val="0024315C"/>
    <w:rsid w:val="002534F0"/>
    <w:rsid w:val="00253AE8"/>
    <w:rsid w:val="00253DE8"/>
    <w:rsid w:val="0025405B"/>
    <w:rsid w:val="0026270B"/>
    <w:rsid w:val="0026542D"/>
    <w:rsid w:val="002669DD"/>
    <w:rsid w:val="00273B9E"/>
    <w:rsid w:val="00273F61"/>
    <w:rsid w:val="00280D13"/>
    <w:rsid w:val="002816F7"/>
    <w:rsid w:val="002843FD"/>
    <w:rsid w:val="002925FB"/>
    <w:rsid w:val="00295984"/>
    <w:rsid w:val="00296453"/>
    <w:rsid w:val="002A08F0"/>
    <w:rsid w:val="002A14B8"/>
    <w:rsid w:val="002A24E6"/>
    <w:rsid w:val="002A464F"/>
    <w:rsid w:val="002A484B"/>
    <w:rsid w:val="002A4CB3"/>
    <w:rsid w:val="002A5D73"/>
    <w:rsid w:val="002A6BAB"/>
    <w:rsid w:val="002B22F4"/>
    <w:rsid w:val="002B2A24"/>
    <w:rsid w:val="002B44E7"/>
    <w:rsid w:val="002B5025"/>
    <w:rsid w:val="002B7659"/>
    <w:rsid w:val="002C1F44"/>
    <w:rsid w:val="002C324B"/>
    <w:rsid w:val="002C4D75"/>
    <w:rsid w:val="002C7567"/>
    <w:rsid w:val="002D495E"/>
    <w:rsid w:val="002D6000"/>
    <w:rsid w:val="002D6883"/>
    <w:rsid w:val="002E1878"/>
    <w:rsid w:val="002E4FB7"/>
    <w:rsid w:val="002F0320"/>
    <w:rsid w:val="002F1AF8"/>
    <w:rsid w:val="002F2A06"/>
    <w:rsid w:val="002F2AA1"/>
    <w:rsid w:val="002F3D3A"/>
    <w:rsid w:val="002F456D"/>
    <w:rsid w:val="00302546"/>
    <w:rsid w:val="00302EEE"/>
    <w:rsid w:val="003047FF"/>
    <w:rsid w:val="00306246"/>
    <w:rsid w:val="00310965"/>
    <w:rsid w:val="00311D75"/>
    <w:rsid w:val="00311FB2"/>
    <w:rsid w:val="00311FC6"/>
    <w:rsid w:val="00313E37"/>
    <w:rsid w:val="00313E5E"/>
    <w:rsid w:val="003143D9"/>
    <w:rsid w:val="003158FB"/>
    <w:rsid w:val="00315EF9"/>
    <w:rsid w:val="0031718C"/>
    <w:rsid w:val="003179E0"/>
    <w:rsid w:val="00320D98"/>
    <w:rsid w:val="0032101A"/>
    <w:rsid w:val="0032132A"/>
    <w:rsid w:val="0032150A"/>
    <w:rsid w:val="0032157E"/>
    <w:rsid w:val="003248A3"/>
    <w:rsid w:val="003265B0"/>
    <w:rsid w:val="003303CC"/>
    <w:rsid w:val="00330803"/>
    <w:rsid w:val="00333C4C"/>
    <w:rsid w:val="00334118"/>
    <w:rsid w:val="003345B9"/>
    <w:rsid w:val="00335F78"/>
    <w:rsid w:val="00337C7E"/>
    <w:rsid w:val="00340A08"/>
    <w:rsid w:val="003426E9"/>
    <w:rsid w:val="00345B15"/>
    <w:rsid w:val="0034649B"/>
    <w:rsid w:val="00346643"/>
    <w:rsid w:val="00347ADD"/>
    <w:rsid w:val="00350BD1"/>
    <w:rsid w:val="003510E3"/>
    <w:rsid w:val="00352E32"/>
    <w:rsid w:val="0035309D"/>
    <w:rsid w:val="00354E58"/>
    <w:rsid w:val="00354FEB"/>
    <w:rsid w:val="00355BE3"/>
    <w:rsid w:val="0035645A"/>
    <w:rsid w:val="003574BF"/>
    <w:rsid w:val="00357C70"/>
    <w:rsid w:val="00357DE0"/>
    <w:rsid w:val="00363D3D"/>
    <w:rsid w:val="00364351"/>
    <w:rsid w:val="00365024"/>
    <w:rsid w:val="003670CF"/>
    <w:rsid w:val="00370799"/>
    <w:rsid w:val="00370E50"/>
    <w:rsid w:val="00370FD8"/>
    <w:rsid w:val="00371E76"/>
    <w:rsid w:val="003733D3"/>
    <w:rsid w:val="0037350D"/>
    <w:rsid w:val="003742B2"/>
    <w:rsid w:val="00374789"/>
    <w:rsid w:val="00375FE9"/>
    <w:rsid w:val="003768E7"/>
    <w:rsid w:val="00376ED5"/>
    <w:rsid w:val="00377D7D"/>
    <w:rsid w:val="00382B1D"/>
    <w:rsid w:val="00382E8D"/>
    <w:rsid w:val="0038341B"/>
    <w:rsid w:val="003844F5"/>
    <w:rsid w:val="0039119F"/>
    <w:rsid w:val="00395194"/>
    <w:rsid w:val="00396996"/>
    <w:rsid w:val="003A3284"/>
    <w:rsid w:val="003A4900"/>
    <w:rsid w:val="003A4A96"/>
    <w:rsid w:val="003A77B5"/>
    <w:rsid w:val="003B1687"/>
    <w:rsid w:val="003B3CC9"/>
    <w:rsid w:val="003B4FF0"/>
    <w:rsid w:val="003B62EE"/>
    <w:rsid w:val="003B739C"/>
    <w:rsid w:val="003C41B7"/>
    <w:rsid w:val="003D1686"/>
    <w:rsid w:val="003D20B2"/>
    <w:rsid w:val="003D256C"/>
    <w:rsid w:val="003D780C"/>
    <w:rsid w:val="003E1B80"/>
    <w:rsid w:val="003F1144"/>
    <w:rsid w:val="0040009E"/>
    <w:rsid w:val="004044F1"/>
    <w:rsid w:val="00405B61"/>
    <w:rsid w:val="0041274A"/>
    <w:rsid w:val="00415106"/>
    <w:rsid w:val="004163D6"/>
    <w:rsid w:val="004178C3"/>
    <w:rsid w:val="00425014"/>
    <w:rsid w:val="00432E4F"/>
    <w:rsid w:val="00434084"/>
    <w:rsid w:val="00434646"/>
    <w:rsid w:val="00434AF0"/>
    <w:rsid w:val="00435AC6"/>
    <w:rsid w:val="004375F7"/>
    <w:rsid w:val="00437854"/>
    <w:rsid w:val="00437E67"/>
    <w:rsid w:val="00443A41"/>
    <w:rsid w:val="00444328"/>
    <w:rsid w:val="00444C06"/>
    <w:rsid w:val="00446E8F"/>
    <w:rsid w:val="004473D9"/>
    <w:rsid w:val="00461F9F"/>
    <w:rsid w:val="0046235B"/>
    <w:rsid w:val="00462946"/>
    <w:rsid w:val="004633A1"/>
    <w:rsid w:val="00464D6C"/>
    <w:rsid w:val="00466AE1"/>
    <w:rsid w:val="00466E54"/>
    <w:rsid w:val="00471775"/>
    <w:rsid w:val="00472EFB"/>
    <w:rsid w:val="00474C05"/>
    <w:rsid w:val="00475623"/>
    <w:rsid w:val="004809D1"/>
    <w:rsid w:val="00480ED1"/>
    <w:rsid w:val="004814AD"/>
    <w:rsid w:val="004832E5"/>
    <w:rsid w:val="00484E60"/>
    <w:rsid w:val="00486343"/>
    <w:rsid w:val="00490806"/>
    <w:rsid w:val="00490BBE"/>
    <w:rsid w:val="00490FD7"/>
    <w:rsid w:val="00493522"/>
    <w:rsid w:val="0049571E"/>
    <w:rsid w:val="004A1212"/>
    <w:rsid w:val="004A206C"/>
    <w:rsid w:val="004A6B54"/>
    <w:rsid w:val="004B6CA3"/>
    <w:rsid w:val="004B6CD5"/>
    <w:rsid w:val="004C06EF"/>
    <w:rsid w:val="004C0B87"/>
    <w:rsid w:val="004C1E01"/>
    <w:rsid w:val="004C3313"/>
    <w:rsid w:val="004C3968"/>
    <w:rsid w:val="004C5C01"/>
    <w:rsid w:val="004C686C"/>
    <w:rsid w:val="004D2A24"/>
    <w:rsid w:val="004D5AA8"/>
    <w:rsid w:val="004E0B55"/>
    <w:rsid w:val="004E0EB0"/>
    <w:rsid w:val="004F42B5"/>
    <w:rsid w:val="004F461D"/>
    <w:rsid w:val="004F499F"/>
    <w:rsid w:val="004F5E00"/>
    <w:rsid w:val="005000BB"/>
    <w:rsid w:val="00500E6F"/>
    <w:rsid w:val="00503487"/>
    <w:rsid w:val="00504332"/>
    <w:rsid w:val="00504D66"/>
    <w:rsid w:val="0050504B"/>
    <w:rsid w:val="00507FAA"/>
    <w:rsid w:val="0051260B"/>
    <w:rsid w:val="00514704"/>
    <w:rsid w:val="00521F8A"/>
    <w:rsid w:val="00523A30"/>
    <w:rsid w:val="005279E7"/>
    <w:rsid w:val="00531D43"/>
    <w:rsid w:val="00532789"/>
    <w:rsid w:val="00537891"/>
    <w:rsid w:val="00537CA0"/>
    <w:rsid w:val="00542B01"/>
    <w:rsid w:val="005467BE"/>
    <w:rsid w:val="005519DE"/>
    <w:rsid w:val="00551AE7"/>
    <w:rsid w:val="00552578"/>
    <w:rsid w:val="00552D27"/>
    <w:rsid w:val="0055375C"/>
    <w:rsid w:val="00554D34"/>
    <w:rsid w:val="0055511D"/>
    <w:rsid w:val="00563202"/>
    <w:rsid w:val="00566856"/>
    <w:rsid w:val="00567595"/>
    <w:rsid w:val="00570FE2"/>
    <w:rsid w:val="005717B2"/>
    <w:rsid w:val="00573A07"/>
    <w:rsid w:val="00575E10"/>
    <w:rsid w:val="0057611A"/>
    <w:rsid w:val="00584457"/>
    <w:rsid w:val="005848D2"/>
    <w:rsid w:val="005856D8"/>
    <w:rsid w:val="005919D7"/>
    <w:rsid w:val="0059280B"/>
    <w:rsid w:val="005964F2"/>
    <w:rsid w:val="005A1F00"/>
    <w:rsid w:val="005A348A"/>
    <w:rsid w:val="005A7B63"/>
    <w:rsid w:val="005B1C21"/>
    <w:rsid w:val="005B3F51"/>
    <w:rsid w:val="005C09FA"/>
    <w:rsid w:val="005C19BB"/>
    <w:rsid w:val="005C2924"/>
    <w:rsid w:val="005C4AEB"/>
    <w:rsid w:val="005C52A7"/>
    <w:rsid w:val="005C7234"/>
    <w:rsid w:val="005D1E54"/>
    <w:rsid w:val="005D351C"/>
    <w:rsid w:val="005D35D3"/>
    <w:rsid w:val="005D3DEB"/>
    <w:rsid w:val="005D62E4"/>
    <w:rsid w:val="005D729B"/>
    <w:rsid w:val="005E105A"/>
    <w:rsid w:val="005E2181"/>
    <w:rsid w:val="005E41E2"/>
    <w:rsid w:val="005E5C07"/>
    <w:rsid w:val="005E676A"/>
    <w:rsid w:val="005F53A1"/>
    <w:rsid w:val="006019A6"/>
    <w:rsid w:val="006055C0"/>
    <w:rsid w:val="00605A1B"/>
    <w:rsid w:val="00607D11"/>
    <w:rsid w:val="006143AB"/>
    <w:rsid w:val="006157B6"/>
    <w:rsid w:val="00615B50"/>
    <w:rsid w:val="006160C5"/>
    <w:rsid w:val="00616CF5"/>
    <w:rsid w:val="0062270E"/>
    <w:rsid w:val="00633568"/>
    <w:rsid w:val="0063557C"/>
    <w:rsid w:val="00640017"/>
    <w:rsid w:val="00640614"/>
    <w:rsid w:val="00642161"/>
    <w:rsid w:val="00645D04"/>
    <w:rsid w:val="006608F7"/>
    <w:rsid w:val="0066139A"/>
    <w:rsid w:val="00662466"/>
    <w:rsid w:val="0066473B"/>
    <w:rsid w:val="00665613"/>
    <w:rsid w:val="0066563D"/>
    <w:rsid w:val="00671240"/>
    <w:rsid w:val="00672859"/>
    <w:rsid w:val="00674B81"/>
    <w:rsid w:val="00676E3B"/>
    <w:rsid w:val="006810BB"/>
    <w:rsid w:val="00682893"/>
    <w:rsid w:val="00684DAC"/>
    <w:rsid w:val="006856E3"/>
    <w:rsid w:val="006858FB"/>
    <w:rsid w:val="00687239"/>
    <w:rsid w:val="00687409"/>
    <w:rsid w:val="006874F6"/>
    <w:rsid w:val="00687F99"/>
    <w:rsid w:val="006900BE"/>
    <w:rsid w:val="00692BC8"/>
    <w:rsid w:val="0069395D"/>
    <w:rsid w:val="00693F3D"/>
    <w:rsid w:val="00694D85"/>
    <w:rsid w:val="00697336"/>
    <w:rsid w:val="00697640"/>
    <w:rsid w:val="00697F82"/>
    <w:rsid w:val="006A0A1D"/>
    <w:rsid w:val="006A0E98"/>
    <w:rsid w:val="006A5174"/>
    <w:rsid w:val="006A5F38"/>
    <w:rsid w:val="006B0336"/>
    <w:rsid w:val="006B27BF"/>
    <w:rsid w:val="006B7616"/>
    <w:rsid w:val="006B7AED"/>
    <w:rsid w:val="006C3DE9"/>
    <w:rsid w:val="006C50B4"/>
    <w:rsid w:val="006C55CC"/>
    <w:rsid w:val="006C6967"/>
    <w:rsid w:val="006D1801"/>
    <w:rsid w:val="006D4CF0"/>
    <w:rsid w:val="006D5CCF"/>
    <w:rsid w:val="006D62FC"/>
    <w:rsid w:val="006D7B1F"/>
    <w:rsid w:val="006E0687"/>
    <w:rsid w:val="006E120D"/>
    <w:rsid w:val="006E1C2F"/>
    <w:rsid w:val="006E5220"/>
    <w:rsid w:val="006F0021"/>
    <w:rsid w:val="006F38CE"/>
    <w:rsid w:val="00702BB7"/>
    <w:rsid w:val="00702FC5"/>
    <w:rsid w:val="007034C4"/>
    <w:rsid w:val="0070509E"/>
    <w:rsid w:val="00710D98"/>
    <w:rsid w:val="0071128D"/>
    <w:rsid w:val="007116A3"/>
    <w:rsid w:val="00711933"/>
    <w:rsid w:val="00712C40"/>
    <w:rsid w:val="007209BE"/>
    <w:rsid w:val="00720DA3"/>
    <w:rsid w:val="007226BE"/>
    <w:rsid w:val="00723CCB"/>
    <w:rsid w:val="007250D5"/>
    <w:rsid w:val="00725E55"/>
    <w:rsid w:val="0073775B"/>
    <w:rsid w:val="00742C85"/>
    <w:rsid w:val="00742FDD"/>
    <w:rsid w:val="00744B49"/>
    <w:rsid w:val="007530FD"/>
    <w:rsid w:val="007556A7"/>
    <w:rsid w:val="007562F6"/>
    <w:rsid w:val="00757781"/>
    <w:rsid w:val="0076152E"/>
    <w:rsid w:val="00763863"/>
    <w:rsid w:val="007644BF"/>
    <w:rsid w:val="00764F29"/>
    <w:rsid w:val="007655CF"/>
    <w:rsid w:val="0077165F"/>
    <w:rsid w:val="00771DF0"/>
    <w:rsid w:val="00773E30"/>
    <w:rsid w:val="00780628"/>
    <w:rsid w:val="00783352"/>
    <w:rsid w:val="00787893"/>
    <w:rsid w:val="00787917"/>
    <w:rsid w:val="0079731D"/>
    <w:rsid w:val="007A0A9C"/>
    <w:rsid w:val="007A1BCE"/>
    <w:rsid w:val="007A375D"/>
    <w:rsid w:val="007A45E4"/>
    <w:rsid w:val="007A533A"/>
    <w:rsid w:val="007B131C"/>
    <w:rsid w:val="007B1767"/>
    <w:rsid w:val="007C1B1B"/>
    <w:rsid w:val="007C2473"/>
    <w:rsid w:val="007C4CCF"/>
    <w:rsid w:val="007C55B4"/>
    <w:rsid w:val="007D1006"/>
    <w:rsid w:val="007D1A84"/>
    <w:rsid w:val="007E3403"/>
    <w:rsid w:val="007E4860"/>
    <w:rsid w:val="007E5B54"/>
    <w:rsid w:val="007E60F1"/>
    <w:rsid w:val="007E71A9"/>
    <w:rsid w:val="007F144B"/>
    <w:rsid w:val="007F1CC3"/>
    <w:rsid w:val="0080041B"/>
    <w:rsid w:val="0080065D"/>
    <w:rsid w:val="00804A07"/>
    <w:rsid w:val="008064A5"/>
    <w:rsid w:val="00812892"/>
    <w:rsid w:val="0081688D"/>
    <w:rsid w:val="00822A48"/>
    <w:rsid w:val="00826DFD"/>
    <w:rsid w:val="00832053"/>
    <w:rsid w:val="008330B1"/>
    <w:rsid w:val="008351A6"/>
    <w:rsid w:val="0083599F"/>
    <w:rsid w:val="008376FF"/>
    <w:rsid w:val="00840C96"/>
    <w:rsid w:val="00841231"/>
    <w:rsid w:val="00844A22"/>
    <w:rsid w:val="0084512A"/>
    <w:rsid w:val="00845E80"/>
    <w:rsid w:val="0084788C"/>
    <w:rsid w:val="00847B1F"/>
    <w:rsid w:val="00847FC1"/>
    <w:rsid w:val="0085159E"/>
    <w:rsid w:val="00852FEF"/>
    <w:rsid w:val="0085470D"/>
    <w:rsid w:val="008554B0"/>
    <w:rsid w:val="00856173"/>
    <w:rsid w:val="00857381"/>
    <w:rsid w:val="008613D6"/>
    <w:rsid w:val="00862900"/>
    <w:rsid w:val="00871A5D"/>
    <w:rsid w:val="00873532"/>
    <w:rsid w:val="00880CC0"/>
    <w:rsid w:val="00880DD2"/>
    <w:rsid w:val="00881607"/>
    <w:rsid w:val="00881B23"/>
    <w:rsid w:val="00883A52"/>
    <w:rsid w:val="0088448C"/>
    <w:rsid w:val="00884F22"/>
    <w:rsid w:val="00886230"/>
    <w:rsid w:val="008918BC"/>
    <w:rsid w:val="0089534A"/>
    <w:rsid w:val="00896DAD"/>
    <w:rsid w:val="00897A90"/>
    <w:rsid w:val="008A04D5"/>
    <w:rsid w:val="008A055A"/>
    <w:rsid w:val="008A192B"/>
    <w:rsid w:val="008A2354"/>
    <w:rsid w:val="008A27DD"/>
    <w:rsid w:val="008A2A96"/>
    <w:rsid w:val="008A3C9F"/>
    <w:rsid w:val="008A4FD2"/>
    <w:rsid w:val="008B6955"/>
    <w:rsid w:val="008B7C21"/>
    <w:rsid w:val="008C134A"/>
    <w:rsid w:val="008C2168"/>
    <w:rsid w:val="008C647A"/>
    <w:rsid w:val="008C7646"/>
    <w:rsid w:val="008D0B18"/>
    <w:rsid w:val="008D1FD6"/>
    <w:rsid w:val="008D454B"/>
    <w:rsid w:val="008E2185"/>
    <w:rsid w:val="008E5192"/>
    <w:rsid w:val="008F60F6"/>
    <w:rsid w:val="008F7913"/>
    <w:rsid w:val="009051BB"/>
    <w:rsid w:val="00905700"/>
    <w:rsid w:val="00905E95"/>
    <w:rsid w:val="00906F0A"/>
    <w:rsid w:val="00911D9C"/>
    <w:rsid w:val="00912BDE"/>
    <w:rsid w:val="009155C2"/>
    <w:rsid w:val="00916A0E"/>
    <w:rsid w:val="00916BA8"/>
    <w:rsid w:val="00917BA5"/>
    <w:rsid w:val="00917E88"/>
    <w:rsid w:val="0092676A"/>
    <w:rsid w:val="00931336"/>
    <w:rsid w:val="0093146C"/>
    <w:rsid w:val="00934F39"/>
    <w:rsid w:val="0093550D"/>
    <w:rsid w:val="00941637"/>
    <w:rsid w:val="00942C4B"/>
    <w:rsid w:val="009438C0"/>
    <w:rsid w:val="00945101"/>
    <w:rsid w:val="00945CCF"/>
    <w:rsid w:val="00946748"/>
    <w:rsid w:val="00946AFE"/>
    <w:rsid w:val="00947A96"/>
    <w:rsid w:val="00950912"/>
    <w:rsid w:val="00950B33"/>
    <w:rsid w:val="00951998"/>
    <w:rsid w:val="00954E06"/>
    <w:rsid w:val="00962C19"/>
    <w:rsid w:val="00970807"/>
    <w:rsid w:val="009738A2"/>
    <w:rsid w:val="00974B7F"/>
    <w:rsid w:val="009754BB"/>
    <w:rsid w:val="00977F87"/>
    <w:rsid w:val="00983BBC"/>
    <w:rsid w:val="009878E4"/>
    <w:rsid w:val="009916DA"/>
    <w:rsid w:val="009951D0"/>
    <w:rsid w:val="00996FAB"/>
    <w:rsid w:val="00997164"/>
    <w:rsid w:val="009A16BF"/>
    <w:rsid w:val="009A1C37"/>
    <w:rsid w:val="009A52B2"/>
    <w:rsid w:val="009A5527"/>
    <w:rsid w:val="009A6125"/>
    <w:rsid w:val="009A631D"/>
    <w:rsid w:val="009A6D9A"/>
    <w:rsid w:val="009B0441"/>
    <w:rsid w:val="009B31D7"/>
    <w:rsid w:val="009B3F2D"/>
    <w:rsid w:val="009B4097"/>
    <w:rsid w:val="009B5060"/>
    <w:rsid w:val="009B5856"/>
    <w:rsid w:val="009B780E"/>
    <w:rsid w:val="009C17F8"/>
    <w:rsid w:val="009C2659"/>
    <w:rsid w:val="009D234E"/>
    <w:rsid w:val="009D36B6"/>
    <w:rsid w:val="009E29C1"/>
    <w:rsid w:val="009E3C29"/>
    <w:rsid w:val="009F30B0"/>
    <w:rsid w:val="009F4176"/>
    <w:rsid w:val="009F579B"/>
    <w:rsid w:val="00A03C23"/>
    <w:rsid w:val="00A05635"/>
    <w:rsid w:val="00A0630C"/>
    <w:rsid w:val="00A068D2"/>
    <w:rsid w:val="00A06A1B"/>
    <w:rsid w:val="00A079D4"/>
    <w:rsid w:val="00A108CD"/>
    <w:rsid w:val="00A26EDD"/>
    <w:rsid w:val="00A33466"/>
    <w:rsid w:val="00A35B3A"/>
    <w:rsid w:val="00A36E8F"/>
    <w:rsid w:val="00A377A7"/>
    <w:rsid w:val="00A40649"/>
    <w:rsid w:val="00A42AD9"/>
    <w:rsid w:val="00A42E83"/>
    <w:rsid w:val="00A46133"/>
    <w:rsid w:val="00A50EDA"/>
    <w:rsid w:val="00A527F4"/>
    <w:rsid w:val="00A53018"/>
    <w:rsid w:val="00A53237"/>
    <w:rsid w:val="00A53A05"/>
    <w:rsid w:val="00A545C6"/>
    <w:rsid w:val="00A54DBB"/>
    <w:rsid w:val="00A55955"/>
    <w:rsid w:val="00A55ADD"/>
    <w:rsid w:val="00A60605"/>
    <w:rsid w:val="00A60CAC"/>
    <w:rsid w:val="00A60F62"/>
    <w:rsid w:val="00A65D10"/>
    <w:rsid w:val="00A71142"/>
    <w:rsid w:val="00A714AD"/>
    <w:rsid w:val="00A71629"/>
    <w:rsid w:val="00A74F93"/>
    <w:rsid w:val="00A75532"/>
    <w:rsid w:val="00A76965"/>
    <w:rsid w:val="00A808FC"/>
    <w:rsid w:val="00A80F6B"/>
    <w:rsid w:val="00A82A1D"/>
    <w:rsid w:val="00A82DD2"/>
    <w:rsid w:val="00A8606D"/>
    <w:rsid w:val="00A87998"/>
    <w:rsid w:val="00A87E82"/>
    <w:rsid w:val="00A90C6F"/>
    <w:rsid w:val="00A9702C"/>
    <w:rsid w:val="00AA3A0A"/>
    <w:rsid w:val="00AA5F5D"/>
    <w:rsid w:val="00AB1CFB"/>
    <w:rsid w:val="00AB6735"/>
    <w:rsid w:val="00AC34CD"/>
    <w:rsid w:val="00AC622E"/>
    <w:rsid w:val="00AC7D43"/>
    <w:rsid w:val="00AD0C83"/>
    <w:rsid w:val="00AD4D7C"/>
    <w:rsid w:val="00AD5976"/>
    <w:rsid w:val="00AD6C94"/>
    <w:rsid w:val="00AE058A"/>
    <w:rsid w:val="00AE1C01"/>
    <w:rsid w:val="00AE25A8"/>
    <w:rsid w:val="00AE4B12"/>
    <w:rsid w:val="00AE6772"/>
    <w:rsid w:val="00AE7367"/>
    <w:rsid w:val="00AF2AE9"/>
    <w:rsid w:val="00AF351F"/>
    <w:rsid w:val="00AF357D"/>
    <w:rsid w:val="00AF35AE"/>
    <w:rsid w:val="00AF65F2"/>
    <w:rsid w:val="00B00D92"/>
    <w:rsid w:val="00B0335A"/>
    <w:rsid w:val="00B13EEC"/>
    <w:rsid w:val="00B16050"/>
    <w:rsid w:val="00B22573"/>
    <w:rsid w:val="00B22745"/>
    <w:rsid w:val="00B26CC0"/>
    <w:rsid w:val="00B30351"/>
    <w:rsid w:val="00B31946"/>
    <w:rsid w:val="00B35D66"/>
    <w:rsid w:val="00B41676"/>
    <w:rsid w:val="00B41A3F"/>
    <w:rsid w:val="00B442E2"/>
    <w:rsid w:val="00B454B5"/>
    <w:rsid w:val="00B4725A"/>
    <w:rsid w:val="00B474DC"/>
    <w:rsid w:val="00B47C61"/>
    <w:rsid w:val="00B50F67"/>
    <w:rsid w:val="00B50FC1"/>
    <w:rsid w:val="00B5189B"/>
    <w:rsid w:val="00B532AB"/>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A514C"/>
    <w:rsid w:val="00BA746D"/>
    <w:rsid w:val="00BB0FDE"/>
    <w:rsid w:val="00BB34B9"/>
    <w:rsid w:val="00BB35B3"/>
    <w:rsid w:val="00BB4D25"/>
    <w:rsid w:val="00BB4F2D"/>
    <w:rsid w:val="00BB5477"/>
    <w:rsid w:val="00BC1167"/>
    <w:rsid w:val="00BC3724"/>
    <w:rsid w:val="00BC4FB6"/>
    <w:rsid w:val="00BC6A13"/>
    <w:rsid w:val="00BC6A28"/>
    <w:rsid w:val="00BC7F68"/>
    <w:rsid w:val="00BD33D1"/>
    <w:rsid w:val="00BD609F"/>
    <w:rsid w:val="00BE4712"/>
    <w:rsid w:val="00BE67BC"/>
    <w:rsid w:val="00BE6ECD"/>
    <w:rsid w:val="00BE70FD"/>
    <w:rsid w:val="00BF45CE"/>
    <w:rsid w:val="00BF6DF7"/>
    <w:rsid w:val="00C00236"/>
    <w:rsid w:val="00C008EE"/>
    <w:rsid w:val="00C03A2B"/>
    <w:rsid w:val="00C04105"/>
    <w:rsid w:val="00C130EE"/>
    <w:rsid w:val="00C16379"/>
    <w:rsid w:val="00C16AC3"/>
    <w:rsid w:val="00C17D19"/>
    <w:rsid w:val="00C17FAC"/>
    <w:rsid w:val="00C20265"/>
    <w:rsid w:val="00C227BC"/>
    <w:rsid w:val="00C2341E"/>
    <w:rsid w:val="00C23F96"/>
    <w:rsid w:val="00C2439C"/>
    <w:rsid w:val="00C24980"/>
    <w:rsid w:val="00C34764"/>
    <w:rsid w:val="00C350E1"/>
    <w:rsid w:val="00C41ED0"/>
    <w:rsid w:val="00C42026"/>
    <w:rsid w:val="00C43812"/>
    <w:rsid w:val="00C43D5A"/>
    <w:rsid w:val="00C449CC"/>
    <w:rsid w:val="00C47106"/>
    <w:rsid w:val="00C524E8"/>
    <w:rsid w:val="00C54771"/>
    <w:rsid w:val="00C5526D"/>
    <w:rsid w:val="00C55B69"/>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A00B7"/>
    <w:rsid w:val="00CA03C6"/>
    <w:rsid w:val="00CA133D"/>
    <w:rsid w:val="00CA2270"/>
    <w:rsid w:val="00CA60B8"/>
    <w:rsid w:val="00CA706E"/>
    <w:rsid w:val="00CA7542"/>
    <w:rsid w:val="00CB203B"/>
    <w:rsid w:val="00CB22FC"/>
    <w:rsid w:val="00CB2590"/>
    <w:rsid w:val="00CB2AA7"/>
    <w:rsid w:val="00CB7A3A"/>
    <w:rsid w:val="00CC2234"/>
    <w:rsid w:val="00CC3A30"/>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168E"/>
    <w:rsid w:val="00CF172E"/>
    <w:rsid w:val="00CF5C63"/>
    <w:rsid w:val="00CF72AA"/>
    <w:rsid w:val="00D00A65"/>
    <w:rsid w:val="00D00B47"/>
    <w:rsid w:val="00D04457"/>
    <w:rsid w:val="00D0586B"/>
    <w:rsid w:val="00D12088"/>
    <w:rsid w:val="00D13390"/>
    <w:rsid w:val="00D15022"/>
    <w:rsid w:val="00D174C5"/>
    <w:rsid w:val="00D20679"/>
    <w:rsid w:val="00D21C07"/>
    <w:rsid w:val="00D21CCE"/>
    <w:rsid w:val="00D22BFD"/>
    <w:rsid w:val="00D26B60"/>
    <w:rsid w:val="00D2716F"/>
    <w:rsid w:val="00D30560"/>
    <w:rsid w:val="00D34289"/>
    <w:rsid w:val="00D343E3"/>
    <w:rsid w:val="00D34CF2"/>
    <w:rsid w:val="00D36A92"/>
    <w:rsid w:val="00D40071"/>
    <w:rsid w:val="00D4093C"/>
    <w:rsid w:val="00D445C7"/>
    <w:rsid w:val="00D4712E"/>
    <w:rsid w:val="00D4766B"/>
    <w:rsid w:val="00D50BFF"/>
    <w:rsid w:val="00D53658"/>
    <w:rsid w:val="00D571A3"/>
    <w:rsid w:val="00D57968"/>
    <w:rsid w:val="00D603AE"/>
    <w:rsid w:val="00D6161C"/>
    <w:rsid w:val="00D63E09"/>
    <w:rsid w:val="00D63E67"/>
    <w:rsid w:val="00D67725"/>
    <w:rsid w:val="00D70F71"/>
    <w:rsid w:val="00D7211D"/>
    <w:rsid w:val="00D74EE3"/>
    <w:rsid w:val="00D76AB7"/>
    <w:rsid w:val="00D80BFC"/>
    <w:rsid w:val="00D84CE7"/>
    <w:rsid w:val="00D860F4"/>
    <w:rsid w:val="00D901CC"/>
    <w:rsid w:val="00D90BE4"/>
    <w:rsid w:val="00D90C9E"/>
    <w:rsid w:val="00D90E8A"/>
    <w:rsid w:val="00D9498E"/>
    <w:rsid w:val="00DA09DA"/>
    <w:rsid w:val="00DA19E2"/>
    <w:rsid w:val="00DA235D"/>
    <w:rsid w:val="00DA341C"/>
    <w:rsid w:val="00DA4A89"/>
    <w:rsid w:val="00DA5FF6"/>
    <w:rsid w:val="00DA7015"/>
    <w:rsid w:val="00DB0464"/>
    <w:rsid w:val="00DB177C"/>
    <w:rsid w:val="00DB1B2C"/>
    <w:rsid w:val="00DB6130"/>
    <w:rsid w:val="00DB698D"/>
    <w:rsid w:val="00DB7D10"/>
    <w:rsid w:val="00DC1CB4"/>
    <w:rsid w:val="00DD060B"/>
    <w:rsid w:val="00DD1641"/>
    <w:rsid w:val="00DD3126"/>
    <w:rsid w:val="00DD31F5"/>
    <w:rsid w:val="00DD4BB7"/>
    <w:rsid w:val="00DD6F83"/>
    <w:rsid w:val="00DE0751"/>
    <w:rsid w:val="00DE1FBF"/>
    <w:rsid w:val="00DE2C3B"/>
    <w:rsid w:val="00DE4E5F"/>
    <w:rsid w:val="00DE5C5E"/>
    <w:rsid w:val="00DF13E4"/>
    <w:rsid w:val="00DF1BEB"/>
    <w:rsid w:val="00DF2E97"/>
    <w:rsid w:val="00DF3580"/>
    <w:rsid w:val="00DF4083"/>
    <w:rsid w:val="00E1110F"/>
    <w:rsid w:val="00E1464B"/>
    <w:rsid w:val="00E15C41"/>
    <w:rsid w:val="00E16047"/>
    <w:rsid w:val="00E24AA1"/>
    <w:rsid w:val="00E32FC6"/>
    <w:rsid w:val="00E339E0"/>
    <w:rsid w:val="00E36A3B"/>
    <w:rsid w:val="00E375C1"/>
    <w:rsid w:val="00E41F9D"/>
    <w:rsid w:val="00E431F4"/>
    <w:rsid w:val="00E46B6C"/>
    <w:rsid w:val="00E46D64"/>
    <w:rsid w:val="00E46D75"/>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82D08"/>
    <w:rsid w:val="00E90535"/>
    <w:rsid w:val="00E9266D"/>
    <w:rsid w:val="00EA0B9C"/>
    <w:rsid w:val="00EA1AB6"/>
    <w:rsid w:val="00EA1B4B"/>
    <w:rsid w:val="00EA4348"/>
    <w:rsid w:val="00EA44E8"/>
    <w:rsid w:val="00EA5061"/>
    <w:rsid w:val="00EB02C2"/>
    <w:rsid w:val="00EB107B"/>
    <w:rsid w:val="00EB182E"/>
    <w:rsid w:val="00EB198F"/>
    <w:rsid w:val="00EB3FF6"/>
    <w:rsid w:val="00EB61FB"/>
    <w:rsid w:val="00EC0731"/>
    <w:rsid w:val="00EC0B84"/>
    <w:rsid w:val="00EC2262"/>
    <w:rsid w:val="00EC2CCD"/>
    <w:rsid w:val="00EC5199"/>
    <w:rsid w:val="00ED1C7E"/>
    <w:rsid w:val="00ED3BBC"/>
    <w:rsid w:val="00EE026C"/>
    <w:rsid w:val="00EE093E"/>
    <w:rsid w:val="00EE0A51"/>
    <w:rsid w:val="00EE2C43"/>
    <w:rsid w:val="00EE2C66"/>
    <w:rsid w:val="00EE5181"/>
    <w:rsid w:val="00EE62B2"/>
    <w:rsid w:val="00EE73E3"/>
    <w:rsid w:val="00EF0D6A"/>
    <w:rsid w:val="00EF23D2"/>
    <w:rsid w:val="00EF5540"/>
    <w:rsid w:val="00EF5FD6"/>
    <w:rsid w:val="00F001F7"/>
    <w:rsid w:val="00F07574"/>
    <w:rsid w:val="00F11C17"/>
    <w:rsid w:val="00F16AC8"/>
    <w:rsid w:val="00F17050"/>
    <w:rsid w:val="00F17DAE"/>
    <w:rsid w:val="00F200C8"/>
    <w:rsid w:val="00F23C54"/>
    <w:rsid w:val="00F24F35"/>
    <w:rsid w:val="00F26111"/>
    <w:rsid w:val="00F26715"/>
    <w:rsid w:val="00F310FD"/>
    <w:rsid w:val="00F40A77"/>
    <w:rsid w:val="00F42212"/>
    <w:rsid w:val="00F442F8"/>
    <w:rsid w:val="00F44645"/>
    <w:rsid w:val="00F45C26"/>
    <w:rsid w:val="00F5182C"/>
    <w:rsid w:val="00F51A2C"/>
    <w:rsid w:val="00F5390E"/>
    <w:rsid w:val="00F54A68"/>
    <w:rsid w:val="00F55664"/>
    <w:rsid w:val="00F5738E"/>
    <w:rsid w:val="00F64913"/>
    <w:rsid w:val="00F7080C"/>
    <w:rsid w:val="00F72500"/>
    <w:rsid w:val="00F7416C"/>
    <w:rsid w:val="00F81382"/>
    <w:rsid w:val="00F8197E"/>
    <w:rsid w:val="00F82852"/>
    <w:rsid w:val="00F8472E"/>
    <w:rsid w:val="00F847B1"/>
    <w:rsid w:val="00F86167"/>
    <w:rsid w:val="00F86237"/>
    <w:rsid w:val="00F91614"/>
    <w:rsid w:val="00F93B91"/>
    <w:rsid w:val="00F93F4B"/>
    <w:rsid w:val="00F949A9"/>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FFE"/>
    <w:rsid w:val="00FD2EAF"/>
    <w:rsid w:val="00FD579D"/>
    <w:rsid w:val="00FE20ED"/>
    <w:rsid w:val="00FE6804"/>
    <w:rsid w:val="00FE73EF"/>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figaro.fr/flash-eco/bpifrance-annonce-une-forte-progression-de-l-activite-d-investissement-en-debut-d-annee-20250929" TargetMode="External"/><Relationship Id="rId18" Type="http://schemas.openxmlformats.org/officeDocument/2006/relationships/hyperlink" Target="https://www.lefigaro.fr/economie/le-rendez-vous-des-pme/revolutionner-la-lutte-contre-le-cancer-grace-aux-cellules-souches-et-aux-vaccins-therapeutiques-20250930" TargetMode="External"/><Relationship Id="rId26" Type="http://schemas.openxmlformats.org/officeDocument/2006/relationships/hyperlink" Target="https://www.lesechos.fr/economie-france/conjoncture/linflation-repasse-au-dessus-de-la-barre-de-1-2189164" TargetMode="External"/><Relationship Id="rId3" Type="http://schemas.openxmlformats.org/officeDocument/2006/relationships/numbering" Target="numbering.xml"/><Relationship Id="rId21" Type="http://schemas.openxmlformats.org/officeDocument/2006/relationships/hyperlink" Target="https://www.lemonde.fr/economie/article/2025/09/11/la-croissance-francaise-devrait-atteindre-0-8-en-2025-l-incertitude-politique-pese_6640437_3234.html?search-type=classic&amp;ise_click_rank=34"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iberation.fr/economie/conso/la-crise-du-bio-est-finie-biocoop-veut-ouvrir-160-magasins-dici-a-2029-20250918_WDIHVPSWTBF5XJTJP5R74ZIOJM/" TargetMode="External"/><Relationship Id="rId17" Type="http://schemas.openxmlformats.org/officeDocument/2006/relationships/hyperlink" Target="https://ipsophene.eu/qui-sommes-nous/" TargetMode="External"/><Relationship Id="rId25" Type="http://schemas.openxmlformats.org/officeDocument/2006/relationships/hyperlink" Target="https://www.lemonde.fr/politique/article/2025/09/28/la-dotation-budgetaire-de-l-elysee-gelee-pour-la-2-annee-d-affilee_6643274_823448.html" TargetMode="External"/><Relationship Id="rId33" Type="http://schemas.openxmlformats.org/officeDocument/2006/relationships/hyperlink" Target="mailto:neringa.greiciute@urm.lt" TargetMode="External"/><Relationship Id="rId2" Type="http://schemas.openxmlformats.org/officeDocument/2006/relationships/customXml" Target="../customXml/item2.xml"/><Relationship Id="rId16" Type="http://schemas.openxmlformats.org/officeDocument/2006/relationships/hyperlink" Target="https://www.liberation.fr/societe/sante/paracetamol-feu-vert-pour-la-construction-de-lune-des-premieres-usines-de-france-a-toulouse-20250925_HL7YVM6UJ5FOVDRRM2NTBC3LSA/" TargetMode="External"/><Relationship Id="rId20" Type="http://schemas.openxmlformats.org/officeDocument/2006/relationships/hyperlink" Target="https://www.lamontagne.fr/paris-75000/actualites/sebastien-lecornu-nommera-son-gouvernement-avant-le-debut-des-travaux-parlementaires-le-1er-octobre_14755482/" TargetMode="External"/><Relationship Id="rId29" Type="http://schemas.openxmlformats.org/officeDocument/2006/relationships/hyperlink" Target="https://www.lesechos.fr/industrie-services/air-defense/leurope-nouveau-moteur-des-exportations-francaises-darmement-21871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sechos.fr/economie-france/budget-fiscalite/exclusif-budget-2026-une-hausse-de-la-flat-tax-revient-dans-le-debat-2189064" TargetMode="External"/><Relationship Id="rId24" Type="http://schemas.openxmlformats.org/officeDocument/2006/relationships/hyperlink" Target="https://www.lemonde.fr/economie/article/2025/09/25/le-fleau-des-retards-de-paiement-s-aggrave-avec-l-incertitude-politique-et-budgetaire_6642901_3234.html" TargetMode="External"/><Relationship Id="rId32" Type="http://schemas.openxmlformats.org/officeDocument/2006/relationships/hyperlink" Target="mailto:otilija.snieskaite@urm.lt" TargetMode="External"/><Relationship Id="rId5" Type="http://schemas.openxmlformats.org/officeDocument/2006/relationships/settings" Target="settings.xml"/><Relationship Id="rId15" Type="http://schemas.openxmlformats.org/officeDocument/2006/relationships/hyperlink" Target="https://www.lemonde.fr/economie/article/2025/09/09/ia-la-start-up-francaise-mistral-ai-valorisee-11-7-milliards-d-euros-apres-avoir-leve-1-7-milliard_6640102_3234.html?search-type=classic&amp;ise_click_rank=21" TargetMode="External"/><Relationship Id="rId23" Type="http://schemas.openxmlformats.org/officeDocument/2006/relationships/hyperlink" Target="https://www.lesechos.fr/economie-france/budget-fiscalite/plus-de-3400-milliards-deuros-linexorable-gonflement-de-la-dette-francaise-2188307" TargetMode="External"/><Relationship Id="rId28" Type="http://schemas.openxmlformats.org/officeDocument/2006/relationships/hyperlink" Target="https://www.lesechos.fr/economie-france/social/meeting-du-13-octobre-apres-lu2p-la-cpme-decline-linvitation-du-medef-2189340" TargetMode="External"/><Relationship Id="rId36" Type="http://schemas.openxmlformats.org/officeDocument/2006/relationships/theme" Target="theme/theme1.xml"/><Relationship Id="rId10" Type="http://schemas.openxmlformats.org/officeDocument/2006/relationships/hyperlink" Target="https://www.liberation.fr/economie/leader-du-transport-maritime-cma-cgm-acquiert-le-premier-operateur-de-fret-ferroviaire-britannique-20250922_47ICLSTLBNETDJYRRGZKNIN5LI/" TargetMode="External"/><Relationship Id="rId19" Type="http://schemas.openxmlformats.org/officeDocument/2006/relationships/hyperlink" Target="https://www.france24.com/fr/france/20250909-s%C3%A9bastien-lecornu-nomm%C3%A9-premier-ministre-un-nouveau-visage-qui-ne-change-pas-l-%C3%A9quation" TargetMode="External"/><Relationship Id="rId31" Type="http://schemas.openxmlformats.org/officeDocument/2006/relationships/hyperlink" Target="mailto:vitalija.kardokaite-simanauskiene@urm.lt" TargetMode="External"/><Relationship Id="rId4" Type="http://schemas.openxmlformats.org/officeDocument/2006/relationships/styles" Target="styles.xml"/><Relationship Id="rId9" Type="http://schemas.openxmlformats.org/officeDocument/2006/relationships/hyperlink" Target="https://www.lesechos.fr/economie-france/conjoncture/cest-peut-etre-la-nouvelle-norme-pourquoi-la-consommation-des-menages-ne-repart-pas-en-france-2189224" TargetMode="External"/><Relationship Id="rId14" Type="http://schemas.openxmlformats.org/officeDocument/2006/relationships/hyperlink" Target="https://www.tf1info.fr/economie/vacances-ete-tourisme-belges-americaines-britanniques-la-france-attire-toujours-plus-de-touristes-etrangers" TargetMode="External"/><Relationship Id="rId22" Type="http://schemas.openxmlformats.org/officeDocument/2006/relationships/hyperlink" Target="https://www.lemonde.fr/politique/article/2025/09/12/dette-fitch-fait-perdre-son-double-a-a-la-france_6640683_823448.html?search-type=classic&amp;ise_click_rank=29" TargetMode="External"/><Relationship Id="rId27" Type="http://schemas.openxmlformats.org/officeDocument/2006/relationships/hyperlink" Target="https://www.lesechos.fr/economie-france/social/pourquoi-les-francais-ont-debourse-plus-pour-leur-sante-en-2024-2189316" TargetMode="External"/><Relationship Id="rId30" Type="http://schemas.openxmlformats.org/officeDocument/2006/relationships/hyperlink" Target="https://www.lemonde.fr/international/article/2025/09/28/survols-de-drones-comment-sont-proteges-les-aeroports-de-roissy-et-d-orly_6643259_3210.html"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9</Pages>
  <Words>21220</Words>
  <Characters>12096</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66</cp:revision>
  <cp:lastPrinted>2021-07-01T13:41:00Z</cp:lastPrinted>
  <dcterms:created xsi:type="dcterms:W3CDTF">2025-02-03T15:29:00Z</dcterms:created>
  <dcterms:modified xsi:type="dcterms:W3CDTF">2025-10-02T15:43:00Z</dcterms:modified>
</cp:coreProperties>
</file>