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B539" w14:textId="1AFF0DB5" w:rsidR="004466AC" w:rsidRPr="00DA1FB3" w:rsidRDefault="004466AC" w:rsidP="00C439E4">
      <w:pPr>
        <w:spacing w:after="0" w:line="240" w:lineRule="auto"/>
        <w:jc w:val="center"/>
        <w:rPr>
          <w:rFonts w:ascii="Times New Roman" w:hAnsi="Times New Roman"/>
          <w:sz w:val="24"/>
          <w:szCs w:val="24"/>
        </w:rPr>
      </w:pPr>
      <w:r w:rsidRPr="00DA1FB3">
        <w:rPr>
          <w:rFonts w:ascii="Times New Roman" w:hAnsi="Times New Roman"/>
          <w:sz w:val="24"/>
          <w:szCs w:val="24"/>
        </w:rPr>
        <w:t>Lietuvos Respublikos ambasada Suomijos Respublikoje</w:t>
      </w:r>
    </w:p>
    <w:p w14:paraId="5E04373A" w14:textId="77777777" w:rsidR="004466AC" w:rsidRPr="00DA1FB3" w:rsidRDefault="004466AC" w:rsidP="00C439E4">
      <w:pPr>
        <w:spacing w:after="0" w:line="240" w:lineRule="auto"/>
        <w:jc w:val="center"/>
        <w:rPr>
          <w:rFonts w:ascii="Times New Roman" w:hAnsi="Times New Roman"/>
          <w:sz w:val="24"/>
          <w:szCs w:val="24"/>
        </w:rPr>
      </w:pPr>
    </w:p>
    <w:p w14:paraId="62C79F02" w14:textId="77777777" w:rsidR="004466AC" w:rsidRPr="00DA1FB3" w:rsidRDefault="004466AC" w:rsidP="00C439E4">
      <w:pPr>
        <w:spacing w:after="0" w:line="240" w:lineRule="auto"/>
        <w:jc w:val="center"/>
        <w:rPr>
          <w:rFonts w:ascii="Times New Roman" w:hAnsi="Times New Roman"/>
          <w:b/>
          <w:sz w:val="24"/>
          <w:szCs w:val="24"/>
        </w:rPr>
      </w:pPr>
      <w:r w:rsidRPr="00DA1FB3">
        <w:rPr>
          <w:rFonts w:ascii="Times New Roman" w:hAnsi="Times New Roman"/>
          <w:b/>
          <w:sz w:val="24"/>
          <w:szCs w:val="24"/>
        </w:rPr>
        <w:t>AKTUALIOS EKONOMINĖS INFORMACIJOS SUVESTINĖ</w:t>
      </w:r>
    </w:p>
    <w:p w14:paraId="1F2C01FF" w14:textId="77777777" w:rsidR="004466AC" w:rsidRPr="00DA1FB3" w:rsidRDefault="004466AC" w:rsidP="00C439E4">
      <w:pPr>
        <w:spacing w:after="0" w:line="240" w:lineRule="auto"/>
        <w:jc w:val="center"/>
        <w:rPr>
          <w:rFonts w:ascii="Times New Roman" w:hAnsi="Times New Roman"/>
          <w:b/>
          <w:sz w:val="24"/>
          <w:szCs w:val="24"/>
        </w:rPr>
      </w:pPr>
    </w:p>
    <w:p w14:paraId="4098D514" w14:textId="5650F63C" w:rsidR="004466AC" w:rsidRPr="00DA1FB3" w:rsidRDefault="004466AC" w:rsidP="00C439E4">
      <w:pPr>
        <w:spacing w:after="0" w:line="240" w:lineRule="auto"/>
        <w:jc w:val="center"/>
        <w:rPr>
          <w:rFonts w:ascii="Times New Roman" w:hAnsi="Times New Roman"/>
          <w:sz w:val="24"/>
          <w:szCs w:val="24"/>
        </w:rPr>
      </w:pPr>
      <w:r w:rsidRPr="00DA1FB3">
        <w:rPr>
          <w:rFonts w:ascii="Times New Roman" w:hAnsi="Times New Roman"/>
          <w:sz w:val="24"/>
          <w:szCs w:val="24"/>
        </w:rPr>
        <w:t>202</w:t>
      </w:r>
      <w:r w:rsidR="009A1013" w:rsidRPr="00DA1FB3">
        <w:rPr>
          <w:rFonts w:ascii="Times New Roman" w:hAnsi="Times New Roman"/>
          <w:sz w:val="24"/>
          <w:szCs w:val="24"/>
        </w:rPr>
        <w:t>5</w:t>
      </w:r>
      <w:r w:rsidRPr="00DA1FB3">
        <w:rPr>
          <w:rFonts w:ascii="Times New Roman" w:hAnsi="Times New Roman"/>
          <w:sz w:val="24"/>
          <w:szCs w:val="24"/>
        </w:rPr>
        <w:t xml:space="preserve"> m. </w:t>
      </w:r>
      <w:r w:rsidR="002B3980">
        <w:rPr>
          <w:rFonts w:ascii="Times New Roman" w:hAnsi="Times New Roman"/>
          <w:sz w:val="24"/>
          <w:szCs w:val="24"/>
        </w:rPr>
        <w:t>rugpjūčio 31</w:t>
      </w:r>
      <w:r w:rsidRPr="00DA1FB3">
        <w:rPr>
          <w:rFonts w:ascii="Times New Roman" w:hAnsi="Times New Roman"/>
          <w:sz w:val="24"/>
          <w:szCs w:val="24"/>
        </w:rPr>
        <w:t xml:space="preserve"> d.</w:t>
      </w:r>
    </w:p>
    <w:p w14:paraId="4233359C" w14:textId="77777777" w:rsidR="004466AC" w:rsidRPr="00DA1FB3" w:rsidRDefault="004466AC" w:rsidP="00C439E4">
      <w:pPr>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5756"/>
        <w:gridCol w:w="2829"/>
      </w:tblGrid>
      <w:tr w:rsidR="00337682" w:rsidRPr="00DA1FB3" w14:paraId="26D6E59E" w14:textId="77777777" w:rsidTr="000E271C">
        <w:trPr>
          <w:trHeight w:val="385"/>
        </w:trPr>
        <w:tc>
          <w:tcPr>
            <w:tcW w:w="1043" w:type="dxa"/>
            <w:tcMar>
              <w:top w:w="29" w:type="dxa"/>
              <w:left w:w="115" w:type="dxa"/>
              <w:bottom w:w="29" w:type="dxa"/>
              <w:right w:w="115" w:type="dxa"/>
            </w:tcMar>
            <w:vAlign w:val="center"/>
          </w:tcPr>
          <w:p w14:paraId="419C773D" w14:textId="77777777" w:rsidR="00337682" w:rsidRPr="00DA1FB3" w:rsidRDefault="00337682" w:rsidP="00C439E4">
            <w:pPr>
              <w:pStyle w:val="Heading1"/>
              <w:spacing w:before="0" w:after="0" w:line="240" w:lineRule="auto"/>
              <w:jc w:val="both"/>
              <w:rPr>
                <w:rFonts w:ascii="Times New Roman" w:hAnsi="Times New Roman" w:cs="Times New Roman"/>
                <w:color w:val="auto"/>
                <w:sz w:val="24"/>
                <w:szCs w:val="24"/>
              </w:rPr>
            </w:pPr>
            <w:r w:rsidRPr="00DA1FB3">
              <w:rPr>
                <w:rFonts w:ascii="Times New Roman" w:hAnsi="Times New Roman" w:cs="Times New Roman"/>
                <w:color w:val="auto"/>
                <w:sz w:val="24"/>
                <w:szCs w:val="24"/>
              </w:rPr>
              <w:t>Data</w:t>
            </w:r>
          </w:p>
        </w:tc>
        <w:tc>
          <w:tcPr>
            <w:tcW w:w="5756" w:type="dxa"/>
            <w:tcMar>
              <w:top w:w="29" w:type="dxa"/>
              <w:left w:w="115" w:type="dxa"/>
              <w:bottom w:w="29" w:type="dxa"/>
              <w:right w:w="115" w:type="dxa"/>
            </w:tcMar>
            <w:vAlign w:val="center"/>
          </w:tcPr>
          <w:p w14:paraId="2A9749A3" w14:textId="77777777" w:rsidR="00337682" w:rsidRPr="00DA1FB3" w:rsidRDefault="00337682" w:rsidP="00C439E4">
            <w:pPr>
              <w:pStyle w:val="Heading1"/>
              <w:spacing w:before="0" w:after="0" w:line="240" w:lineRule="auto"/>
              <w:jc w:val="both"/>
              <w:rPr>
                <w:rFonts w:ascii="Times New Roman" w:hAnsi="Times New Roman" w:cs="Times New Roman"/>
                <w:color w:val="auto"/>
                <w:sz w:val="24"/>
                <w:szCs w:val="24"/>
              </w:rPr>
            </w:pPr>
            <w:r w:rsidRPr="00DA1FB3">
              <w:rPr>
                <w:rFonts w:ascii="Times New Roman" w:hAnsi="Times New Roman" w:cs="Times New Roman"/>
                <w:color w:val="auto"/>
                <w:sz w:val="24"/>
                <w:szCs w:val="24"/>
              </w:rPr>
              <w:t>Pateikiamos informacijos apibendrinimas</w:t>
            </w:r>
          </w:p>
        </w:tc>
        <w:tc>
          <w:tcPr>
            <w:tcW w:w="2829" w:type="dxa"/>
            <w:tcMar>
              <w:top w:w="29" w:type="dxa"/>
              <w:left w:w="115" w:type="dxa"/>
              <w:bottom w:w="29" w:type="dxa"/>
              <w:right w:w="115" w:type="dxa"/>
            </w:tcMar>
            <w:vAlign w:val="center"/>
          </w:tcPr>
          <w:p w14:paraId="13B5219B" w14:textId="08CF9E70" w:rsidR="00337682" w:rsidRPr="00DA1FB3" w:rsidRDefault="00337682" w:rsidP="00C439E4">
            <w:pPr>
              <w:pStyle w:val="Heading1"/>
              <w:spacing w:before="0" w:after="0" w:line="240" w:lineRule="auto"/>
              <w:jc w:val="both"/>
              <w:rPr>
                <w:rFonts w:ascii="Times New Roman" w:hAnsi="Times New Roman" w:cs="Times New Roman"/>
                <w:color w:val="auto"/>
                <w:sz w:val="24"/>
                <w:szCs w:val="24"/>
              </w:rPr>
            </w:pPr>
            <w:r w:rsidRPr="00DA1FB3">
              <w:rPr>
                <w:rFonts w:ascii="Times New Roman" w:hAnsi="Times New Roman" w:cs="Times New Roman"/>
                <w:color w:val="auto"/>
                <w:sz w:val="24"/>
                <w:szCs w:val="24"/>
              </w:rPr>
              <w:t>Informacijos šaltinis</w:t>
            </w:r>
          </w:p>
        </w:tc>
      </w:tr>
      <w:tr w:rsidR="005609B6" w:rsidRPr="00DA1FB3" w14:paraId="11245C39" w14:textId="77777777" w:rsidTr="003C075D">
        <w:trPr>
          <w:trHeight w:val="385"/>
        </w:trPr>
        <w:tc>
          <w:tcPr>
            <w:tcW w:w="9628" w:type="dxa"/>
            <w:gridSpan w:val="3"/>
            <w:tcMar>
              <w:top w:w="29" w:type="dxa"/>
              <w:left w:w="115" w:type="dxa"/>
              <w:bottom w:w="29" w:type="dxa"/>
              <w:right w:w="115" w:type="dxa"/>
            </w:tcMar>
            <w:vAlign w:val="center"/>
          </w:tcPr>
          <w:p w14:paraId="1937EA4D" w14:textId="4CF96A0D" w:rsidR="005609B6" w:rsidRPr="00DA1FB3" w:rsidRDefault="005609B6" w:rsidP="00C439E4">
            <w:pPr>
              <w:pStyle w:val="Heading1"/>
              <w:spacing w:before="0" w:after="0" w:line="240" w:lineRule="auto"/>
              <w:jc w:val="both"/>
              <w:rPr>
                <w:rFonts w:ascii="Times New Roman" w:hAnsi="Times New Roman" w:cs="Times New Roman"/>
                <w:b/>
                <w:bCs/>
                <w:color w:val="auto"/>
                <w:sz w:val="24"/>
                <w:szCs w:val="24"/>
              </w:rPr>
            </w:pPr>
            <w:r w:rsidRPr="00DA1FB3">
              <w:rPr>
                <w:rFonts w:ascii="Times New Roman" w:hAnsi="Times New Roman" w:cs="Times New Roman"/>
                <w:bCs/>
                <w:color w:val="auto"/>
                <w:sz w:val="24"/>
                <w:szCs w:val="24"/>
              </w:rPr>
              <w:t>Karinė pramonė</w:t>
            </w:r>
          </w:p>
        </w:tc>
      </w:tr>
      <w:tr w:rsidR="006B18B9" w:rsidRPr="00DA1FB3" w14:paraId="2D814150" w14:textId="77777777" w:rsidTr="000E271C">
        <w:trPr>
          <w:trHeight w:val="385"/>
        </w:trPr>
        <w:tc>
          <w:tcPr>
            <w:tcW w:w="1043" w:type="dxa"/>
            <w:tcMar>
              <w:top w:w="29" w:type="dxa"/>
              <w:left w:w="115" w:type="dxa"/>
              <w:bottom w:w="29" w:type="dxa"/>
              <w:right w:w="115" w:type="dxa"/>
            </w:tcMar>
            <w:vAlign w:val="center"/>
          </w:tcPr>
          <w:p w14:paraId="15966E48" w14:textId="0BA798F7" w:rsidR="006B18B9" w:rsidRPr="00DA1FB3" w:rsidRDefault="0080555E" w:rsidP="0080555E">
            <w:pPr>
              <w:pStyle w:val="Heading1"/>
              <w:spacing w:before="0" w:after="0" w:line="240" w:lineRule="auto"/>
              <w:rPr>
                <w:rFonts w:ascii="Times New Roman" w:hAnsi="Times New Roman" w:cs="Times New Roman"/>
                <w:color w:val="auto"/>
                <w:sz w:val="24"/>
                <w:szCs w:val="24"/>
              </w:rPr>
            </w:pPr>
            <w:r w:rsidRPr="00DA1FB3">
              <w:rPr>
                <w:rFonts w:ascii="Times New Roman" w:hAnsi="Times New Roman" w:cs="Times New Roman"/>
                <w:color w:val="auto"/>
                <w:sz w:val="24"/>
                <w:szCs w:val="24"/>
              </w:rPr>
              <w:t>2025-0</w:t>
            </w:r>
            <w:r w:rsidR="00E0538B" w:rsidRPr="00DA1FB3">
              <w:rPr>
                <w:rFonts w:ascii="Times New Roman" w:hAnsi="Times New Roman" w:cs="Times New Roman"/>
                <w:color w:val="auto"/>
                <w:sz w:val="24"/>
                <w:szCs w:val="24"/>
              </w:rPr>
              <w:t>8</w:t>
            </w:r>
            <w:r w:rsidRPr="00DA1FB3">
              <w:rPr>
                <w:rFonts w:ascii="Times New Roman" w:hAnsi="Times New Roman" w:cs="Times New Roman"/>
                <w:color w:val="auto"/>
                <w:sz w:val="24"/>
                <w:szCs w:val="24"/>
              </w:rPr>
              <w:t>-</w:t>
            </w:r>
            <w:r w:rsidR="00E0538B" w:rsidRPr="00DA1FB3">
              <w:rPr>
                <w:rFonts w:ascii="Times New Roman" w:hAnsi="Times New Roman" w:cs="Times New Roman"/>
                <w:color w:val="auto"/>
                <w:sz w:val="24"/>
                <w:szCs w:val="24"/>
              </w:rPr>
              <w:t>22</w:t>
            </w:r>
          </w:p>
        </w:tc>
        <w:tc>
          <w:tcPr>
            <w:tcW w:w="5756" w:type="dxa"/>
            <w:tcMar>
              <w:top w:w="29" w:type="dxa"/>
              <w:left w:w="115" w:type="dxa"/>
              <w:bottom w:w="29" w:type="dxa"/>
              <w:right w:w="115" w:type="dxa"/>
            </w:tcMar>
            <w:vAlign w:val="center"/>
          </w:tcPr>
          <w:p w14:paraId="4711828B" w14:textId="42A1B17B" w:rsidR="006B18B9" w:rsidRPr="00DA1FB3" w:rsidRDefault="008C41B3" w:rsidP="00C439E4">
            <w:pPr>
              <w:pStyle w:val="Heading1"/>
              <w:spacing w:before="0" w:after="0" w:line="240" w:lineRule="auto"/>
              <w:jc w:val="both"/>
              <w:rPr>
                <w:rFonts w:ascii="Times New Roman" w:hAnsi="Times New Roman" w:cs="Times New Roman"/>
                <w:color w:val="auto"/>
                <w:sz w:val="24"/>
                <w:szCs w:val="24"/>
              </w:rPr>
            </w:pPr>
            <w:r w:rsidRPr="00DA1FB3">
              <w:rPr>
                <w:rFonts w:ascii="Times New Roman" w:hAnsi="Times New Roman" w:cs="Times New Roman"/>
                <w:b/>
                <w:bCs/>
                <w:color w:val="auto"/>
                <w:sz w:val="24"/>
                <w:szCs w:val="24"/>
              </w:rPr>
              <w:t xml:space="preserve">Suomijos gynybos bendrovė „Summa Defence“ paskelbė, kad pirmieji jos gamybos dronai bus pristatyti į Ukrainą šiais metais. </w:t>
            </w:r>
            <w:r w:rsidRPr="00DA1FB3">
              <w:rPr>
                <w:rFonts w:ascii="Times New Roman" w:hAnsi="Times New Roman" w:cs="Times New Roman"/>
                <w:color w:val="auto"/>
                <w:sz w:val="24"/>
                <w:szCs w:val="24"/>
              </w:rPr>
              <w:t>Birželį oficialiai veiklą pradėjusi bendrovė įkūrė naujas gamybos patalpas pietų Suomijoje ir bendradarbiauja su Ukrainos partneriu prie pirmosios partijos gamybos. Pirmojoje finansinėje ataskaitoje nuo įtraukimo į biržos sąrašus „Summa Defence“ pranešė, kad balandžio–birželio mėn. pajamos siekė 21,5 mln. E</w:t>
            </w:r>
            <w:r w:rsidR="00034EAE" w:rsidRPr="00DA1FB3">
              <w:rPr>
                <w:rFonts w:ascii="Times New Roman" w:hAnsi="Times New Roman" w:cs="Times New Roman"/>
                <w:color w:val="auto"/>
                <w:sz w:val="24"/>
                <w:szCs w:val="24"/>
              </w:rPr>
              <w:t>ur</w:t>
            </w:r>
            <w:r w:rsidRPr="00DA1FB3">
              <w:rPr>
                <w:rFonts w:ascii="Times New Roman" w:hAnsi="Times New Roman" w:cs="Times New Roman"/>
                <w:color w:val="auto"/>
                <w:sz w:val="24"/>
                <w:szCs w:val="24"/>
              </w:rPr>
              <w:t>, o nuostolis siekė kiek daugiau nei 3 mln. E</w:t>
            </w:r>
            <w:r w:rsidR="00034EAE" w:rsidRPr="00DA1FB3">
              <w:rPr>
                <w:rFonts w:ascii="Times New Roman" w:hAnsi="Times New Roman" w:cs="Times New Roman"/>
                <w:color w:val="auto"/>
                <w:sz w:val="24"/>
                <w:szCs w:val="24"/>
              </w:rPr>
              <w:t>ur</w:t>
            </w:r>
            <w:r w:rsidRPr="00DA1FB3">
              <w:rPr>
                <w:rFonts w:ascii="Times New Roman" w:hAnsi="Times New Roman" w:cs="Times New Roman"/>
                <w:color w:val="auto"/>
                <w:sz w:val="24"/>
                <w:szCs w:val="24"/>
              </w:rPr>
              <w:t>, daugiausia dėl sudėtingų organizacinių diegimo išlaidų. Bendrovė siekia spartaus augimo, konsoliduodama kelias mažesnes su gynyba susijusias įmones po vienu skėčiu ir gamindama dvejopo naudojimo technologijas tiek karinėms, tiek civilinėms rinkoms.</w:t>
            </w:r>
          </w:p>
        </w:tc>
        <w:tc>
          <w:tcPr>
            <w:tcW w:w="2829" w:type="dxa"/>
            <w:tcMar>
              <w:top w:w="29" w:type="dxa"/>
              <w:left w:w="115" w:type="dxa"/>
              <w:bottom w:w="29" w:type="dxa"/>
              <w:right w:w="115" w:type="dxa"/>
            </w:tcMar>
            <w:vAlign w:val="center"/>
          </w:tcPr>
          <w:p w14:paraId="05C9E5CB" w14:textId="00FFEDAB" w:rsidR="006B18B9" w:rsidRPr="00DA1FB3" w:rsidRDefault="00E0538B" w:rsidP="00C439E4">
            <w:pPr>
              <w:pStyle w:val="Heading1"/>
              <w:spacing w:before="0" w:after="0" w:line="240" w:lineRule="auto"/>
              <w:jc w:val="both"/>
              <w:rPr>
                <w:rFonts w:ascii="Times New Roman" w:hAnsi="Times New Roman" w:cs="Times New Roman"/>
                <w:color w:val="auto"/>
                <w:sz w:val="24"/>
                <w:szCs w:val="24"/>
              </w:rPr>
            </w:pPr>
            <w:hyperlink r:id="rId8" w:history="1">
              <w:r w:rsidRPr="00DA1FB3">
                <w:rPr>
                  <w:rStyle w:val="Hyperlink"/>
                  <w:rFonts w:ascii="Times New Roman" w:hAnsi="Times New Roman" w:cs="Times New Roman"/>
                  <w:sz w:val="24"/>
                  <w:szCs w:val="24"/>
                </w:rPr>
                <w:t>https://www.hs.fi/talous/art-2000011444473.html</w:t>
              </w:r>
            </w:hyperlink>
            <w:r w:rsidRPr="00DA1FB3">
              <w:rPr>
                <w:rFonts w:ascii="Times New Roman" w:hAnsi="Times New Roman" w:cs="Times New Roman"/>
                <w:sz w:val="24"/>
                <w:szCs w:val="24"/>
              </w:rPr>
              <w:t xml:space="preserve"> </w:t>
            </w:r>
          </w:p>
        </w:tc>
      </w:tr>
      <w:tr w:rsidR="00615F28" w:rsidRPr="00DA1FB3" w14:paraId="2A576EC6" w14:textId="77777777" w:rsidTr="00AA2C6F">
        <w:trPr>
          <w:trHeight w:val="216"/>
        </w:trPr>
        <w:tc>
          <w:tcPr>
            <w:tcW w:w="9628" w:type="dxa"/>
            <w:gridSpan w:val="3"/>
            <w:tcMar>
              <w:top w:w="29" w:type="dxa"/>
              <w:left w:w="115" w:type="dxa"/>
              <w:bottom w:w="29" w:type="dxa"/>
              <w:right w:w="115" w:type="dxa"/>
            </w:tcMar>
          </w:tcPr>
          <w:p w14:paraId="36D52774" w14:textId="1A3D0BBA" w:rsidR="00615F28" w:rsidRPr="00DA1FB3" w:rsidRDefault="00615F28" w:rsidP="00615F28">
            <w:pPr>
              <w:spacing w:after="0" w:line="240" w:lineRule="auto"/>
              <w:jc w:val="both"/>
              <w:rPr>
                <w:rFonts w:ascii="Times New Roman" w:hAnsi="Times New Roman"/>
                <w:sz w:val="24"/>
                <w:szCs w:val="24"/>
              </w:rPr>
            </w:pPr>
            <w:r w:rsidRPr="00DA1FB3">
              <w:rPr>
                <w:rFonts w:ascii="Times New Roman" w:hAnsi="Times New Roman"/>
                <w:sz w:val="24"/>
                <w:szCs w:val="24"/>
              </w:rPr>
              <w:t>Bendra akreditacijos valstybių ekonominė informacija</w:t>
            </w:r>
          </w:p>
        </w:tc>
      </w:tr>
      <w:tr w:rsidR="00615F28" w:rsidRPr="00DA1FB3" w14:paraId="0612DC0B" w14:textId="77777777" w:rsidTr="000E271C">
        <w:trPr>
          <w:trHeight w:val="216"/>
        </w:trPr>
        <w:tc>
          <w:tcPr>
            <w:tcW w:w="1043" w:type="dxa"/>
            <w:tcMar>
              <w:top w:w="29" w:type="dxa"/>
              <w:left w:w="115" w:type="dxa"/>
              <w:bottom w:w="29" w:type="dxa"/>
              <w:right w:w="115" w:type="dxa"/>
            </w:tcMar>
          </w:tcPr>
          <w:p w14:paraId="77ADB1B3" w14:textId="7B84BB82" w:rsidR="00615F28" w:rsidRPr="00DA1FB3" w:rsidRDefault="00615F28" w:rsidP="00615F28">
            <w:pPr>
              <w:spacing w:after="0" w:line="240" w:lineRule="auto"/>
              <w:jc w:val="both"/>
              <w:rPr>
                <w:rFonts w:ascii="Times New Roman" w:hAnsi="Times New Roman"/>
                <w:sz w:val="24"/>
                <w:szCs w:val="24"/>
                <w:lang w:val="en-US"/>
              </w:rPr>
            </w:pPr>
            <w:r w:rsidRPr="00DA1FB3">
              <w:rPr>
                <w:rFonts w:ascii="Times New Roman" w:hAnsi="Times New Roman"/>
                <w:sz w:val="24"/>
                <w:szCs w:val="24"/>
              </w:rPr>
              <w:t>2025-0</w:t>
            </w:r>
            <w:r w:rsidR="00B41D40" w:rsidRPr="00DA1FB3">
              <w:rPr>
                <w:rFonts w:ascii="Times New Roman" w:hAnsi="Times New Roman"/>
                <w:sz w:val="24"/>
                <w:szCs w:val="24"/>
              </w:rPr>
              <w:t>8</w:t>
            </w:r>
            <w:r w:rsidRPr="00DA1FB3">
              <w:rPr>
                <w:rFonts w:ascii="Times New Roman" w:hAnsi="Times New Roman"/>
                <w:sz w:val="24"/>
                <w:szCs w:val="24"/>
              </w:rPr>
              <w:t>-</w:t>
            </w:r>
            <w:r w:rsidR="00B41D40" w:rsidRPr="00DA1FB3">
              <w:rPr>
                <w:rFonts w:ascii="Times New Roman" w:hAnsi="Times New Roman"/>
                <w:sz w:val="24"/>
                <w:szCs w:val="24"/>
              </w:rPr>
              <w:t>18</w:t>
            </w:r>
          </w:p>
        </w:tc>
        <w:tc>
          <w:tcPr>
            <w:tcW w:w="5756" w:type="dxa"/>
            <w:tcMar>
              <w:top w:w="29" w:type="dxa"/>
              <w:left w:w="115" w:type="dxa"/>
              <w:bottom w:w="29" w:type="dxa"/>
              <w:right w:w="115" w:type="dxa"/>
            </w:tcMar>
          </w:tcPr>
          <w:p w14:paraId="5D870CF9" w14:textId="5D21DFE7" w:rsidR="00615F28" w:rsidRPr="00DA1FB3" w:rsidRDefault="00E81710" w:rsidP="00615F28">
            <w:pPr>
              <w:spacing w:after="0" w:line="240" w:lineRule="auto"/>
              <w:jc w:val="both"/>
              <w:rPr>
                <w:rFonts w:ascii="Times New Roman" w:hAnsi="Times New Roman"/>
                <w:sz w:val="24"/>
                <w:szCs w:val="24"/>
              </w:rPr>
            </w:pPr>
            <w:r w:rsidRPr="00DA1FB3">
              <w:rPr>
                <w:rFonts w:ascii="Times New Roman" w:hAnsi="Times New Roman"/>
                <w:b/>
                <w:bCs/>
                <w:sz w:val="24"/>
                <w:szCs w:val="24"/>
              </w:rPr>
              <w:t>Suomijos ekonomikos tyrimų instituto „Etla“</w:t>
            </w:r>
            <w:r w:rsidR="003B22B1" w:rsidRPr="00DA1FB3">
              <w:rPr>
                <w:rFonts w:ascii="Times New Roman" w:hAnsi="Times New Roman"/>
                <w:b/>
                <w:bCs/>
                <w:sz w:val="24"/>
                <w:szCs w:val="24"/>
              </w:rPr>
              <w:t xml:space="preserve"> paskelbtoje ataskaitoje </w:t>
            </w:r>
            <w:r w:rsidRPr="00DA1FB3">
              <w:rPr>
                <w:rFonts w:ascii="Times New Roman" w:hAnsi="Times New Roman"/>
                <w:b/>
                <w:bCs/>
                <w:sz w:val="24"/>
                <w:szCs w:val="24"/>
              </w:rPr>
              <w:t>teigiama</w:t>
            </w:r>
            <w:r w:rsidR="003B22B1" w:rsidRPr="00DA1FB3">
              <w:rPr>
                <w:rFonts w:ascii="Times New Roman" w:hAnsi="Times New Roman"/>
                <w:b/>
                <w:bCs/>
                <w:sz w:val="24"/>
                <w:szCs w:val="24"/>
              </w:rPr>
              <w:t>, kad Suomijos ekonomikos augimas per pastarąjį dešimtmetį daugiausia rėmėsi tik dviem sektoriais: skaitmeninėmis paslaugomis ir socialinėmis bei sveikatos priežiūros paslaugomis.</w:t>
            </w:r>
            <w:r w:rsidR="003B22B1" w:rsidRPr="00DA1FB3">
              <w:rPr>
                <w:rFonts w:ascii="Times New Roman" w:hAnsi="Times New Roman"/>
                <w:sz w:val="24"/>
                <w:szCs w:val="24"/>
              </w:rPr>
              <w:t xml:space="preserve"> Nors šie sektoriai padidino užimtumą ir gyvenimo lygį, bendras produktyvumo augimas buvo ribotas, ypač </w:t>
            </w:r>
            <w:r w:rsidR="00574B66" w:rsidRPr="00DA1FB3">
              <w:rPr>
                <w:rFonts w:ascii="Times New Roman" w:hAnsi="Times New Roman"/>
                <w:sz w:val="24"/>
                <w:szCs w:val="24"/>
              </w:rPr>
              <w:t>viešomis lėšomis</w:t>
            </w:r>
            <w:r w:rsidR="003B22B1" w:rsidRPr="00DA1FB3">
              <w:rPr>
                <w:rFonts w:ascii="Times New Roman" w:hAnsi="Times New Roman"/>
                <w:sz w:val="24"/>
                <w:szCs w:val="24"/>
              </w:rPr>
              <w:t xml:space="preserve"> finansuojamame </w:t>
            </w:r>
            <w:r w:rsidR="00574B66" w:rsidRPr="00DA1FB3">
              <w:rPr>
                <w:rFonts w:ascii="Times New Roman" w:hAnsi="Times New Roman"/>
                <w:sz w:val="24"/>
                <w:szCs w:val="24"/>
              </w:rPr>
              <w:t>sveikatos ir socialinių paslaugų</w:t>
            </w:r>
            <w:r w:rsidR="003B22B1" w:rsidRPr="00DA1FB3">
              <w:rPr>
                <w:rFonts w:ascii="Times New Roman" w:hAnsi="Times New Roman"/>
                <w:sz w:val="24"/>
                <w:szCs w:val="24"/>
              </w:rPr>
              <w:t xml:space="preserve"> sektoriuje. Suomijos pajamos vienam gyventojui augo lėčiau nei kitose Šiaurės ir ES šalyse, nes užimtumo plėtra buvo palanki mažo našumo sektoriams. Ataskaitoje teigiama, kad spartesniam augimui reikėtų </w:t>
            </w:r>
            <w:r w:rsidR="001D2FEE" w:rsidRPr="00DA1FB3">
              <w:rPr>
                <w:rFonts w:ascii="Times New Roman" w:hAnsi="Times New Roman"/>
                <w:sz w:val="24"/>
                <w:szCs w:val="24"/>
              </w:rPr>
              <w:t>didinti</w:t>
            </w:r>
            <w:r w:rsidR="003B22B1" w:rsidRPr="00DA1FB3">
              <w:rPr>
                <w:rFonts w:ascii="Times New Roman" w:hAnsi="Times New Roman"/>
                <w:sz w:val="24"/>
                <w:szCs w:val="24"/>
              </w:rPr>
              <w:t xml:space="preserve"> užimtumą didelio našumo pramonės šak</w:t>
            </w:r>
            <w:r w:rsidR="001D2FEE" w:rsidRPr="00DA1FB3">
              <w:rPr>
                <w:rFonts w:ascii="Times New Roman" w:hAnsi="Times New Roman"/>
                <w:sz w:val="24"/>
                <w:szCs w:val="24"/>
              </w:rPr>
              <w:t>ose</w:t>
            </w:r>
            <w:r w:rsidR="003B22B1" w:rsidRPr="00DA1FB3">
              <w:rPr>
                <w:rFonts w:ascii="Times New Roman" w:hAnsi="Times New Roman"/>
                <w:sz w:val="24"/>
                <w:szCs w:val="24"/>
              </w:rPr>
              <w:t xml:space="preserve">, investuoti į darbo jėgą </w:t>
            </w:r>
            <w:r w:rsidR="001D2FEE" w:rsidRPr="00DA1FB3">
              <w:rPr>
                <w:rFonts w:ascii="Times New Roman" w:hAnsi="Times New Roman"/>
                <w:sz w:val="24"/>
                <w:szCs w:val="24"/>
              </w:rPr>
              <w:t>mažinančias</w:t>
            </w:r>
            <w:r w:rsidR="003B22B1" w:rsidRPr="00DA1FB3">
              <w:rPr>
                <w:rFonts w:ascii="Times New Roman" w:hAnsi="Times New Roman"/>
                <w:sz w:val="24"/>
                <w:szCs w:val="24"/>
              </w:rPr>
              <w:t xml:space="preserve"> technologijas gerovės paslaugų srityje</w:t>
            </w:r>
            <w:r w:rsidR="001D2FEE" w:rsidRPr="00DA1FB3">
              <w:rPr>
                <w:rFonts w:ascii="Times New Roman" w:hAnsi="Times New Roman"/>
                <w:sz w:val="24"/>
                <w:szCs w:val="24"/>
              </w:rPr>
              <w:t xml:space="preserve"> (sveikatos ir socialiniame sektoriuose)</w:t>
            </w:r>
            <w:r w:rsidR="003B22B1" w:rsidRPr="00DA1FB3">
              <w:rPr>
                <w:rFonts w:ascii="Times New Roman" w:hAnsi="Times New Roman"/>
                <w:sz w:val="24"/>
                <w:szCs w:val="24"/>
              </w:rPr>
              <w:t xml:space="preserve"> ir atgaivinti pagrindinius pramonės sektorius, tokius kaip miškininkystė, chemija ir metalo apdirbimas.</w:t>
            </w:r>
          </w:p>
        </w:tc>
        <w:tc>
          <w:tcPr>
            <w:tcW w:w="2829" w:type="dxa"/>
            <w:tcMar>
              <w:top w:w="29" w:type="dxa"/>
              <w:left w:w="115" w:type="dxa"/>
              <w:bottom w:w="29" w:type="dxa"/>
              <w:right w:w="115" w:type="dxa"/>
            </w:tcMar>
          </w:tcPr>
          <w:p w14:paraId="21098A7F" w14:textId="12B7A9D8" w:rsidR="00615F28" w:rsidRPr="00DA1FB3" w:rsidRDefault="00B41D40" w:rsidP="00615F28">
            <w:pPr>
              <w:spacing w:after="0" w:line="240" w:lineRule="auto"/>
              <w:jc w:val="both"/>
              <w:rPr>
                <w:rFonts w:ascii="Times New Roman" w:hAnsi="Times New Roman"/>
                <w:sz w:val="24"/>
                <w:szCs w:val="24"/>
              </w:rPr>
            </w:pPr>
            <w:hyperlink r:id="rId9" w:history="1">
              <w:r w:rsidRPr="00DA1FB3">
                <w:rPr>
                  <w:rStyle w:val="Hyperlink"/>
                  <w:rFonts w:ascii="Times New Roman" w:hAnsi="Times New Roman"/>
                  <w:sz w:val="24"/>
                  <w:szCs w:val="24"/>
                </w:rPr>
                <w:t>https://www.hs.fi/talous/art-2000011431681.html</w:t>
              </w:r>
            </w:hyperlink>
            <w:r w:rsidRPr="00DA1FB3">
              <w:rPr>
                <w:rFonts w:ascii="Times New Roman" w:hAnsi="Times New Roman"/>
                <w:sz w:val="24"/>
                <w:szCs w:val="24"/>
              </w:rPr>
              <w:t xml:space="preserve"> </w:t>
            </w:r>
          </w:p>
        </w:tc>
      </w:tr>
      <w:tr w:rsidR="00615F28" w:rsidRPr="00DA1FB3" w14:paraId="1C87F789" w14:textId="77777777" w:rsidTr="000E271C">
        <w:trPr>
          <w:trHeight w:val="216"/>
        </w:trPr>
        <w:tc>
          <w:tcPr>
            <w:tcW w:w="1043" w:type="dxa"/>
            <w:tcMar>
              <w:top w:w="29" w:type="dxa"/>
              <w:left w:w="115" w:type="dxa"/>
              <w:bottom w:w="29" w:type="dxa"/>
              <w:right w:w="115" w:type="dxa"/>
            </w:tcMar>
          </w:tcPr>
          <w:p w14:paraId="3EC32CF5" w14:textId="04652D43" w:rsidR="00615F28" w:rsidRPr="00DA1FB3" w:rsidRDefault="00A52037" w:rsidP="00615F28">
            <w:pPr>
              <w:spacing w:after="0" w:line="240" w:lineRule="auto"/>
              <w:jc w:val="both"/>
              <w:rPr>
                <w:rFonts w:ascii="Times New Roman" w:hAnsi="Times New Roman"/>
                <w:sz w:val="24"/>
                <w:szCs w:val="24"/>
              </w:rPr>
            </w:pPr>
            <w:r w:rsidRPr="00DA1FB3">
              <w:rPr>
                <w:rFonts w:ascii="Times New Roman" w:hAnsi="Times New Roman"/>
                <w:sz w:val="24"/>
                <w:szCs w:val="24"/>
              </w:rPr>
              <w:t>2025-08-19</w:t>
            </w:r>
          </w:p>
        </w:tc>
        <w:tc>
          <w:tcPr>
            <w:tcW w:w="5756" w:type="dxa"/>
            <w:tcMar>
              <w:top w:w="29" w:type="dxa"/>
              <w:left w:w="115" w:type="dxa"/>
              <w:bottom w:w="29" w:type="dxa"/>
              <w:right w:w="115" w:type="dxa"/>
            </w:tcMar>
          </w:tcPr>
          <w:p w14:paraId="60A09456" w14:textId="0B88229C" w:rsidR="00615F28" w:rsidRPr="00DA1FB3" w:rsidRDefault="003C60D7" w:rsidP="00615F28">
            <w:pPr>
              <w:spacing w:line="240" w:lineRule="auto"/>
              <w:jc w:val="both"/>
              <w:rPr>
                <w:rFonts w:ascii="Times New Roman" w:hAnsi="Times New Roman"/>
                <w:sz w:val="24"/>
                <w:szCs w:val="24"/>
              </w:rPr>
            </w:pPr>
            <w:r w:rsidRPr="00DA1FB3">
              <w:rPr>
                <w:rFonts w:ascii="Times New Roman" w:hAnsi="Times New Roman"/>
                <w:b/>
                <w:bCs/>
                <w:sz w:val="24"/>
                <w:szCs w:val="24"/>
              </w:rPr>
              <w:t>Suomijos bankas „OP“ padidino Suomijos ekonomikos prognozę, nurodydamas pagerėjusias ekonomines perspektyvas.</w:t>
            </w:r>
            <w:r w:rsidRPr="00DA1FB3">
              <w:rPr>
                <w:rFonts w:ascii="Times New Roman" w:hAnsi="Times New Roman"/>
                <w:sz w:val="24"/>
                <w:szCs w:val="24"/>
              </w:rPr>
              <w:t xml:space="preserve"> Banko ekonomistai prognozuoja, kad Suomijos BVP augimas </w:t>
            </w:r>
            <w:r w:rsidR="00DE0FBE" w:rsidRPr="00DA1FB3">
              <w:rPr>
                <w:rFonts w:ascii="Times New Roman" w:hAnsi="Times New Roman"/>
                <w:sz w:val="24"/>
                <w:szCs w:val="24"/>
              </w:rPr>
              <w:t>2026 m.</w:t>
            </w:r>
            <w:r w:rsidRPr="00DA1FB3">
              <w:rPr>
                <w:rFonts w:ascii="Times New Roman" w:hAnsi="Times New Roman"/>
                <w:sz w:val="24"/>
                <w:szCs w:val="24"/>
              </w:rPr>
              <w:t xml:space="preserve"> metais paspartės iki 2,0 %, palyginti su ankstesne 1,5 % prognoze. Šių metų augimo prognozė išlieka nepakitusi ir siekia 1,0 %. </w:t>
            </w:r>
            <w:r w:rsidR="00DE0FBE" w:rsidRPr="00DA1FB3">
              <w:rPr>
                <w:rFonts w:ascii="Times New Roman" w:hAnsi="Times New Roman"/>
                <w:sz w:val="24"/>
                <w:szCs w:val="24"/>
              </w:rPr>
              <w:t>„</w:t>
            </w:r>
            <w:r w:rsidRPr="00DA1FB3">
              <w:rPr>
                <w:rFonts w:ascii="Times New Roman" w:hAnsi="Times New Roman"/>
                <w:sz w:val="24"/>
                <w:szCs w:val="24"/>
              </w:rPr>
              <w:t>OP</w:t>
            </w:r>
            <w:r w:rsidR="00DE0FBE" w:rsidRPr="00DA1FB3">
              <w:rPr>
                <w:rFonts w:ascii="Times New Roman" w:hAnsi="Times New Roman"/>
                <w:sz w:val="24"/>
                <w:szCs w:val="24"/>
              </w:rPr>
              <w:t>“</w:t>
            </w:r>
            <w:r w:rsidRPr="00DA1FB3">
              <w:rPr>
                <w:rFonts w:ascii="Times New Roman" w:hAnsi="Times New Roman"/>
                <w:sz w:val="24"/>
                <w:szCs w:val="24"/>
              </w:rPr>
              <w:t xml:space="preserve"> teigia, kad geresnės perspektyvos kyla </w:t>
            </w:r>
            <w:r w:rsidRPr="00DA1FB3">
              <w:rPr>
                <w:rFonts w:ascii="Times New Roman" w:hAnsi="Times New Roman"/>
                <w:sz w:val="24"/>
                <w:szCs w:val="24"/>
              </w:rPr>
              <w:lastRenderedPageBreak/>
              <w:t>dėl mažesnių nei tikėtasi JAV importo tarifų, atsakomųjų tarifų nebuvimo</w:t>
            </w:r>
            <w:r w:rsidR="00DE0FBE" w:rsidRPr="00DA1FB3">
              <w:rPr>
                <w:rFonts w:ascii="Times New Roman" w:hAnsi="Times New Roman"/>
                <w:sz w:val="24"/>
                <w:szCs w:val="24"/>
              </w:rPr>
              <w:t>.</w:t>
            </w:r>
          </w:p>
        </w:tc>
        <w:tc>
          <w:tcPr>
            <w:tcW w:w="2829" w:type="dxa"/>
            <w:tcMar>
              <w:top w:w="29" w:type="dxa"/>
              <w:left w:w="115" w:type="dxa"/>
              <w:bottom w:w="29" w:type="dxa"/>
              <w:right w:w="115" w:type="dxa"/>
            </w:tcMar>
          </w:tcPr>
          <w:p w14:paraId="0B677F36" w14:textId="55E82822" w:rsidR="00615F28" w:rsidRPr="00DA1FB3" w:rsidRDefault="00A52037" w:rsidP="00615F28">
            <w:pPr>
              <w:spacing w:after="0" w:line="240" w:lineRule="auto"/>
              <w:jc w:val="both"/>
              <w:rPr>
                <w:rFonts w:ascii="Times New Roman" w:hAnsi="Times New Roman"/>
                <w:sz w:val="24"/>
                <w:szCs w:val="24"/>
              </w:rPr>
            </w:pPr>
            <w:hyperlink r:id="rId10" w:history="1">
              <w:r w:rsidRPr="00DA1FB3">
                <w:rPr>
                  <w:rStyle w:val="Hyperlink"/>
                  <w:rFonts w:ascii="Times New Roman" w:hAnsi="Times New Roman"/>
                  <w:sz w:val="24"/>
                  <w:szCs w:val="24"/>
                </w:rPr>
                <w:t>https://www.op.fi/en/op-financial-group/media/bulletins?id=yTasgfdFsjF_61VIh0RuHNGbez-TH2ZVUgh0</w:t>
              </w:r>
            </w:hyperlink>
            <w:r w:rsidRPr="00DA1FB3">
              <w:rPr>
                <w:rFonts w:ascii="Times New Roman" w:hAnsi="Times New Roman"/>
                <w:sz w:val="24"/>
                <w:szCs w:val="24"/>
              </w:rPr>
              <w:t xml:space="preserve"> </w:t>
            </w:r>
          </w:p>
        </w:tc>
      </w:tr>
      <w:tr w:rsidR="00615F28" w:rsidRPr="00DA1FB3" w14:paraId="53B95D0B" w14:textId="77777777" w:rsidTr="000E271C">
        <w:trPr>
          <w:trHeight w:val="216"/>
        </w:trPr>
        <w:tc>
          <w:tcPr>
            <w:tcW w:w="1043" w:type="dxa"/>
            <w:tcMar>
              <w:top w:w="29" w:type="dxa"/>
              <w:left w:w="115" w:type="dxa"/>
              <w:bottom w:w="29" w:type="dxa"/>
              <w:right w:w="115" w:type="dxa"/>
            </w:tcMar>
          </w:tcPr>
          <w:p w14:paraId="6EADD2B4" w14:textId="5FBAD4A7" w:rsidR="00615F28" w:rsidRPr="00DA1FB3" w:rsidRDefault="00615F28" w:rsidP="00615F28">
            <w:pPr>
              <w:spacing w:after="0" w:line="240" w:lineRule="auto"/>
              <w:jc w:val="both"/>
              <w:rPr>
                <w:rFonts w:ascii="Times New Roman" w:hAnsi="Times New Roman"/>
                <w:sz w:val="24"/>
                <w:szCs w:val="24"/>
                <w:lang w:val="en-US"/>
              </w:rPr>
            </w:pPr>
            <w:r w:rsidRPr="00DA1FB3">
              <w:rPr>
                <w:rFonts w:ascii="Times New Roman" w:hAnsi="Times New Roman"/>
                <w:sz w:val="24"/>
                <w:szCs w:val="24"/>
              </w:rPr>
              <w:t>2025-0</w:t>
            </w:r>
            <w:r w:rsidR="00BE56D3" w:rsidRPr="00DA1FB3">
              <w:rPr>
                <w:rFonts w:ascii="Times New Roman" w:hAnsi="Times New Roman"/>
                <w:sz w:val="24"/>
                <w:szCs w:val="24"/>
              </w:rPr>
              <w:t>8</w:t>
            </w:r>
            <w:r w:rsidRPr="00DA1FB3">
              <w:rPr>
                <w:rFonts w:ascii="Times New Roman" w:hAnsi="Times New Roman"/>
                <w:sz w:val="24"/>
                <w:szCs w:val="24"/>
              </w:rPr>
              <w:t>-</w:t>
            </w:r>
            <w:r w:rsidR="00BE56D3" w:rsidRPr="00DA1FB3">
              <w:rPr>
                <w:rFonts w:ascii="Times New Roman" w:hAnsi="Times New Roman"/>
                <w:sz w:val="24"/>
                <w:szCs w:val="24"/>
              </w:rPr>
              <w:t>20</w:t>
            </w:r>
          </w:p>
        </w:tc>
        <w:tc>
          <w:tcPr>
            <w:tcW w:w="5756" w:type="dxa"/>
            <w:tcMar>
              <w:top w:w="29" w:type="dxa"/>
              <w:left w:w="115" w:type="dxa"/>
              <w:bottom w:w="29" w:type="dxa"/>
              <w:right w:w="115" w:type="dxa"/>
            </w:tcMar>
          </w:tcPr>
          <w:p w14:paraId="4B5CA6F3" w14:textId="77777777" w:rsidR="00615F28" w:rsidRPr="00DA1FB3" w:rsidRDefault="00704294" w:rsidP="00615F28">
            <w:pPr>
              <w:spacing w:after="0" w:line="240" w:lineRule="auto"/>
              <w:jc w:val="both"/>
              <w:rPr>
                <w:rFonts w:ascii="Times New Roman" w:hAnsi="Times New Roman"/>
                <w:b/>
                <w:bCs/>
                <w:sz w:val="24"/>
                <w:szCs w:val="24"/>
              </w:rPr>
            </w:pPr>
            <w:r w:rsidRPr="00DA1FB3">
              <w:rPr>
                <w:rFonts w:ascii="Times New Roman" w:hAnsi="Times New Roman"/>
                <w:b/>
                <w:bCs/>
                <w:sz w:val="24"/>
                <w:szCs w:val="24"/>
              </w:rPr>
              <w:t>Remiantis Suomijos verslo ir politikos forumo (EVA) ataskaita, daugiau nei pusė</w:t>
            </w:r>
            <w:r w:rsidR="000A5503" w:rsidRPr="00DA1FB3">
              <w:rPr>
                <w:rFonts w:ascii="Times New Roman" w:hAnsi="Times New Roman"/>
                <w:b/>
                <w:bCs/>
                <w:sz w:val="24"/>
                <w:szCs w:val="24"/>
              </w:rPr>
              <w:t xml:space="preserve"> (57 </w:t>
            </w:r>
            <w:r w:rsidR="000A5503" w:rsidRPr="00DA1FB3">
              <w:rPr>
                <w:rFonts w:ascii="Times New Roman" w:hAnsi="Times New Roman"/>
                <w:b/>
                <w:bCs/>
                <w:sz w:val="24"/>
                <w:szCs w:val="24"/>
                <w:lang w:val="en-US"/>
              </w:rPr>
              <w:t>%</w:t>
            </w:r>
            <w:r w:rsidR="00E56C45" w:rsidRPr="00DA1FB3">
              <w:rPr>
                <w:rFonts w:ascii="Times New Roman" w:hAnsi="Times New Roman"/>
                <w:b/>
                <w:bCs/>
                <w:sz w:val="24"/>
                <w:szCs w:val="24"/>
                <w:lang w:val="en-US"/>
              </w:rPr>
              <w:t>;</w:t>
            </w:r>
            <w:r w:rsidR="000A5503" w:rsidRPr="00DA1FB3">
              <w:rPr>
                <w:rFonts w:ascii="Times New Roman" w:hAnsi="Times New Roman"/>
                <w:b/>
                <w:bCs/>
                <w:sz w:val="24"/>
                <w:szCs w:val="24"/>
                <w:lang w:val="en-US"/>
              </w:rPr>
              <w:t xml:space="preserve"> 1</w:t>
            </w:r>
            <w:r w:rsidR="00E56C45" w:rsidRPr="00DA1FB3">
              <w:rPr>
                <w:rFonts w:ascii="Times New Roman" w:hAnsi="Times New Roman"/>
                <w:b/>
                <w:bCs/>
                <w:sz w:val="24"/>
                <w:szCs w:val="24"/>
                <w:lang w:val="en-US"/>
              </w:rPr>
              <w:t xml:space="preserve">89 </w:t>
            </w:r>
            <w:r w:rsidR="00E56C45" w:rsidRPr="00DA1FB3">
              <w:rPr>
                <w:rFonts w:ascii="Times New Roman" w:hAnsi="Times New Roman"/>
                <w:b/>
                <w:bCs/>
                <w:sz w:val="24"/>
                <w:szCs w:val="24"/>
              </w:rPr>
              <w:t>tūkst.</w:t>
            </w:r>
            <w:r w:rsidR="000A5503" w:rsidRPr="00DA1FB3">
              <w:rPr>
                <w:rFonts w:ascii="Times New Roman" w:hAnsi="Times New Roman"/>
                <w:b/>
                <w:bCs/>
                <w:sz w:val="24"/>
                <w:szCs w:val="24"/>
              </w:rPr>
              <w:t>)</w:t>
            </w:r>
            <w:r w:rsidRPr="00DA1FB3">
              <w:rPr>
                <w:rFonts w:ascii="Times New Roman" w:hAnsi="Times New Roman"/>
                <w:b/>
                <w:bCs/>
                <w:sz w:val="24"/>
                <w:szCs w:val="24"/>
              </w:rPr>
              <w:t xml:space="preserve"> Suomijos bedarbių yra struktūr</w:t>
            </w:r>
            <w:r w:rsidR="00AD2DF2" w:rsidRPr="00DA1FB3">
              <w:rPr>
                <w:rFonts w:ascii="Times New Roman" w:hAnsi="Times New Roman"/>
                <w:b/>
                <w:bCs/>
                <w:sz w:val="24"/>
                <w:szCs w:val="24"/>
              </w:rPr>
              <w:t>iniai</w:t>
            </w:r>
            <w:r w:rsidRPr="00DA1FB3">
              <w:rPr>
                <w:rFonts w:ascii="Times New Roman" w:hAnsi="Times New Roman"/>
                <w:b/>
                <w:bCs/>
                <w:sz w:val="24"/>
                <w:szCs w:val="24"/>
              </w:rPr>
              <w:t xml:space="preserve"> bedarbiai</w:t>
            </w:r>
            <w:r w:rsidR="00AD2DF2" w:rsidRPr="00DA1FB3">
              <w:rPr>
                <w:rFonts w:ascii="Times New Roman" w:hAnsi="Times New Roman"/>
                <w:b/>
                <w:bCs/>
                <w:sz w:val="24"/>
                <w:szCs w:val="24"/>
              </w:rPr>
              <w:t>, t. y., š</w:t>
            </w:r>
            <w:r w:rsidRPr="00DA1FB3">
              <w:rPr>
                <w:rFonts w:ascii="Times New Roman" w:hAnsi="Times New Roman"/>
                <w:b/>
                <w:bCs/>
                <w:sz w:val="24"/>
                <w:szCs w:val="24"/>
              </w:rPr>
              <w:t xml:space="preserve">ių </w:t>
            </w:r>
            <w:r w:rsidR="00AD2DF2" w:rsidRPr="00DA1FB3">
              <w:rPr>
                <w:rFonts w:ascii="Times New Roman" w:hAnsi="Times New Roman"/>
                <w:b/>
                <w:bCs/>
                <w:sz w:val="24"/>
                <w:szCs w:val="24"/>
              </w:rPr>
              <w:t>bedarbių</w:t>
            </w:r>
            <w:r w:rsidRPr="00DA1FB3">
              <w:rPr>
                <w:rFonts w:ascii="Times New Roman" w:hAnsi="Times New Roman"/>
                <w:b/>
                <w:bCs/>
                <w:sz w:val="24"/>
                <w:szCs w:val="24"/>
              </w:rPr>
              <w:t xml:space="preserve"> neįmanoma įdarbinti vien dėl ekonomikos augimo, nes jiems dažnai trūksta reikiamų įgūdžių. </w:t>
            </w:r>
            <w:r w:rsidRPr="00DA1FB3">
              <w:rPr>
                <w:rFonts w:ascii="Times New Roman" w:hAnsi="Times New Roman"/>
                <w:sz w:val="24"/>
                <w:szCs w:val="24"/>
              </w:rPr>
              <w:t xml:space="preserve">Ypač nerimą kelia jaunimo nedarbas: birželio mėnesį 22 </w:t>
            </w:r>
            <w:r w:rsidR="00AD2DF2" w:rsidRPr="00DA1FB3">
              <w:rPr>
                <w:rFonts w:ascii="Times New Roman" w:hAnsi="Times New Roman"/>
                <w:sz w:val="24"/>
                <w:szCs w:val="24"/>
              </w:rPr>
              <w:t>%</w:t>
            </w:r>
            <w:r w:rsidRPr="00DA1FB3">
              <w:rPr>
                <w:rFonts w:ascii="Times New Roman" w:hAnsi="Times New Roman"/>
                <w:sz w:val="24"/>
                <w:szCs w:val="24"/>
              </w:rPr>
              <w:t xml:space="preserve"> 15–24 metų amžiaus darbo rinkoje esančių asmenų buvo bedarbiai, daugelis jų neturėjo darbo patirties. EVA siūlo trumpas mokymo schemas sektoriuose, kuriuose trūksta darbuotojų, įdarbinimo premijas įmonėms, samdančioms nekvalifikuotą jaunimą.</w:t>
            </w:r>
          </w:p>
          <w:p w14:paraId="36980EE0" w14:textId="77777777" w:rsidR="00973F84" w:rsidRPr="00DA1FB3" w:rsidRDefault="00973F84" w:rsidP="00615F28">
            <w:pPr>
              <w:spacing w:after="0" w:line="240" w:lineRule="auto"/>
              <w:jc w:val="both"/>
              <w:rPr>
                <w:rFonts w:ascii="Times New Roman" w:hAnsi="Times New Roman"/>
                <w:b/>
                <w:bCs/>
                <w:sz w:val="24"/>
                <w:szCs w:val="24"/>
              </w:rPr>
            </w:pPr>
          </w:p>
          <w:p w14:paraId="1D7940F9" w14:textId="7DE16FFA" w:rsidR="00973F84" w:rsidRPr="00DA1FB3" w:rsidRDefault="00973F84" w:rsidP="00615F28">
            <w:pPr>
              <w:spacing w:after="0" w:line="240" w:lineRule="auto"/>
              <w:jc w:val="both"/>
              <w:rPr>
                <w:rFonts w:ascii="Times New Roman" w:hAnsi="Times New Roman"/>
                <w:sz w:val="24"/>
                <w:szCs w:val="24"/>
              </w:rPr>
            </w:pPr>
            <w:r w:rsidRPr="00DA1FB3">
              <w:rPr>
                <w:rFonts w:ascii="Times New Roman" w:hAnsi="Times New Roman"/>
                <w:sz w:val="24"/>
                <w:szCs w:val="24"/>
              </w:rPr>
              <w:t>Suomijos ekonomikos ir užimtumo ministras Matias Marttinen teigia, kad vyriausybė iki rudens biudžeto sesijos rengia tikslines priemones jaunimo nedarbui mažinti</w:t>
            </w:r>
            <w:r w:rsidR="007E63DC" w:rsidRPr="00DA1FB3">
              <w:rPr>
                <w:rFonts w:ascii="Times New Roman" w:hAnsi="Times New Roman"/>
                <w:sz w:val="24"/>
                <w:szCs w:val="24"/>
              </w:rPr>
              <w:t xml:space="preserve"> – p</w:t>
            </w:r>
            <w:r w:rsidRPr="00DA1FB3">
              <w:rPr>
                <w:rFonts w:ascii="Times New Roman" w:hAnsi="Times New Roman"/>
                <w:sz w:val="24"/>
                <w:szCs w:val="24"/>
              </w:rPr>
              <w:t>lanuose numatytos paskatos darbdaviams samdyti nepatyrusius jaunuolius ir parama, kad jie galėtų pradėti dirbti ar mokytis. Vyriausybė taip pat siekia išplėsti bedarbių galimybes mokytis neprarandant išmokų, kartu išlaikant darbo paieškos reikalavimus. Nors nedarbas išaugo</w:t>
            </w:r>
            <w:r w:rsidR="002F748A" w:rsidRPr="00DA1FB3">
              <w:rPr>
                <w:rFonts w:ascii="Times New Roman" w:hAnsi="Times New Roman"/>
                <w:sz w:val="24"/>
                <w:szCs w:val="24"/>
              </w:rPr>
              <w:t xml:space="preserve">, ministras </w:t>
            </w:r>
            <w:r w:rsidRPr="00DA1FB3">
              <w:rPr>
                <w:rFonts w:ascii="Times New Roman" w:hAnsi="Times New Roman"/>
                <w:sz w:val="24"/>
                <w:szCs w:val="24"/>
              </w:rPr>
              <w:t>tvirtina, kad vyriausybė ir toliau siekia savo tikslo – iki 2027 m. sukurti 100 000 naujų darbo vietų.</w:t>
            </w:r>
          </w:p>
        </w:tc>
        <w:tc>
          <w:tcPr>
            <w:tcW w:w="2829" w:type="dxa"/>
            <w:tcMar>
              <w:top w:w="29" w:type="dxa"/>
              <w:left w:w="115" w:type="dxa"/>
              <w:bottom w:w="29" w:type="dxa"/>
              <w:right w:w="115" w:type="dxa"/>
            </w:tcMar>
          </w:tcPr>
          <w:p w14:paraId="4FBE546B" w14:textId="71971D1C" w:rsidR="00615F28" w:rsidRPr="00DA1FB3" w:rsidRDefault="00BE56D3" w:rsidP="00615F28">
            <w:pPr>
              <w:spacing w:after="0" w:line="240" w:lineRule="auto"/>
              <w:jc w:val="both"/>
              <w:rPr>
                <w:rFonts w:ascii="Times New Roman" w:hAnsi="Times New Roman"/>
                <w:sz w:val="24"/>
                <w:szCs w:val="24"/>
              </w:rPr>
            </w:pPr>
            <w:hyperlink r:id="rId11" w:history="1">
              <w:r w:rsidRPr="00DA1FB3">
                <w:rPr>
                  <w:rStyle w:val="Hyperlink"/>
                  <w:rFonts w:ascii="Times New Roman" w:hAnsi="Times New Roman"/>
                  <w:sz w:val="24"/>
                  <w:szCs w:val="24"/>
                </w:rPr>
                <w:t>https://www.eva.fi/blog/2025/08/20/yli-puolet-tyottomista-on-vaikeasti-tyollistettavia-rakennetyottomia-kolme-keinoa-nuorten-tyollistamiseen/</w:t>
              </w:r>
            </w:hyperlink>
            <w:r w:rsidRPr="00DA1FB3">
              <w:rPr>
                <w:rFonts w:ascii="Times New Roman" w:hAnsi="Times New Roman"/>
                <w:sz w:val="24"/>
                <w:szCs w:val="24"/>
              </w:rPr>
              <w:t xml:space="preserve"> </w:t>
            </w:r>
            <w:r w:rsidR="00F10861" w:rsidRPr="00DA1FB3">
              <w:rPr>
                <w:rFonts w:ascii="Times New Roman" w:hAnsi="Times New Roman"/>
                <w:sz w:val="24"/>
                <w:szCs w:val="24"/>
              </w:rPr>
              <w:t xml:space="preserve">, </w:t>
            </w:r>
            <w:hyperlink r:id="rId12" w:history="1">
              <w:r w:rsidR="00F10861" w:rsidRPr="00DA1FB3">
                <w:rPr>
                  <w:rStyle w:val="Hyperlink"/>
                  <w:rFonts w:ascii="Times New Roman" w:hAnsi="Times New Roman"/>
                  <w:sz w:val="24"/>
                  <w:szCs w:val="24"/>
                </w:rPr>
                <w:t>https://yle.fi/a/74-20178994</w:t>
              </w:r>
            </w:hyperlink>
            <w:r w:rsidR="00F10861" w:rsidRPr="00DA1FB3">
              <w:rPr>
                <w:rFonts w:ascii="Times New Roman" w:hAnsi="Times New Roman"/>
                <w:sz w:val="24"/>
                <w:szCs w:val="24"/>
              </w:rPr>
              <w:t xml:space="preserve"> </w:t>
            </w:r>
          </w:p>
        </w:tc>
      </w:tr>
      <w:tr w:rsidR="00615F28" w:rsidRPr="00DA1FB3" w14:paraId="2FA57D7E" w14:textId="77777777" w:rsidTr="000E271C">
        <w:trPr>
          <w:trHeight w:val="216"/>
        </w:trPr>
        <w:tc>
          <w:tcPr>
            <w:tcW w:w="1043" w:type="dxa"/>
            <w:tcMar>
              <w:top w:w="29" w:type="dxa"/>
              <w:left w:w="115" w:type="dxa"/>
              <w:bottom w:w="29" w:type="dxa"/>
              <w:right w:w="115" w:type="dxa"/>
            </w:tcMar>
          </w:tcPr>
          <w:p w14:paraId="34C61DDE" w14:textId="1FE5C609" w:rsidR="00615F28" w:rsidRPr="00DA1FB3" w:rsidRDefault="00615F28" w:rsidP="00615F28">
            <w:pPr>
              <w:spacing w:after="0" w:line="240" w:lineRule="auto"/>
              <w:jc w:val="both"/>
              <w:rPr>
                <w:rFonts w:ascii="Times New Roman" w:hAnsi="Times New Roman"/>
                <w:sz w:val="24"/>
                <w:szCs w:val="24"/>
              </w:rPr>
            </w:pPr>
            <w:r w:rsidRPr="00DA1FB3">
              <w:rPr>
                <w:rFonts w:ascii="Times New Roman" w:hAnsi="Times New Roman"/>
                <w:sz w:val="24"/>
                <w:szCs w:val="24"/>
              </w:rPr>
              <w:t>2025-0</w:t>
            </w:r>
            <w:r w:rsidR="0041021F" w:rsidRPr="00DA1FB3">
              <w:rPr>
                <w:rFonts w:ascii="Times New Roman" w:hAnsi="Times New Roman"/>
                <w:sz w:val="24"/>
                <w:szCs w:val="24"/>
              </w:rPr>
              <w:t>8</w:t>
            </w:r>
            <w:r w:rsidRPr="00DA1FB3">
              <w:rPr>
                <w:rFonts w:ascii="Times New Roman" w:hAnsi="Times New Roman"/>
                <w:sz w:val="24"/>
                <w:szCs w:val="24"/>
              </w:rPr>
              <w:t>-2</w:t>
            </w:r>
            <w:r w:rsidR="0041021F" w:rsidRPr="00DA1FB3">
              <w:rPr>
                <w:rFonts w:ascii="Times New Roman" w:hAnsi="Times New Roman"/>
                <w:sz w:val="24"/>
                <w:szCs w:val="24"/>
              </w:rPr>
              <w:t>7</w:t>
            </w:r>
          </w:p>
        </w:tc>
        <w:tc>
          <w:tcPr>
            <w:tcW w:w="5756" w:type="dxa"/>
            <w:tcMar>
              <w:top w:w="29" w:type="dxa"/>
              <w:left w:w="115" w:type="dxa"/>
              <w:bottom w:w="29" w:type="dxa"/>
              <w:right w:w="115" w:type="dxa"/>
            </w:tcMar>
          </w:tcPr>
          <w:p w14:paraId="2F74913C" w14:textId="3F4BD0A5" w:rsidR="00615F28" w:rsidRPr="00DA1FB3" w:rsidRDefault="00F93330" w:rsidP="00615F28">
            <w:pPr>
              <w:spacing w:after="0" w:line="240" w:lineRule="auto"/>
              <w:jc w:val="both"/>
              <w:rPr>
                <w:rFonts w:ascii="Times New Roman" w:hAnsi="Times New Roman"/>
                <w:sz w:val="24"/>
                <w:szCs w:val="24"/>
              </w:rPr>
            </w:pPr>
            <w:r w:rsidRPr="00DA1FB3">
              <w:rPr>
                <w:rFonts w:ascii="Times New Roman" w:hAnsi="Times New Roman"/>
                <w:b/>
                <w:bCs/>
                <w:sz w:val="24"/>
                <w:szCs w:val="24"/>
              </w:rPr>
              <w:t xml:space="preserve">Konsultacinės įmonės </w:t>
            </w:r>
            <w:r w:rsidR="00832814" w:rsidRPr="00DA1FB3">
              <w:rPr>
                <w:rFonts w:ascii="Times New Roman" w:hAnsi="Times New Roman"/>
                <w:b/>
                <w:bCs/>
                <w:sz w:val="24"/>
                <w:szCs w:val="24"/>
              </w:rPr>
              <w:t xml:space="preserve">„McKinsey“ tyrimas rodo, kad didžiausios Suomijos listinguojamos bendrovės gerokai atsilieka nuo pasaulinių konkurentų – per pastarąjį dešimtmetį </w:t>
            </w:r>
            <w:r w:rsidR="003D104C" w:rsidRPr="00DA1FB3">
              <w:rPr>
                <w:rFonts w:ascii="Times New Roman" w:hAnsi="Times New Roman"/>
                <w:b/>
                <w:bCs/>
                <w:sz w:val="24"/>
                <w:szCs w:val="24"/>
              </w:rPr>
              <w:t>Suomijos bendrovių</w:t>
            </w:r>
            <w:r w:rsidR="00832814" w:rsidRPr="00DA1FB3">
              <w:rPr>
                <w:rFonts w:ascii="Times New Roman" w:hAnsi="Times New Roman"/>
                <w:b/>
                <w:bCs/>
                <w:sz w:val="24"/>
                <w:szCs w:val="24"/>
              </w:rPr>
              <w:t xml:space="preserve"> metinis pajamų augimas siekė tik 3 %, palyginti su 8 % </w:t>
            </w:r>
            <w:r w:rsidR="001522CB" w:rsidRPr="00DA1FB3">
              <w:rPr>
                <w:rFonts w:ascii="Times New Roman" w:hAnsi="Times New Roman"/>
                <w:b/>
                <w:bCs/>
                <w:sz w:val="24"/>
                <w:szCs w:val="24"/>
              </w:rPr>
              <w:t>augimu pas konkurentus</w:t>
            </w:r>
            <w:r w:rsidR="00832814" w:rsidRPr="00DA1FB3">
              <w:rPr>
                <w:rFonts w:ascii="Times New Roman" w:hAnsi="Times New Roman"/>
                <w:b/>
                <w:bCs/>
                <w:sz w:val="24"/>
                <w:szCs w:val="24"/>
              </w:rPr>
              <w:t xml:space="preserve">. </w:t>
            </w:r>
            <w:r w:rsidR="00832814" w:rsidRPr="00DA1FB3">
              <w:rPr>
                <w:rFonts w:ascii="Times New Roman" w:hAnsi="Times New Roman"/>
                <w:sz w:val="24"/>
                <w:szCs w:val="24"/>
              </w:rPr>
              <w:t>Šis trūkumas kyla dėl menkų išlaidų moksliniams tyrimams ir plėtrai, nedidelio įsigijimų skaičiaus ir rizikos vengiančios įmonių kultūros. Akcininkai patyrė mažesnę grąžą, nes įmonės teikia pirmenybę dideliems dividendams, o ne reinvesticijoms. Ekspertai teigia, kad reikia stipresnių paskatų, didesnio nesėkmės toleravimo ir drąsesnių inovacijų. „McKinsey“ skaičiuoja, kad Suomijos gigantų apyvarta būtų 80 mlrd. E</w:t>
            </w:r>
            <w:r w:rsidR="00AC2795">
              <w:rPr>
                <w:rFonts w:ascii="Times New Roman" w:hAnsi="Times New Roman"/>
                <w:sz w:val="24"/>
                <w:szCs w:val="24"/>
              </w:rPr>
              <w:t>ur</w:t>
            </w:r>
            <w:r w:rsidR="00832814" w:rsidRPr="00DA1FB3">
              <w:rPr>
                <w:rFonts w:ascii="Times New Roman" w:hAnsi="Times New Roman"/>
                <w:sz w:val="24"/>
                <w:szCs w:val="24"/>
              </w:rPr>
              <w:t xml:space="preserve"> didesnė, jei jų augimo tempai būtų pasiekę pasaulinį lygį.</w:t>
            </w:r>
          </w:p>
        </w:tc>
        <w:tc>
          <w:tcPr>
            <w:tcW w:w="2829" w:type="dxa"/>
            <w:tcMar>
              <w:top w:w="29" w:type="dxa"/>
              <w:left w:w="115" w:type="dxa"/>
              <w:bottom w:w="29" w:type="dxa"/>
              <w:right w:w="115" w:type="dxa"/>
            </w:tcMar>
          </w:tcPr>
          <w:p w14:paraId="25F47E7E" w14:textId="67F7127F" w:rsidR="00615F28" w:rsidRPr="00DA1FB3" w:rsidRDefault="004739B3" w:rsidP="00615F28">
            <w:pPr>
              <w:spacing w:after="0" w:line="240" w:lineRule="auto"/>
              <w:jc w:val="both"/>
              <w:rPr>
                <w:rFonts w:ascii="Times New Roman" w:hAnsi="Times New Roman"/>
                <w:sz w:val="24"/>
                <w:szCs w:val="24"/>
              </w:rPr>
            </w:pPr>
            <w:hyperlink r:id="rId13" w:history="1">
              <w:r w:rsidRPr="00DA1FB3">
                <w:rPr>
                  <w:rStyle w:val="Hyperlink"/>
                  <w:rFonts w:ascii="Times New Roman" w:hAnsi="Times New Roman"/>
                  <w:sz w:val="24"/>
                  <w:szCs w:val="24"/>
                </w:rPr>
                <w:t>https://www.mckinsey.com/capabilities/strategy-and-corporate-finance/our-insights/seizing-finlands-growth-opportunity</w:t>
              </w:r>
            </w:hyperlink>
            <w:r w:rsidRPr="00DA1FB3">
              <w:rPr>
                <w:rFonts w:ascii="Times New Roman" w:hAnsi="Times New Roman"/>
                <w:sz w:val="24"/>
                <w:szCs w:val="24"/>
              </w:rPr>
              <w:t xml:space="preserve">  </w:t>
            </w:r>
            <w:r w:rsidR="00615F28" w:rsidRPr="00DA1FB3">
              <w:rPr>
                <w:rFonts w:ascii="Times New Roman" w:hAnsi="Times New Roman"/>
                <w:sz w:val="24"/>
                <w:szCs w:val="24"/>
              </w:rPr>
              <w:t xml:space="preserve">  </w:t>
            </w:r>
          </w:p>
        </w:tc>
      </w:tr>
      <w:tr w:rsidR="00A61283" w:rsidRPr="00DA1FB3" w14:paraId="60F9FE8A" w14:textId="77777777" w:rsidTr="000E271C">
        <w:trPr>
          <w:trHeight w:val="216"/>
        </w:trPr>
        <w:tc>
          <w:tcPr>
            <w:tcW w:w="1043" w:type="dxa"/>
            <w:tcMar>
              <w:top w:w="29" w:type="dxa"/>
              <w:left w:w="115" w:type="dxa"/>
              <w:bottom w:w="29" w:type="dxa"/>
              <w:right w:w="115" w:type="dxa"/>
            </w:tcMar>
          </w:tcPr>
          <w:p w14:paraId="2DDC0CF1" w14:textId="2C34D068" w:rsidR="00A61283" w:rsidRPr="00DA1FB3" w:rsidRDefault="00A61283" w:rsidP="00A61283">
            <w:pPr>
              <w:spacing w:after="0" w:line="240" w:lineRule="auto"/>
              <w:jc w:val="both"/>
              <w:rPr>
                <w:rFonts w:ascii="Times New Roman" w:hAnsi="Times New Roman"/>
                <w:sz w:val="24"/>
                <w:szCs w:val="24"/>
              </w:rPr>
            </w:pPr>
            <w:r w:rsidRPr="00DA1FB3">
              <w:rPr>
                <w:rFonts w:ascii="Times New Roman" w:hAnsi="Times New Roman"/>
                <w:sz w:val="24"/>
                <w:szCs w:val="24"/>
              </w:rPr>
              <w:t>2025-08-18</w:t>
            </w:r>
          </w:p>
        </w:tc>
        <w:tc>
          <w:tcPr>
            <w:tcW w:w="5756" w:type="dxa"/>
            <w:tcMar>
              <w:top w:w="29" w:type="dxa"/>
              <w:left w:w="115" w:type="dxa"/>
              <w:bottom w:w="29" w:type="dxa"/>
              <w:right w:w="115" w:type="dxa"/>
            </w:tcMar>
          </w:tcPr>
          <w:p w14:paraId="6DE951F7" w14:textId="012BF8F5" w:rsidR="00A61283" w:rsidRPr="00DA1FB3" w:rsidRDefault="00A61283" w:rsidP="00A61283">
            <w:pPr>
              <w:spacing w:after="0" w:line="240" w:lineRule="auto"/>
              <w:jc w:val="both"/>
              <w:rPr>
                <w:rFonts w:ascii="Times New Roman" w:hAnsi="Times New Roman"/>
                <w:b/>
                <w:bCs/>
                <w:sz w:val="24"/>
                <w:szCs w:val="24"/>
              </w:rPr>
            </w:pPr>
            <w:r w:rsidRPr="00DA1FB3">
              <w:rPr>
                <w:rFonts w:ascii="Times New Roman" w:hAnsi="Times New Roman"/>
                <w:b/>
                <w:bCs/>
                <w:sz w:val="24"/>
                <w:szCs w:val="24"/>
              </w:rPr>
              <w:t>Suomijos verslo ir investicijų plėtros agentūra „Business Finland“ ketina sumažinti darbuotojų skaičių 65 etatais.</w:t>
            </w:r>
            <w:r w:rsidRPr="00DA1FB3">
              <w:rPr>
                <w:rFonts w:ascii="Times New Roman" w:hAnsi="Times New Roman"/>
                <w:sz w:val="24"/>
                <w:szCs w:val="24"/>
              </w:rPr>
              <w:t xml:space="preserve"> Šis atleidimas numatytas įgyvendinant planuojamas organizacines reformas, susijusias su strategijos atnaujinimu ir vyriausybės produktyvumo programa. Derybose dalyvaus visi „Business Finland“ darbuotojai, išskyrus tuos, kurie metų pabaigoje bus perkelti į Užsienio reikalų ministeriją, nes užsienio </w:t>
            </w:r>
            <w:r w:rsidRPr="00DA1FB3">
              <w:rPr>
                <w:rFonts w:ascii="Times New Roman" w:hAnsi="Times New Roman"/>
                <w:sz w:val="24"/>
                <w:szCs w:val="24"/>
              </w:rPr>
              <w:lastRenderedPageBreak/>
              <w:t>rinkoms skirta „Business Finland“ dalis bus perkelta į URM. Generalinis direktorius pabrėžia, kad organizacija dalyvaus vyriausybės efektyvumo didinimo priemonėse ir toliau rems Suomijos ekonomikos augimą, pritraukdama investicijas, talentus ir turizmą bei padėdama įmonėms diegti inovacijas.</w:t>
            </w:r>
          </w:p>
        </w:tc>
        <w:tc>
          <w:tcPr>
            <w:tcW w:w="2829" w:type="dxa"/>
            <w:tcMar>
              <w:top w:w="29" w:type="dxa"/>
              <w:left w:w="115" w:type="dxa"/>
              <w:bottom w:w="29" w:type="dxa"/>
              <w:right w:w="115" w:type="dxa"/>
            </w:tcMar>
          </w:tcPr>
          <w:p w14:paraId="2AFA5775" w14:textId="0EFA73F2" w:rsidR="00A61283" w:rsidRPr="00DA1FB3" w:rsidRDefault="00A61283" w:rsidP="00A61283">
            <w:pPr>
              <w:spacing w:after="0" w:line="240" w:lineRule="auto"/>
              <w:jc w:val="both"/>
              <w:rPr>
                <w:rFonts w:ascii="Times New Roman" w:hAnsi="Times New Roman"/>
                <w:sz w:val="24"/>
                <w:szCs w:val="24"/>
              </w:rPr>
            </w:pPr>
            <w:hyperlink r:id="rId14" w:history="1">
              <w:r w:rsidRPr="00DA1FB3">
                <w:rPr>
                  <w:rStyle w:val="Hyperlink"/>
                  <w:rFonts w:ascii="Times New Roman" w:hAnsi="Times New Roman"/>
                  <w:sz w:val="24"/>
                  <w:szCs w:val="24"/>
                </w:rPr>
                <w:t>https://yle.fi/a/74-20178094</w:t>
              </w:r>
            </w:hyperlink>
            <w:r w:rsidRPr="00DA1FB3">
              <w:rPr>
                <w:rFonts w:ascii="Times New Roman" w:hAnsi="Times New Roman"/>
                <w:sz w:val="24"/>
                <w:szCs w:val="24"/>
              </w:rPr>
              <w:t xml:space="preserve">, </w:t>
            </w:r>
            <w:hyperlink r:id="rId15" w:history="1">
              <w:r w:rsidRPr="00DA1FB3">
                <w:rPr>
                  <w:rStyle w:val="Hyperlink"/>
                  <w:rFonts w:ascii="Times New Roman" w:hAnsi="Times New Roman"/>
                  <w:sz w:val="24"/>
                  <w:szCs w:val="24"/>
                </w:rPr>
                <w:t>https://www.hs.fi/talous/art-2000011435973.html</w:t>
              </w:r>
            </w:hyperlink>
            <w:r w:rsidRPr="00DA1FB3">
              <w:rPr>
                <w:rFonts w:ascii="Times New Roman" w:hAnsi="Times New Roman"/>
                <w:sz w:val="24"/>
                <w:szCs w:val="24"/>
              </w:rPr>
              <w:t xml:space="preserve">  </w:t>
            </w:r>
          </w:p>
        </w:tc>
      </w:tr>
      <w:tr w:rsidR="00EE2C4B" w:rsidRPr="00DA1FB3" w14:paraId="48AF6D8F" w14:textId="77777777" w:rsidTr="000E271C">
        <w:trPr>
          <w:trHeight w:val="216"/>
        </w:trPr>
        <w:tc>
          <w:tcPr>
            <w:tcW w:w="1043" w:type="dxa"/>
            <w:tcMar>
              <w:top w:w="29" w:type="dxa"/>
              <w:left w:w="115" w:type="dxa"/>
              <w:bottom w:w="29" w:type="dxa"/>
              <w:right w:w="115" w:type="dxa"/>
            </w:tcMar>
          </w:tcPr>
          <w:p w14:paraId="11093072" w14:textId="3FF1F0C2" w:rsidR="00EE2C4B" w:rsidRPr="00DA1FB3" w:rsidRDefault="00EE2C4B" w:rsidP="00EE2C4B">
            <w:pPr>
              <w:spacing w:after="0" w:line="240" w:lineRule="auto"/>
              <w:jc w:val="both"/>
              <w:rPr>
                <w:rFonts w:ascii="Times New Roman" w:hAnsi="Times New Roman"/>
                <w:sz w:val="24"/>
                <w:szCs w:val="24"/>
              </w:rPr>
            </w:pPr>
            <w:r>
              <w:rPr>
                <w:rFonts w:ascii="Times New Roman" w:hAnsi="Times New Roman"/>
                <w:sz w:val="24"/>
                <w:szCs w:val="24"/>
              </w:rPr>
              <w:t>2025-08-08</w:t>
            </w:r>
          </w:p>
        </w:tc>
        <w:tc>
          <w:tcPr>
            <w:tcW w:w="5756" w:type="dxa"/>
            <w:tcMar>
              <w:top w:w="29" w:type="dxa"/>
              <w:left w:w="115" w:type="dxa"/>
              <w:bottom w:w="29" w:type="dxa"/>
              <w:right w:w="115" w:type="dxa"/>
            </w:tcMar>
          </w:tcPr>
          <w:p w14:paraId="2894506B" w14:textId="5F541BAD" w:rsidR="00EE2C4B" w:rsidRPr="00DA1FB3" w:rsidRDefault="00EE2C4B" w:rsidP="00EE2C4B">
            <w:pPr>
              <w:spacing w:after="0" w:line="240" w:lineRule="auto"/>
              <w:jc w:val="both"/>
              <w:rPr>
                <w:rFonts w:ascii="Times New Roman" w:hAnsi="Times New Roman"/>
                <w:b/>
                <w:bCs/>
                <w:sz w:val="24"/>
                <w:szCs w:val="24"/>
              </w:rPr>
            </w:pPr>
            <w:r w:rsidRPr="00035DA2">
              <w:rPr>
                <w:rFonts w:ascii="Times New Roman" w:hAnsi="Times New Roman"/>
                <w:b/>
                <w:bCs/>
                <w:sz w:val="24"/>
                <w:szCs w:val="24"/>
              </w:rPr>
              <w:t xml:space="preserve">Rugpjūčio pradžioje Suomijos finansų ministrė Riikka Purra pristatė 2026 metų valstybės biudžeto pirminį variantą, kurio pagrindinis tikslas – stabilizuoti šalies viešuosius finansus ir sustabdyti skolos augimą iki 2027 metų. </w:t>
            </w:r>
            <w:r>
              <w:rPr>
                <w:rFonts w:ascii="Times New Roman" w:hAnsi="Times New Roman"/>
                <w:sz w:val="24"/>
                <w:szCs w:val="24"/>
              </w:rPr>
              <w:t>Pirminiame pasiūlyme b</w:t>
            </w:r>
            <w:r w:rsidRPr="00206FFE">
              <w:rPr>
                <w:rFonts w:ascii="Times New Roman" w:hAnsi="Times New Roman"/>
                <w:sz w:val="24"/>
                <w:szCs w:val="24"/>
              </w:rPr>
              <w:t>iudžeto apimtis siek</w:t>
            </w:r>
            <w:r>
              <w:rPr>
                <w:rFonts w:ascii="Times New Roman" w:hAnsi="Times New Roman"/>
                <w:sz w:val="24"/>
                <w:szCs w:val="24"/>
              </w:rPr>
              <w:t>tų</w:t>
            </w:r>
            <w:r w:rsidRPr="00206FFE">
              <w:rPr>
                <w:rFonts w:ascii="Times New Roman" w:hAnsi="Times New Roman"/>
                <w:sz w:val="24"/>
                <w:szCs w:val="24"/>
              </w:rPr>
              <w:t xml:space="preserve"> 8</w:t>
            </w:r>
            <w:r w:rsidR="00041870">
              <w:rPr>
                <w:rFonts w:ascii="Times New Roman" w:hAnsi="Times New Roman"/>
                <w:sz w:val="24"/>
                <w:szCs w:val="24"/>
              </w:rPr>
              <w:t>9</w:t>
            </w:r>
            <w:r w:rsidRPr="00206FFE">
              <w:rPr>
                <w:rFonts w:ascii="Times New Roman" w:hAnsi="Times New Roman"/>
                <w:sz w:val="24"/>
                <w:szCs w:val="24"/>
              </w:rPr>
              <w:t>,</w:t>
            </w:r>
            <w:r w:rsidR="00041870">
              <w:rPr>
                <w:rFonts w:ascii="Times New Roman" w:hAnsi="Times New Roman"/>
                <w:sz w:val="24"/>
                <w:szCs w:val="24"/>
              </w:rPr>
              <w:t>6</w:t>
            </w:r>
            <w:r w:rsidRPr="00206FFE">
              <w:rPr>
                <w:rFonts w:ascii="Times New Roman" w:hAnsi="Times New Roman"/>
                <w:sz w:val="24"/>
                <w:szCs w:val="24"/>
              </w:rPr>
              <w:t xml:space="preserve"> mlrd. </w:t>
            </w:r>
            <w:r>
              <w:rPr>
                <w:rFonts w:ascii="Times New Roman" w:hAnsi="Times New Roman"/>
                <w:sz w:val="24"/>
                <w:szCs w:val="24"/>
              </w:rPr>
              <w:t>Eur</w:t>
            </w:r>
            <w:r w:rsidRPr="00206FFE">
              <w:rPr>
                <w:rFonts w:ascii="Times New Roman" w:hAnsi="Times New Roman"/>
                <w:sz w:val="24"/>
                <w:szCs w:val="24"/>
              </w:rPr>
              <w:t xml:space="preserve">, o deficitas – </w:t>
            </w:r>
            <w:r>
              <w:rPr>
                <w:rFonts w:ascii="Times New Roman" w:hAnsi="Times New Roman"/>
                <w:sz w:val="24"/>
                <w:szCs w:val="24"/>
              </w:rPr>
              <w:t>9,9</w:t>
            </w:r>
            <w:r w:rsidRPr="00206FFE">
              <w:rPr>
                <w:rFonts w:ascii="Times New Roman" w:hAnsi="Times New Roman"/>
                <w:sz w:val="24"/>
                <w:szCs w:val="24"/>
              </w:rPr>
              <w:t xml:space="preserve"> mlrd. </w:t>
            </w:r>
            <w:r>
              <w:rPr>
                <w:rFonts w:ascii="Times New Roman" w:hAnsi="Times New Roman"/>
                <w:sz w:val="24"/>
                <w:szCs w:val="24"/>
              </w:rPr>
              <w:t xml:space="preserve">Eur. Visgi, šis pasiūlymas nebuvo palankiai sutiktas tarp koalicijos partnerių, nes nebuvo išdiskutuotas. Ministras pirmininkas P. Orpo sukūrė darbo grupę, diskutavusią dėl potencialių pasiūlymų biudžetui, o rezultatai pristatyti rugsėjo 1–2 d. vykusioms visos vyriausybės diskusijoms dėl biudžeto. </w:t>
            </w:r>
            <w:r w:rsidRPr="00EE2C4B">
              <w:rPr>
                <w:rFonts w:ascii="Times New Roman" w:hAnsi="Times New Roman"/>
                <w:sz w:val="24"/>
                <w:szCs w:val="24"/>
              </w:rPr>
              <w:t xml:space="preserve">Rugsėjo 22 d. vyriausybė teiks parlamentui svarstyti </w:t>
            </w:r>
            <w:r w:rsidR="00051675">
              <w:rPr>
                <w:rFonts w:ascii="Times New Roman" w:hAnsi="Times New Roman"/>
                <w:sz w:val="24"/>
                <w:szCs w:val="24"/>
              </w:rPr>
              <w:t xml:space="preserve">atnaujintą </w:t>
            </w:r>
            <w:r w:rsidRPr="00EE2C4B">
              <w:rPr>
                <w:rFonts w:ascii="Times New Roman" w:hAnsi="Times New Roman"/>
                <w:sz w:val="24"/>
                <w:szCs w:val="24"/>
              </w:rPr>
              <w:t>biudžeto pasiūlymą. Tradiciškai, metų pabaigoje biudžetas priimamas.</w:t>
            </w:r>
          </w:p>
        </w:tc>
        <w:tc>
          <w:tcPr>
            <w:tcW w:w="2829" w:type="dxa"/>
            <w:tcMar>
              <w:top w:w="29" w:type="dxa"/>
              <w:left w:w="115" w:type="dxa"/>
              <w:bottom w:w="29" w:type="dxa"/>
              <w:right w:w="115" w:type="dxa"/>
            </w:tcMar>
          </w:tcPr>
          <w:p w14:paraId="4A2FF787" w14:textId="3697B5EE" w:rsidR="00344E82" w:rsidRDefault="00344E82" w:rsidP="00EE2C4B">
            <w:pPr>
              <w:spacing w:after="0" w:line="240" w:lineRule="auto"/>
              <w:jc w:val="both"/>
            </w:pPr>
            <w:hyperlink r:id="rId16" w:history="1">
              <w:r w:rsidRPr="005B21F4">
                <w:rPr>
                  <w:rStyle w:val="Hyperlink"/>
                </w:rPr>
                <w:t>https://valtioneuvosto.fi/en/-/10623/draft-budget-of-minister-of-finance-riikka-purra-to-stabilise-the-debt-ratio-budget-deficit-to-be-reduced-to-below-eur-10-billion</w:t>
              </w:r>
            </w:hyperlink>
            <w:r>
              <w:t xml:space="preserve"> </w:t>
            </w:r>
          </w:p>
          <w:p w14:paraId="6AADC0D1" w14:textId="77777777" w:rsidR="00344E82" w:rsidRDefault="00344E82" w:rsidP="00EE2C4B">
            <w:pPr>
              <w:spacing w:after="0" w:line="240" w:lineRule="auto"/>
              <w:jc w:val="both"/>
            </w:pPr>
          </w:p>
          <w:p w14:paraId="5CDDEBE4" w14:textId="02DC429B" w:rsidR="00344E82" w:rsidRPr="00DA1FB3" w:rsidRDefault="00344E82" w:rsidP="00EE2C4B">
            <w:pPr>
              <w:spacing w:after="0" w:line="240" w:lineRule="auto"/>
              <w:jc w:val="both"/>
              <w:rPr>
                <w:rFonts w:ascii="Times New Roman" w:hAnsi="Times New Roman"/>
                <w:sz w:val="24"/>
                <w:szCs w:val="24"/>
              </w:rPr>
            </w:pPr>
            <w:hyperlink r:id="rId17" w:history="1">
              <w:r w:rsidRPr="005B21F4">
                <w:rPr>
                  <w:rStyle w:val="Hyperlink"/>
                  <w:rFonts w:ascii="Times New Roman" w:hAnsi="Times New Roman"/>
                  <w:sz w:val="24"/>
                  <w:szCs w:val="24"/>
                </w:rPr>
                <w:t>https://valtioneuvosto.fi/en/-/10623/ministry-of-finance-publishes-its-draft-budget-for-2026</w:t>
              </w:r>
            </w:hyperlink>
            <w:r>
              <w:rPr>
                <w:rFonts w:ascii="Times New Roman" w:hAnsi="Times New Roman"/>
                <w:sz w:val="24"/>
                <w:szCs w:val="24"/>
              </w:rPr>
              <w:t xml:space="preserve"> </w:t>
            </w:r>
          </w:p>
        </w:tc>
      </w:tr>
    </w:tbl>
    <w:p w14:paraId="6F8266A1" w14:textId="77777777" w:rsidR="004466AC" w:rsidRPr="00DA1FB3" w:rsidRDefault="004466AC" w:rsidP="00C439E4">
      <w:pPr>
        <w:spacing w:after="0" w:line="240" w:lineRule="auto"/>
        <w:jc w:val="both"/>
        <w:rPr>
          <w:rFonts w:ascii="Times New Roman" w:hAnsi="Times New Roman"/>
          <w:sz w:val="24"/>
          <w:szCs w:val="24"/>
        </w:rPr>
      </w:pPr>
    </w:p>
    <w:p w14:paraId="78A8343C" w14:textId="77777777" w:rsidR="004466AC" w:rsidRPr="00DA1FB3" w:rsidRDefault="004466AC" w:rsidP="00C439E4">
      <w:pPr>
        <w:spacing w:after="0" w:line="240" w:lineRule="auto"/>
        <w:jc w:val="both"/>
        <w:rPr>
          <w:rFonts w:ascii="Times New Roman" w:hAnsi="Times New Roman"/>
          <w:sz w:val="24"/>
          <w:szCs w:val="24"/>
        </w:rPr>
      </w:pPr>
      <w:r w:rsidRPr="00DA1FB3">
        <w:rPr>
          <w:rFonts w:ascii="Times New Roman" w:hAnsi="Times New Roman"/>
          <w:sz w:val="24"/>
          <w:szCs w:val="24"/>
        </w:rPr>
        <w:t>Rengėjas (-ai):</w:t>
      </w:r>
    </w:p>
    <w:p w14:paraId="2C41EA51" w14:textId="77777777" w:rsidR="00BF5B96" w:rsidRPr="00DA1FB3" w:rsidRDefault="005901D8" w:rsidP="00BF5B96">
      <w:pPr>
        <w:spacing w:after="0" w:line="240" w:lineRule="auto"/>
        <w:jc w:val="both"/>
        <w:rPr>
          <w:rFonts w:ascii="Times New Roman" w:hAnsi="Times New Roman"/>
          <w:sz w:val="24"/>
          <w:szCs w:val="24"/>
          <w:lang w:val="de-DE"/>
        </w:rPr>
      </w:pPr>
      <w:r w:rsidRPr="00DA1FB3">
        <w:rPr>
          <w:rFonts w:ascii="Times New Roman" w:hAnsi="Times New Roman"/>
          <w:sz w:val="24"/>
          <w:szCs w:val="24"/>
        </w:rPr>
        <w:t xml:space="preserve">LR ambasados Suomijoje trečiasis sekretorius Žymantas Mozūraitis, </w:t>
      </w:r>
      <w:r w:rsidR="00BF5B96" w:rsidRPr="00DA1FB3">
        <w:rPr>
          <w:rFonts w:ascii="Times New Roman" w:hAnsi="Times New Roman"/>
          <w:sz w:val="24"/>
          <w:szCs w:val="24"/>
          <w:lang w:val="de-DE"/>
        </w:rPr>
        <w:t>+358 408010195</w:t>
      </w:r>
    </w:p>
    <w:p w14:paraId="292F8DEC" w14:textId="4F8935B1" w:rsidR="00B2549A" w:rsidRPr="00DA1FB3" w:rsidRDefault="005901D8" w:rsidP="00C439E4">
      <w:pPr>
        <w:spacing w:after="0" w:line="240" w:lineRule="auto"/>
        <w:jc w:val="both"/>
        <w:rPr>
          <w:rFonts w:ascii="Times New Roman" w:hAnsi="Times New Roman"/>
          <w:sz w:val="24"/>
          <w:szCs w:val="24"/>
        </w:rPr>
      </w:pPr>
      <w:hyperlink r:id="rId18" w:history="1">
        <w:r w:rsidRPr="00DA1FB3">
          <w:rPr>
            <w:rStyle w:val="Hyperlink"/>
            <w:rFonts w:ascii="Times New Roman" w:hAnsi="Times New Roman"/>
            <w:sz w:val="24"/>
            <w:szCs w:val="24"/>
          </w:rPr>
          <w:t>zymantas.mozuraitis@urm.lt</w:t>
        </w:r>
      </w:hyperlink>
      <w:r w:rsidRPr="00DA1FB3">
        <w:rPr>
          <w:rFonts w:ascii="Times New Roman" w:hAnsi="Times New Roman"/>
          <w:sz w:val="24"/>
          <w:szCs w:val="24"/>
        </w:rPr>
        <w:t>        </w:t>
      </w:r>
    </w:p>
    <w:sectPr w:rsidR="00B2549A" w:rsidRPr="00DA1FB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AC"/>
    <w:rsid w:val="000000C1"/>
    <w:rsid w:val="000061CD"/>
    <w:rsid w:val="00023AB7"/>
    <w:rsid w:val="000303C5"/>
    <w:rsid w:val="000304EC"/>
    <w:rsid w:val="00034EAE"/>
    <w:rsid w:val="00035DA2"/>
    <w:rsid w:val="00040A92"/>
    <w:rsid w:val="00041870"/>
    <w:rsid w:val="00046914"/>
    <w:rsid w:val="00047FDF"/>
    <w:rsid w:val="00051675"/>
    <w:rsid w:val="000534EC"/>
    <w:rsid w:val="00056F92"/>
    <w:rsid w:val="00086D29"/>
    <w:rsid w:val="00092013"/>
    <w:rsid w:val="0009214C"/>
    <w:rsid w:val="000A5503"/>
    <w:rsid w:val="000C665E"/>
    <w:rsid w:val="000D2FB4"/>
    <w:rsid w:val="000E271C"/>
    <w:rsid w:val="000E5CA6"/>
    <w:rsid w:val="00105247"/>
    <w:rsid w:val="0010770B"/>
    <w:rsid w:val="0012333B"/>
    <w:rsid w:val="00130B52"/>
    <w:rsid w:val="001315C9"/>
    <w:rsid w:val="00144EF8"/>
    <w:rsid w:val="0014505C"/>
    <w:rsid w:val="00145C20"/>
    <w:rsid w:val="001522CB"/>
    <w:rsid w:val="0015619E"/>
    <w:rsid w:val="001700A7"/>
    <w:rsid w:val="00184D4E"/>
    <w:rsid w:val="001926D5"/>
    <w:rsid w:val="001972BC"/>
    <w:rsid w:val="001B246D"/>
    <w:rsid w:val="001C16D6"/>
    <w:rsid w:val="001D2FEE"/>
    <w:rsid w:val="001D61A4"/>
    <w:rsid w:val="001E10F9"/>
    <w:rsid w:val="001E1534"/>
    <w:rsid w:val="001E227F"/>
    <w:rsid w:val="00206FFE"/>
    <w:rsid w:val="00213307"/>
    <w:rsid w:val="00215548"/>
    <w:rsid w:val="002179D5"/>
    <w:rsid w:val="00233A22"/>
    <w:rsid w:val="00235D65"/>
    <w:rsid w:val="002413AC"/>
    <w:rsid w:val="002562F3"/>
    <w:rsid w:val="00257899"/>
    <w:rsid w:val="00265AA0"/>
    <w:rsid w:val="00280BBC"/>
    <w:rsid w:val="00281ED8"/>
    <w:rsid w:val="0028307D"/>
    <w:rsid w:val="00283ED6"/>
    <w:rsid w:val="002B3980"/>
    <w:rsid w:val="002C6DD4"/>
    <w:rsid w:val="002C7381"/>
    <w:rsid w:val="002D1645"/>
    <w:rsid w:val="002E396A"/>
    <w:rsid w:val="002E7CD3"/>
    <w:rsid w:val="002F331E"/>
    <w:rsid w:val="002F6382"/>
    <w:rsid w:val="002F6748"/>
    <w:rsid w:val="002F748A"/>
    <w:rsid w:val="00302194"/>
    <w:rsid w:val="00326BE5"/>
    <w:rsid w:val="00336C70"/>
    <w:rsid w:val="00337682"/>
    <w:rsid w:val="00344E82"/>
    <w:rsid w:val="00344F5E"/>
    <w:rsid w:val="00347A48"/>
    <w:rsid w:val="003535A6"/>
    <w:rsid w:val="0035381F"/>
    <w:rsid w:val="003538AF"/>
    <w:rsid w:val="003848B9"/>
    <w:rsid w:val="00396FAF"/>
    <w:rsid w:val="003B22B1"/>
    <w:rsid w:val="003B299C"/>
    <w:rsid w:val="003C31DD"/>
    <w:rsid w:val="003C60D7"/>
    <w:rsid w:val="003D104C"/>
    <w:rsid w:val="003E2C9A"/>
    <w:rsid w:val="003E3122"/>
    <w:rsid w:val="003E43BD"/>
    <w:rsid w:val="003E7EEB"/>
    <w:rsid w:val="00406FEE"/>
    <w:rsid w:val="0041021F"/>
    <w:rsid w:val="00412A07"/>
    <w:rsid w:val="00421114"/>
    <w:rsid w:val="00423D1D"/>
    <w:rsid w:val="00432610"/>
    <w:rsid w:val="00444C77"/>
    <w:rsid w:val="004466AC"/>
    <w:rsid w:val="00465291"/>
    <w:rsid w:val="004739B3"/>
    <w:rsid w:val="004941E6"/>
    <w:rsid w:val="004A3B85"/>
    <w:rsid w:val="004B6338"/>
    <w:rsid w:val="004C3477"/>
    <w:rsid w:val="004D151C"/>
    <w:rsid w:val="004E2CB3"/>
    <w:rsid w:val="004E39B2"/>
    <w:rsid w:val="004E7708"/>
    <w:rsid w:val="004F56F3"/>
    <w:rsid w:val="00501997"/>
    <w:rsid w:val="0051459C"/>
    <w:rsid w:val="0052791F"/>
    <w:rsid w:val="00532587"/>
    <w:rsid w:val="0053274A"/>
    <w:rsid w:val="00536102"/>
    <w:rsid w:val="00536245"/>
    <w:rsid w:val="00543113"/>
    <w:rsid w:val="005609B6"/>
    <w:rsid w:val="00574307"/>
    <w:rsid w:val="00574B66"/>
    <w:rsid w:val="00575564"/>
    <w:rsid w:val="0058055E"/>
    <w:rsid w:val="005901D8"/>
    <w:rsid w:val="00597E0A"/>
    <w:rsid w:val="005B6B38"/>
    <w:rsid w:val="005C1458"/>
    <w:rsid w:val="005C2679"/>
    <w:rsid w:val="005D0534"/>
    <w:rsid w:val="005D6273"/>
    <w:rsid w:val="005E16BC"/>
    <w:rsid w:val="005F0C9D"/>
    <w:rsid w:val="005F0D31"/>
    <w:rsid w:val="0060744E"/>
    <w:rsid w:val="0061113A"/>
    <w:rsid w:val="0061119D"/>
    <w:rsid w:val="00613208"/>
    <w:rsid w:val="00615F28"/>
    <w:rsid w:val="00623311"/>
    <w:rsid w:val="00687623"/>
    <w:rsid w:val="00691C26"/>
    <w:rsid w:val="00696D45"/>
    <w:rsid w:val="00697C63"/>
    <w:rsid w:val="006A2304"/>
    <w:rsid w:val="006A3689"/>
    <w:rsid w:val="006A41E4"/>
    <w:rsid w:val="006A64C6"/>
    <w:rsid w:val="006B18B9"/>
    <w:rsid w:val="006B3497"/>
    <w:rsid w:val="006E47E5"/>
    <w:rsid w:val="00704294"/>
    <w:rsid w:val="007072D9"/>
    <w:rsid w:val="0071311E"/>
    <w:rsid w:val="00714F4F"/>
    <w:rsid w:val="00716DE5"/>
    <w:rsid w:val="0071796B"/>
    <w:rsid w:val="0072490C"/>
    <w:rsid w:val="00742885"/>
    <w:rsid w:val="007551F6"/>
    <w:rsid w:val="00760920"/>
    <w:rsid w:val="00772BFD"/>
    <w:rsid w:val="007A3A57"/>
    <w:rsid w:val="007B3D65"/>
    <w:rsid w:val="007B4B9B"/>
    <w:rsid w:val="007C7BA7"/>
    <w:rsid w:val="007E2D7E"/>
    <w:rsid w:val="007E63DC"/>
    <w:rsid w:val="007F1E15"/>
    <w:rsid w:val="007F29FE"/>
    <w:rsid w:val="008019F7"/>
    <w:rsid w:val="0080555E"/>
    <w:rsid w:val="008069BC"/>
    <w:rsid w:val="00816AAF"/>
    <w:rsid w:val="00816CB6"/>
    <w:rsid w:val="00822F66"/>
    <w:rsid w:val="00826A8B"/>
    <w:rsid w:val="00832814"/>
    <w:rsid w:val="008544FC"/>
    <w:rsid w:val="00854C98"/>
    <w:rsid w:val="00890765"/>
    <w:rsid w:val="008C41B3"/>
    <w:rsid w:val="008D22CB"/>
    <w:rsid w:val="008D426A"/>
    <w:rsid w:val="008F2AF7"/>
    <w:rsid w:val="008F7FAB"/>
    <w:rsid w:val="009045E8"/>
    <w:rsid w:val="0090538D"/>
    <w:rsid w:val="00906DD4"/>
    <w:rsid w:val="0090799D"/>
    <w:rsid w:val="009079F2"/>
    <w:rsid w:val="009352BB"/>
    <w:rsid w:val="0093603D"/>
    <w:rsid w:val="009366E4"/>
    <w:rsid w:val="00937E0B"/>
    <w:rsid w:val="009415C2"/>
    <w:rsid w:val="00942877"/>
    <w:rsid w:val="009443DA"/>
    <w:rsid w:val="00950F69"/>
    <w:rsid w:val="00973F84"/>
    <w:rsid w:val="009744B3"/>
    <w:rsid w:val="009931C7"/>
    <w:rsid w:val="009939C4"/>
    <w:rsid w:val="009A0A15"/>
    <w:rsid w:val="009A1013"/>
    <w:rsid w:val="009A7FEF"/>
    <w:rsid w:val="009C069A"/>
    <w:rsid w:val="009C70B8"/>
    <w:rsid w:val="009C71DA"/>
    <w:rsid w:val="009D5C14"/>
    <w:rsid w:val="009E4EF4"/>
    <w:rsid w:val="009F4DDE"/>
    <w:rsid w:val="00A139ED"/>
    <w:rsid w:val="00A162FE"/>
    <w:rsid w:val="00A2760F"/>
    <w:rsid w:val="00A34630"/>
    <w:rsid w:val="00A40171"/>
    <w:rsid w:val="00A52037"/>
    <w:rsid w:val="00A60E51"/>
    <w:rsid w:val="00A61283"/>
    <w:rsid w:val="00A63247"/>
    <w:rsid w:val="00A70BDA"/>
    <w:rsid w:val="00A7163D"/>
    <w:rsid w:val="00A75F95"/>
    <w:rsid w:val="00A948FD"/>
    <w:rsid w:val="00AA16D5"/>
    <w:rsid w:val="00AB3B3D"/>
    <w:rsid w:val="00AC2795"/>
    <w:rsid w:val="00AD2DF2"/>
    <w:rsid w:val="00AD3A65"/>
    <w:rsid w:val="00AD5DC4"/>
    <w:rsid w:val="00AF3E14"/>
    <w:rsid w:val="00AF58EC"/>
    <w:rsid w:val="00B005A6"/>
    <w:rsid w:val="00B013A1"/>
    <w:rsid w:val="00B126B5"/>
    <w:rsid w:val="00B16784"/>
    <w:rsid w:val="00B23103"/>
    <w:rsid w:val="00B2549A"/>
    <w:rsid w:val="00B26CFD"/>
    <w:rsid w:val="00B3272E"/>
    <w:rsid w:val="00B360A0"/>
    <w:rsid w:val="00B41D40"/>
    <w:rsid w:val="00B5683A"/>
    <w:rsid w:val="00B634F2"/>
    <w:rsid w:val="00B638C4"/>
    <w:rsid w:val="00B70CA2"/>
    <w:rsid w:val="00B85392"/>
    <w:rsid w:val="00B917D9"/>
    <w:rsid w:val="00B92B6C"/>
    <w:rsid w:val="00B93168"/>
    <w:rsid w:val="00BB52B0"/>
    <w:rsid w:val="00BB6E4C"/>
    <w:rsid w:val="00BB77C5"/>
    <w:rsid w:val="00BB7C1B"/>
    <w:rsid w:val="00BC3591"/>
    <w:rsid w:val="00BD0FDD"/>
    <w:rsid w:val="00BE56D3"/>
    <w:rsid w:val="00BF5B96"/>
    <w:rsid w:val="00C01B1B"/>
    <w:rsid w:val="00C05713"/>
    <w:rsid w:val="00C14731"/>
    <w:rsid w:val="00C3104D"/>
    <w:rsid w:val="00C3445D"/>
    <w:rsid w:val="00C34A78"/>
    <w:rsid w:val="00C40FCB"/>
    <w:rsid w:val="00C439E4"/>
    <w:rsid w:val="00C441A8"/>
    <w:rsid w:val="00C47056"/>
    <w:rsid w:val="00C52F66"/>
    <w:rsid w:val="00C61219"/>
    <w:rsid w:val="00C65219"/>
    <w:rsid w:val="00C72852"/>
    <w:rsid w:val="00C76B65"/>
    <w:rsid w:val="00CA468C"/>
    <w:rsid w:val="00CA6EB7"/>
    <w:rsid w:val="00CB0B55"/>
    <w:rsid w:val="00CB1F2E"/>
    <w:rsid w:val="00CB467A"/>
    <w:rsid w:val="00CC194E"/>
    <w:rsid w:val="00CD7A1E"/>
    <w:rsid w:val="00D01445"/>
    <w:rsid w:val="00D127BD"/>
    <w:rsid w:val="00D213EE"/>
    <w:rsid w:val="00D27E3C"/>
    <w:rsid w:val="00D53663"/>
    <w:rsid w:val="00D563E5"/>
    <w:rsid w:val="00D64A13"/>
    <w:rsid w:val="00D65292"/>
    <w:rsid w:val="00D66773"/>
    <w:rsid w:val="00D702D9"/>
    <w:rsid w:val="00D74A7C"/>
    <w:rsid w:val="00D774E9"/>
    <w:rsid w:val="00D9713E"/>
    <w:rsid w:val="00D9716E"/>
    <w:rsid w:val="00DA0443"/>
    <w:rsid w:val="00DA1FB3"/>
    <w:rsid w:val="00DB011B"/>
    <w:rsid w:val="00DC1A61"/>
    <w:rsid w:val="00DC523E"/>
    <w:rsid w:val="00DE0FBE"/>
    <w:rsid w:val="00DF0AD6"/>
    <w:rsid w:val="00DF12DE"/>
    <w:rsid w:val="00E01C76"/>
    <w:rsid w:val="00E01FA0"/>
    <w:rsid w:val="00E03FF2"/>
    <w:rsid w:val="00E0538B"/>
    <w:rsid w:val="00E14F7E"/>
    <w:rsid w:val="00E32465"/>
    <w:rsid w:val="00E35F93"/>
    <w:rsid w:val="00E4625C"/>
    <w:rsid w:val="00E54FCC"/>
    <w:rsid w:val="00E56C0E"/>
    <w:rsid w:val="00E56C45"/>
    <w:rsid w:val="00E65E9D"/>
    <w:rsid w:val="00E71D72"/>
    <w:rsid w:val="00E73FDD"/>
    <w:rsid w:val="00E81710"/>
    <w:rsid w:val="00E82634"/>
    <w:rsid w:val="00E82FAE"/>
    <w:rsid w:val="00EA1FDA"/>
    <w:rsid w:val="00EA5DB9"/>
    <w:rsid w:val="00EA6C8D"/>
    <w:rsid w:val="00EC15A2"/>
    <w:rsid w:val="00EE2C4B"/>
    <w:rsid w:val="00F051CC"/>
    <w:rsid w:val="00F10861"/>
    <w:rsid w:val="00F250A1"/>
    <w:rsid w:val="00F340E6"/>
    <w:rsid w:val="00F35065"/>
    <w:rsid w:val="00F355F4"/>
    <w:rsid w:val="00F448BA"/>
    <w:rsid w:val="00F63225"/>
    <w:rsid w:val="00F93330"/>
    <w:rsid w:val="00F97CDE"/>
    <w:rsid w:val="00FA0E10"/>
    <w:rsid w:val="00FB5217"/>
    <w:rsid w:val="00FB6392"/>
    <w:rsid w:val="00FC21CE"/>
    <w:rsid w:val="00FC4C73"/>
    <w:rsid w:val="00FD0E04"/>
    <w:rsid w:val="00FF6434"/>
    <w:rsid w:val="00FF6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8557"/>
  <w15:chartTrackingRefBased/>
  <w15:docId w15:val="{C4F967CF-04A8-4C6C-95F3-B25DCFE3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A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44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AC"/>
    <w:rPr>
      <w:rFonts w:eastAsiaTheme="majorEastAsia" w:cstheme="majorBidi"/>
      <w:color w:val="272727" w:themeColor="text1" w:themeTint="D8"/>
    </w:rPr>
  </w:style>
  <w:style w:type="paragraph" w:styleId="Title">
    <w:name w:val="Title"/>
    <w:basedOn w:val="Normal"/>
    <w:next w:val="Normal"/>
    <w:link w:val="TitleChar"/>
    <w:uiPriority w:val="10"/>
    <w:qFormat/>
    <w:rsid w:val="0044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AC"/>
    <w:pPr>
      <w:spacing w:before="160"/>
      <w:jc w:val="center"/>
    </w:pPr>
    <w:rPr>
      <w:i/>
      <w:iCs/>
      <w:color w:val="404040" w:themeColor="text1" w:themeTint="BF"/>
    </w:rPr>
  </w:style>
  <w:style w:type="character" w:customStyle="1" w:styleId="QuoteChar">
    <w:name w:val="Quote Char"/>
    <w:basedOn w:val="DefaultParagraphFont"/>
    <w:link w:val="Quote"/>
    <w:uiPriority w:val="29"/>
    <w:rsid w:val="004466AC"/>
    <w:rPr>
      <w:i/>
      <w:iCs/>
      <w:color w:val="404040" w:themeColor="text1" w:themeTint="BF"/>
    </w:rPr>
  </w:style>
  <w:style w:type="paragraph" w:styleId="ListParagraph">
    <w:name w:val="List Paragraph"/>
    <w:basedOn w:val="Normal"/>
    <w:uiPriority w:val="34"/>
    <w:qFormat/>
    <w:rsid w:val="004466AC"/>
    <w:pPr>
      <w:ind w:left="720"/>
      <w:contextualSpacing/>
    </w:pPr>
  </w:style>
  <w:style w:type="character" w:styleId="IntenseEmphasis">
    <w:name w:val="Intense Emphasis"/>
    <w:basedOn w:val="DefaultParagraphFont"/>
    <w:uiPriority w:val="21"/>
    <w:qFormat/>
    <w:rsid w:val="004466AC"/>
    <w:rPr>
      <w:i/>
      <w:iCs/>
      <w:color w:val="0F4761" w:themeColor="accent1" w:themeShade="BF"/>
    </w:rPr>
  </w:style>
  <w:style w:type="paragraph" w:styleId="IntenseQuote">
    <w:name w:val="Intense Quote"/>
    <w:basedOn w:val="Normal"/>
    <w:next w:val="Normal"/>
    <w:link w:val="IntenseQuoteChar"/>
    <w:uiPriority w:val="30"/>
    <w:qFormat/>
    <w:rsid w:val="0044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AC"/>
    <w:rPr>
      <w:i/>
      <w:iCs/>
      <w:color w:val="0F4761" w:themeColor="accent1" w:themeShade="BF"/>
    </w:rPr>
  </w:style>
  <w:style w:type="character" w:styleId="IntenseReference">
    <w:name w:val="Intense Reference"/>
    <w:basedOn w:val="DefaultParagraphFont"/>
    <w:uiPriority w:val="32"/>
    <w:qFormat/>
    <w:rsid w:val="004466AC"/>
    <w:rPr>
      <w:b/>
      <w:bCs/>
      <w:smallCaps/>
      <w:color w:val="0F4761" w:themeColor="accent1" w:themeShade="BF"/>
      <w:spacing w:val="5"/>
    </w:rPr>
  </w:style>
  <w:style w:type="character" w:styleId="Hyperlink">
    <w:name w:val="Hyperlink"/>
    <w:basedOn w:val="DefaultParagraphFont"/>
    <w:uiPriority w:val="99"/>
    <w:unhideWhenUsed/>
    <w:rsid w:val="00AB3B3D"/>
    <w:rPr>
      <w:color w:val="467886" w:themeColor="hyperlink"/>
      <w:u w:val="single"/>
    </w:rPr>
  </w:style>
  <w:style w:type="character" w:styleId="UnresolvedMention">
    <w:name w:val="Unresolved Mention"/>
    <w:basedOn w:val="DefaultParagraphFont"/>
    <w:uiPriority w:val="99"/>
    <w:semiHidden/>
    <w:unhideWhenUsed/>
    <w:rsid w:val="00AB3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9388">
      <w:bodyDiv w:val="1"/>
      <w:marLeft w:val="0"/>
      <w:marRight w:val="0"/>
      <w:marTop w:val="0"/>
      <w:marBottom w:val="0"/>
      <w:divBdr>
        <w:top w:val="none" w:sz="0" w:space="0" w:color="auto"/>
        <w:left w:val="none" w:sz="0" w:space="0" w:color="auto"/>
        <w:bottom w:val="none" w:sz="0" w:space="0" w:color="auto"/>
        <w:right w:val="none" w:sz="0" w:space="0" w:color="auto"/>
      </w:divBdr>
    </w:div>
    <w:div w:id="1106659359">
      <w:bodyDiv w:val="1"/>
      <w:marLeft w:val="0"/>
      <w:marRight w:val="0"/>
      <w:marTop w:val="0"/>
      <w:marBottom w:val="0"/>
      <w:divBdr>
        <w:top w:val="none" w:sz="0" w:space="0" w:color="auto"/>
        <w:left w:val="none" w:sz="0" w:space="0" w:color="auto"/>
        <w:bottom w:val="none" w:sz="0" w:space="0" w:color="auto"/>
        <w:right w:val="none" w:sz="0" w:space="0" w:color="auto"/>
      </w:divBdr>
    </w:div>
    <w:div w:id="1205673512">
      <w:bodyDiv w:val="1"/>
      <w:marLeft w:val="0"/>
      <w:marRight w:val="0"/>
      <w:marTop w:val="0"/>
      <w:marBottom w:val="0"/>
      <w:divBdr>
        <w:top w:val="none" w:sz="0" w:space="0" w:color="auto"/>
        <w:left w:val="none" w:sz="0" w:space="0" w:color="auto"/>
        <w:bottom w:val="none" w:sz="0" w:space="0" w:color="auto"/>
        <w:right w:val="none" w:sz="0" w:space="0" w:color="auto"/>
      </w:divBdr>
    </w:div>
    <w:div w:id="1398552024">
      <w:bodyDiv w:val="1"/>
      <w:marLeft w:val="0"/>
      <w:marRight w:val="0"/>
      <w:marTop w:val="0"/>
      <w:marBottom w:val="0"/>
      <w:divBdr>
        <w:top w:val="none" w:sz="0" w:space="0" w:color="auto"/>
        <w:left w:val="none" w:sz="0" w:space="0" w:color="auto"/>
        <w:bottom w:val="none" w:sz="0" w:space="0" w:color="auto"/>
        <w:right w:val="none" w:sz="0" w:space="0" w:color="auto"/>
      </w:divBdr>
    </w:div>
    <w:div w:id="1406101780">
      <w:bodyDiv w:val="1"/>
      <w:marLeft w:val="0"/>
      <w:marRight w:val="0"/>
      <w:marTop w:val="0"/>
      <w:marBottom w:val="0"/>
      <w:divBdr>
        <w:top w:val="none" w:sz="0" w:space="0" w:color="auto"/>
        <w:left w:val="none" w:sz="0" w:space="0" w:color="auto"/>
        <w:bottom w:val="none" w:sz="0" w:space="0" w:color="auto"/>
        <w:right w:val="none" w:sz="0" w:space="0" w:color="auto"/>
      </w:divBdr>
    </w:div>
    <w:div w:id="1576091793">
      <w:bodyDiv w:val="1"/>
      <w:marLeft w:val="0"/>
      <w:marRight w:val="0"/>
      <w:marTop w:val="0"/>
      <w:marBottom w:val="0"/>
      <w:divBdr>
        <w:top w:val="none" w:sz="0" w:space="0" w:color="auto"/>
        <w:left w:val="none" w:sz="0" w:space="0" w:color="auto"/>
        <w:bottom w:val="none" w:sz="0" w:space="0" w:color="auto"/>
        <w:right w:val="none" w:sz="0" w:space="0" w:color="auto"/>
      </w:divBdr>
    </w:div>
    <w:div w:id="1606694597">
      <w:bodyDiv w:val="1"/>
      <w:marLeft w:val="0"/>
      <w:marRight w:val="0"/>
      <w:marTop w:val="0"/>
      <w:marBottom w:val="0"/>
      <w:divBdr>
        <w:top w:val="none" w:sz="0" w:space="0" w:color="auto"/>
        <w:left w:val="none" w:sz="0" w:space="0" w:color="auto"/>
        <w:bottom w:val="none" w:sz="0" w:space="0" w:color="auto"/>
        <w:right w:val="none" w:sz="0" w:space="0" w:color="auto"/>
      </w:divBdr>
    </w:div>
    <w:div w:id="1714883222">
      <w:bodyDiv w:val="1"/>
      <w:marLeft w:val="0"/>
      <w:marRight w:val="0"/>
      <w:marTop w:val="0"/>
      <w:marBottom w:val="0"/>
      <w:divBdr>
        <w:top w:val="none" w:sz="0" w:space="0" w:color="auto"/>
        <w:left w:val="none" w:sz="0" w:space="0" w:color="auto"/>
        <w:bottom w:val="none" w:sz="0" w:space="0" w:color="auto"/>
        <w:right w:val="none" w:sz="0" w:space="0" w:color="auto"/>
      </w:divBdr>
    </w:div>
    <w:div w:id="1892768724">
      <w:bodyDiv w:val="1"/>
      <w:marLeft w:val="0"/>
      <w:marRight w:val="0"/>
      <w:marTop w:val="0"/>
      <w:marBottom w:val="0"/>
      <w:divBdr>
        <w:top w:val="none" w:sz="0" w:space="0" w:color="auto"/>
        <w:left w:val="none" w:sz="0" w:space="0" w:color="auto"/>
        <w:bottom w:val="none" w:sz="0" w:space="0" w:color="auto"/>
        <w:right w:val="none" w:sz="0" w:space="0" w:color="auto"/>
      </w:divBdr>
    </w:div>
    <w:div w:id="207940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fi/talous/art-2000011444473.html" TargetMode="External"/><Relationship Id="rId13" Type="http://schemas.openxmlformats.org/officeDocument/2006/relationships/hyperlink" Target="https://www.mckinsey.com/capabilities/strategy-and-corporate-finance/our-insights/seizing-finlands-growth-opportunity" TargetMode="External"/><Relationship Id="rId18" Type="http://schemas.openxmlformats.org/officeDocument/2006/relationships/hyperlink" Target="mailto:zymantas.mozuraitis@urm.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le.fi/a/74-20178994" TargetMode="External"/><Relationship Id="rId17" Type="http://schemas.openxmlformats.org/officeDocument/2006/relationships/hyperlink" Target="https://valtioneuvosto.fi/en/-/10623/ministry-of-finance-publishes-its-draft-budget-for-2026" TargetMode="External"/><Relationship Id="rId2" Type="http://schemas.openxmlformats.org/officeDocument/2006/relationships/customXml" Target="../customXml/item2.xml"/><Relationship Id="rId16" Type="http://schemas.openxmlformats.org/officeDocument/2006/relationships/hyperlink" Target="https://valtioneuvosto.fi/en/-/10623/draft-budget-of-minister-of-finance-riikka-purra-to-stabilise-the-debt-ratio-budget-deficit-to-be-reduced-to-below-eur-10-bill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va.fi/blog/2025/08/20/yli-puolet-tyottomista-on-vaikeasti-tyollistettavia-rakennetyottomia-kolme-keinoa-nuorten-tyollistamiseen/" TargetMode="External"/><Relationship Id="rId5" Type="http://schemas.openxmlformats.org/officeDocument/2006/relationships/styles" Target="styles.xml"/><Relationship Id="rId15" Type="http://schemas.openxmlformats.org/officeDocument/2006/relationships/hyperlink" Target="https://www.hs.fi/talous/art-2000011435973.html" TargetMode="External"/><Relationship Id="rId10" Type="http://schemas.openxmlformats.org/officeDocument/2006/relationships/hyperlink" Target="https://www.op.fi/en/op-financial-group/media/bulletins?id=yTasgfdFsjF_61VIh0RuHNGbez-TH2ZVUgh0"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hs.fi/talous/art-2000011431681.html" TargetMode="External"/><Relationship Id="rId14" Type="http://schemas.openxmlformats.org/officeDocument/2006/relationships/hyperlink" Target="https://yle.fi/a/74-201780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bcbaa9-451b-439c-b517-41ed6544d96d">
      <Terms xmlns="http://schemas.microsoft.com/office/infopath/2007/PartnerControls"/>
    </lcf76f155ced4ddcb4097134ff3c332f>
    <TaxCatchAll xmlns="051c56ea-ed81-46f4-b041-6a0e827a21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BC8FF6B4674E740A1472F7B893CDF00" ma:contentTypeVersion="13" ma:contentTypeDescription="Kurkite naują dokumentą." ma:contentTypeScope="" ma:versionID="109ef0e7fd15f7de290ca02b51db7dc7">
  <xsd:schema xmlns:xsd="http://www.w3.org/2001/XMLSchema" xmlns:xs="http://www.w3.org/2001/XMLSchema" xmlns:p="http://schemas.microsoft.com/office/2006/metadata/properties" xmlns:ns2="8bbcbaa9-451b-439c-b517-41ed6544d96d" xmlns:ns3="051c56ea-ed81-46f4-b041-6a0e827a2191" targetNamespace="http://schemas.microsoft.com/office/2006/metadata/properties" ma:root="true" ma:fieldsID="96f8aa1af2e5c8f5b4e922f9cf6e647b" ns2:_="" ns3:_="">
    <xsd:import namespace="8bbcbaa9-451b-439c-b517-41ed6544d96d"/>
    <xsd:import namespace="051c56ea-ed81-46f4-b041-6a0e827a2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cbaa9-451b-439c-b517-41ed6544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1c56ea-ed81-46f4-b041-6a0e827a21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80ce58-a7f3-471d-a094-5ea171924383}" ma:internalName="TaxCatchAll" ma:showField="CatchAllData" ma:web="051c56ea-ed81-46f4-b041-6a0e827a2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DE72B-6586-4105-BE67-F0E455163073}">
  <ds:schemaRefs>
    <ds:schemaRef ds:uri="http://schemas.openxmlformats.org/officeDocument/2006/bibliography"/>
  </ds:schemaRefs>
</ds:datastoreItem>
</file>

<file path=customXml/itemProps2.xml><?xml version="1.0" encoding="utf-8"?>
<ds:datastoreItem xmlns:ds="http://schemas.openxmlformats.org/officeDocument/2006/customXml" ds:itemID="{210791A7-355D-4D89-81DF-5471777AA3E3}">
  <ds:schemaRefs>
    <ds:schemaRef ds:uri="http://schemas.microsoft.com/office/2006/metadata/properties"/>
    <ds:schemaRef ds:uri="http://schemas.microsoft.com/office/infopath/2007/PartnerControls"/>
    <ds:schemaRef ds:uri="8bbcbaa9-451b-439c-b517-41ed6544d96d"/>
    <ds:schemaRef ds:uri="051c56ea-ed81-46f4-b041-6a0e827a2191"/>
  </ds:schemaRefs>
</ds:datastoreItem>
</file>

<file path=customXml/itemProps3.xml><?xml version="1.0" encoding="utf-8"?>
<ds:datastoreItem xmlns:ds="http://schemas.openxmlformats.org/officeDocument/2006/customXml" ds:itemID="{11A097AC-BDA2-44B0-99F5-A2A2067E934D}">
  <ds:schemaRefs>
    <ds:schemaRef ds:uri="http://schemas.microsoft.com/sharepoint/v3/contenttype/forms"/>
  </ds:schemaRefs>
</ds:datastoreItem>
</file>

<file path=customXml/itemProps4.xml><?xml version="1.0" encoding="utf-8"?>
<ds:datastoreItem xmlns:ds="http://schemas.openxmlformats.org/officeDocument/2006/customXml" ds:itemID="{67EEC2B1-E6BC-4096-8FA7-4D0B34775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cbaa9-451b-439c-b517-41ed6544d96d"/>
    <ds:schemaRef ds:uri="051c56ea-ed81-46f4-b041-6a0e827a2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3</Pages>
  <Words>4889</Words>
  <Characters>2788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Žymantas Mozūraitis</dc:creator>
  <cp:keywords/>
  <dc:description/>
  <cp:lastModifiedBy>Žymantas Mozūraitis</cp:lastModifiedBy>
  <cp:revision>116</cp:revision>
  <dcterms:created xsi:type="dcterms:W3CDTF">2025-08-22T15:05:00Z</dcterms:created>
  <dcterms:modified xsi:type="dcterms:W3CDTF">2025-09-11T08:12:00Z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0x0101002BC8FF6B4674E740A1472F7B893CDF00</vt:lpwstr>
  </property>
  <property fmtid="{D5CDD505-2E9C-101B-9397-08002B2CF9AE}" pid="3" name="MediaServiceImageTags">
    <vt:lpwstr/>
  </property>
</Properties>
</file>