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675D1248" w:rsidR="00AC04B6" w:rsidRPr="00DB00EB" w:rsidRDefault="00AC04B6" w:rsidP="00AC04B6">
      <w:pPr>
        <w:spacing w:line="360" w:lineRule="auto"/>
        <w:jc w:val="center"/>
        <w:rPr>
          <w:rFonts w:ascii="Times New Roman" w:eastAsia="Arial" w:hAnsi="Times New Roman"/>
          <w:sz w:val="24"/>
          <w:szCs w:val="24"/>
        </w:rPr>
      </w:pPr>
      <w:r w:rsidRPr="00DB00EB">
        <w:rPr>
          <w:rFonts w:ascii="Times New Roman" w:eastAsia="Arial" w:hAnsi="Times New Roman"/>
          <w:sz w:val="24"/>
          <w:szCs w:val="24"/>
        </w:rPr>
        <w:t>202</w:t>
      </w:r>
      <w:r w:rsidR="009B28F4" w:rsidRPr="00DB00EB">
        <w:rPr>
          <w:rFonts w:ascii="Times New Roman" w:eastAsia="Arial" w:hAnsi="Times New Roman"/>
          <w:sz w:val="24"/>
          <w:szCs w:val="24"/>
        </w:rPr>
        <w:t>5</w:t>
      </w:r>
      <w:r w:rsidRPr="00DB00EB">
        <w:rPr>
          <w:rFonts w:ascii="Times New Roman" w:eastAsia="Arial" w:hAnsi="Times New Roman"/>
          <w:sz w:val="24"/>
          <w:szCs w:val="24"/>
        </w:rPr>
        <w:t xml:space="preserve"> </w:t>
      </w:r>
      <w:r w:rsidR="009B28F4" w:rsidRPr="00DB00EB">
        <w:rPr>
          <w:rFonts w:ascii="Times New Roman" w:eastAsia="Arial" w:hAnsi="Times New Roman"/>
          <w:sz w:val="24"/>
          <w:szCs w:val="24"/>
        </w:rPr>
        <w:t>0</w:t>
      </w:r>
      <w:r w:rsidR="00DB00EB" w:rsidRPr="00DB00EB">
        <w:rPr>
          <w:rFonts w:ascii="Times New Roman" w:eastAsia="Arial" w:hAnsi="Times New Roman"/>
          <w:sz w:val="24"/>
          <w:szCs w:val="24"/>
        </w:rPr>
        <w:t>5</w:t>
      </w:r>
      <w:r w:rsidRPr="00DB00EB">
        <w:rPr>
          <w:rFonts w:ascii="Times New Roman" w:eastAsia="Arial" w:hAnsi="Times New Roman"/>
          <w:sz w:val="24"/>
          <w:szCs w:val="24"/>
        </w:rPr>
        <w:t xml:space="preserve"> </w:t>
      </w:r>
      <w:r w:rsidR="00CB207A" w:rsidRPr="00DB00EB">
        <w:rPr>
          <w:rFonts w:ascii="Times New Roman" w:eastAsia="Arial" w:hAnsi="Times New Roman"/>
          <w:sz w:val="24"/>
          <w:szCs w:val="24"/>
        </w:rPr>
        <w:t>3</w:t>
      </w:r>
      <w:r w:rsidR="00B53618">
        <w:rPr>
          <w:rFonts w:ascii="Times New Roman" w:eastAsia="Arial" w:hAnsi="Times New Roman"/>
          <w:sz w:val="24"/>
          <w:szCs w:val="24"/>
        </w:rPr>
        <w:t>0</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shd w:val="clear" w:color="auto" w:fill="auto"/>
            <w:tcMar>
              <w:top w:w="29" w:type="dxa"/>
              <w:left w:w="115" w:type="dxa"/>
              <w:bottom w:w="29" w:type="dxa"/>
              <w:right w:w="115" w:type="dxa"/>
            </w:tcMar>
          </w:tcPr>
          <w:p w14:paraId="1211ED59" w14:textId="1E7255B6" w:rsidR="007226E9" w:rsidRPr="00F50348" w:rsidRDefault="00B76D93" w:rsidP="007226E9">
            <w:pPr>
              <w:spacing w:after="0" w:line="240" w:lineRule="auto"/>
              <w:rPr>
                <w:rFonts w:ascii="Times New Roman" w:eastAsia="Times New Roman" w:hAnsi="Times New Roman"/>
              </w:rPr>
            </w:pPr>
            <w:r>
              <w:rPr>
                <w:rFonts w:ascii="Times New Roman" w:eastAsia="Times New Roman" w:hAnsi="Times New Roman"/>
              </w:rPr>
              <w:t>2025 05 19</w:t>
            </w:r>
          </w:p>
        </w:tc>
        <w:tc>
          <w:tcPr>
            <w:tcW w:w="5812" w:type="dxa"/>
            <w:shd w:val="clear" w:color="auto" w:fill="auto"/>
            <w:tcMar>
              <w:top w:w="29" w:type="dxa"/>
              <w:left w:w="115" w:type="dxa"/>
              <w:bottom w:w="29" w:type="dxa"/>
              <w:right w:w="115" w:type="dxa"/>
            </w:tcMar>
          </w:tcPr>
          <w:p w14:paraId="125ED5B7" w14:textId="72F6955D" w:rsidR="007226E9" w:rsidRPr="00F50348" w:rsidRDefault="00FB3A73" w:rsidP="00B76D93">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M</w:t>
            </w:r>
            <w:r w:rsidRPr="008D7839">
              <w:rPr>
                <w:rFonts w:ascii="Times New Roman" w:eastAsia="Times New Roman" w:hAnsi="Times New Roman"/>
              </w:rPr>
              <w:t xml:space="preserve">inistras pirmininkas Jonas Gahr Støre ir prekybos bei pramonės ministrė Cecilie Myrseth surengė susitikimus Ministro Pirmininko kanceliarijoje </w:t>
            </w:r>
            <w:r>
              <w:rPr>
                <w:rFonts w:ascii="Times New Roman" w:hAnsi="Times New Roman"/>
                <w:bCs/>
              </w:rPr>
              <w:t xml:space="preserve">dėl augančių maisto kainų </w:t>
            </w:r>
            <w:r w:rsidRPr="008D7839">
              <w:rPr>
                <w:rFonts w:ascii="Times New Roman" w:eastAsia="Times New Roman" w:hAnsi="Times New Roman"/>
              </w:rPr>
              <w:t xml:space="preserve">su pagrindinių maisto prekių tinklų atstovais – „Norgesgruppen“, „Coop“, „Reitan Retail“, „Oda“ bei tiekėjais „Orkla“ ir „Nortura“. </w:t>
            </w:r>
            <w:r>
              <w:rPr>
                <w:rFonts w:ascii="Times New Roman" w:eastAsia="Times New Roman" w:hAnsi="Times New Roman"/>
              </w:rPr>
              <w:t>T</w:t>
            </w:r>
            <w:r w:rsidR="00B76D93" w:rsidRPr="00B76D93">
              <w:rPr>
                <w:rFonts w:ascii="Times New Roman" w:eastAsia="Times New Roman" w:hAnsi="Times New Roman"/>
              </w:rPr>
              <w:t>ikslas – išsiaiškinti, kodėl kyla maisto kainos, ir paskelbti naujas priemones konkurencinėms sąlygoms gerinti.</w:t>
            </w:r>
            <w:r w:rsidR="00B76D93">
              <w:rPr>
                <w:rFonts w:ascii="Times New Roman" w:eastAsia="Times New Roman" w:hAnsi="Times New Roman"/>
              </w:rPr>
              <w:t xml:space="preserve"> </w:t>
            </w:r>
            <w:r w:rsidR="00B76D93" w:rsidRPr="00B76D93">
              <w:rPr>
                <w:rFonts w:ascii="Times New Roman" w:eastAsia="Times New Roman" w:hAnsi="Times New Roman"/>
              </w:rPr>
              <w:t xml:space="preserve">Dar kovo mėnesį mažmeninės prekybos milžinė Norgesgruppen kreipėsi į Ministro Pirmininko kanceliariją su prašymu susitikti ir paaiškinti kainų kilimo priežastis po to, kai vasario mėnesio infliacijos duomenys parodė, kad maisto kainos pakilo net 7,5 proc. </w:t>
            </w:r>
            <w:r w:rsidRPr="008D7839">
              <w:rPr>
                <w:rFonts w:ascii="Times New Roman" w:eastAsia="Times New Roman" w:hAnsi="Times New Roman"/>
              </w:rPr>
              <w:t>„Nortura“ įspėjo apie galimą kainų padidėjimą šią vasarą jautienai 2,7 %, o kiaušiniams net 7,17 %.</w:t>
            </w:r>
            <w:r>
              <w:rPr>
                <w:rFonts w:ascii="Times New Roman" w:eastAsia="Times New Roman" w:hAnsi="Times New Roman"/>
              </w:rPr>
              <w:t xml:space="preserve"> </w:t>
            </w:r>
            <w:r w:rsidRPr="008D7839">
              <w:rPr>
                <w:rFonts w:ascii="Times New Roman" w:eastAsia="Times New Roman" w:hAnsi="Times New Roman"/>
              </w:rPr>
              <w:t>Norvegijos konkurencijos tarnybos ataskaita rodo, kad 95 % norvegų perka maisto prekes parduotuvėse, priklausančiose „Norgesgruppen“, „Coop“ ir „Reitan“. Maisto produktų tyrėjas Ivaras Fredrikas Pettersenas teigia, kad dalis problemos slypi Norvegijos importo muituose – pavyzdžiui, 443 % pienui ir ėrienai bei 277 % sūriams.</w:t>
            </w:r>
          </w:p>
        </w:tc>
        <w:tc>
          <w:tcPr>
            <w:tcW w:w="2268" w:type="dxa"/>
            <w:tcBorders>
              <w:bottom w:val="single" w:sz="4" w:space="0" w:color="000000"/>
            </w:tcBorders>
            <w:shd w:val="clear" w:color="auto" w:fill="auto"/>
            <w:tcMar>
              <w:top w:w="29" w:type="dxa"/>
              <w:left w:w="115" w:type="dxa"/>
              <w:bottom w:w="29" w:type="dxa"/>
              <w:right w:w="115" w:type="dxa"/>
            </w:tcMar>
          </w:tcPr>
          <w:p w14:paraId="259B2862" w14:textId="77777777" w:rsidR="00FB3A73" w:rsidRDefault="00B76D93" w:rsidP="007226E9">
            <w:pPr>
              <w:spacing w:after="0" w:line="240" w:lineRule="auto"/>
            </w:pPr>
            <w:hyperlink r:id="rId9" w:history="1">
              <w:r w:rsidRPr="00B76D93">
                <w:rPr>
                  <w:rStyle w:val="Hyperlink"/>
                  <w:rFonts w:ascii="Times New Roman" w:eastAsia="Times New Roman" w:hAnsi="Times New Roman"/>
                </w:rPr>
                <w:t>Støre avviste møte: Så kalte han matkjeden inn på teppet – E24</w:t>
              </w:r>
            </w:hyperlink>
          </w:p>
          <w:p w14:paraId="72457675" w14:textId="77777777" w:rsidR="00FB3A73" w:rsidRDefault="00FB3A73" w:rsidP="007226E9">
            <w:pPr>
              <w:spacing w:after="0" w:line="240" w:lineRule="auto"/>
            </w:pPr>
          </w:p>
          <w:p w14:paraId="00823EE7" w14:textId="4C68F9D6" w:rsidR="007226E9" w:rsidRPr="00F50348" w:rsidRDefault="00FB3A73" w:rsidP="007226E9">
            <w:pPr>
              <w:spacing w:after="0" w:line="240" w:lineRule="auto"/>
              <w:rPr>
                <w:rFonts w:ascii="Times New Roman" w:eastAsia="Times New Roman" w:hAnsi="Times New Roman"/>
              </w:rPr>
            </w:pPr>
            <w:hyperlink r:id="rId10" w:history="1">
              <w:r w:rsidRPr="008D7839">
                <w:rPr>
                  <w:rStyle w:val="Hyperlink"/>
                  <w:rFonts w:ascii="Times New Roman" w:eastAsia="Times New Roman" w:hAnsi="Times New Roman"/>
                  <w:lang w:val="en-GB"/>
                </w:rPr>
                <w:t>nrk.no</w:t>
              </w:r>
            </w:hyperlink>
          </w:p>
        </w:tc>
        <w:tc>
          <w:tcPr>
            <w:tcW w:w="1436" w:type="dxa"/>
            <w:shd w:val="clear" w:color="auto" w:fill="auto"/>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000EBADF" w14:textId="5BE64C91" w:rsidR="00F16AC8" w:rsidRPr="00383F1A" w:rsidRDefault="00383F1A" w:rsidP="00F16AC8">
            <w:pPr>
              <w:spacing w:after="0" w:line="240" w:lineRule="auto"/>
              <w:rPr>
                <w:rFonts w:ascii="Times New Roman" w:eastAsia="Times New Roman" w:hAnsi="Times New Roman"/>
                <w:lang w:val="en-US"/>
              </w:rPr>
            </w:pPr>
            <w:r>
              <w:rPr>
                <w:rFonts w:ascii="Times New Roman" w:eastAsia="Times New Roman" w:hAnsi="Times New Roman"/>
                <w:lang w:val="en-US"/>
              </w:rPr>
              <w:t>2025 05 19</w:t>
            </w:r>
          </w:p>
        </w:tc>
        <w:tc>
          <w:tcPr>
            <w:tcW w:w="5811" w:type="dxa"/>
            <w:shd w:val="clear" w:color="auto" w:fill="auto"/>
            <w:tcMar>
              <w:top w:w="29" w:type="dxa"/>
              <w:left w:w="115" w:type="dxa"/>
              <w:bottom w:w="29" w:type="dxa"/>
              <w:right w:w="115" w:type="dxa"/>
            </w:tcMar>
          </w:tcPr>
          <w:p w14:paraId="5023AE9D" w14:textId="3CB572EB" w:rsidR="00F16AC8" w:rsidRPr="00F50348" w:rsidRDefault="00383F1A" w:rsidP="00383F1A">
            <w:pPr>
              <w:spacing w:after="0" w:line="240" w:lineRule="auto"/>
              <w:jc w:val="both"/>
              <w:rPr>
                <w:rFonts w:ascii="Times New Roman" w:eastAsia="Times New Roman" w:hAnsi="Times New Roman"/>
              </w:rPr>
            </w:pPr>
            <w:r w:rsidRPr="00383F1A">
              <w:rPr>
                <w:rFonts w:ascii="Times New Roman" w:eastAsia="Times New Roman" w:hAnsi="Times New Roman"/>
              </w:rPr>
              <w:t>Norvegijos Vyriausybė pateikė viešam svarstymui pasiūlymą dėl nuolatinės turto mokesčio mokėjimo atidėjimo schemos įvedimo. Pagal šį pasiūlymą, nuo 2026 m. mokesčių mokėtojai galėtų atidėti turto mokesčio mokėjimą iki trejų metų.</w:t>
            </w:r>
            <w:r>
              <w:rPr>
                <w:rFonts w:ascii="Times New Roman" w:eastAsia="Times New Roman" w:hAnsi="Times New Roman"/>
              </w:rPr>
              <w:t xml:space="preserve"> A</w:t>
            </w:r>
            <w:r w:rsidRPr="00383F1A">
              <w:rPr>
                <w:rFonts w:ascii="Times New Roman" w:eastAsia="Times New Roman" w:hAnsi="Times New Roman"/>
              </w:rPr>
              <w:t>tidėjimo schema galėtų padėti išvengti situacijų, kai verslininkai turi išimti kapitalą iš savo įmonių vien tam, kad sumokėtų turto mokestį.</w:t>
            </w:r>
            <w:r>
              <w:rPr>
                <w:rFonts w:ascii="Times New Roman" w:eastAsia="Times New Roman" w:hAnsi="Times New Roman"/>
              </w:rPr>
              <w:t xml:space="preserve"> </w:t>
            </w:r>
            <w:r w:rsidRPr="00383F1A">
              <w:rPr>
                <w:rFonts w:ascii="Times New Roman" w:eastAsia="Times New Roman" w:hAnsi="Times New Roman"/>
              </w:rPr>
              <w:t>Anksčiau laikinos atidėjimo schemos jau buvo taikytos 2016, 2017 ir 2020 m. pajamų metams. Siūloma nuolatinė schema būtų panaši į ankstesnes, bet šiek tiek patobulinta.</w:t>
            </w:r>
            <w:r>
              <w:rPr>
                <w:rFonts w:ascii="Times New Roman" w:eastAsia="Times New Roman" w:hAnsi="Times New Roman"/>
              </w:rPr>
              <w:t xml:space="preserve"> </w:t>
            </w:r>
            <w:r w:rsidRPr="00383F1A">
              <w:rPr>
                <w:rFonts w:ascii="Times New Roman" w:eastAsia="Times New Roman" w:hAnsi="Times New Roman"/>
              </w:rPr>
              <w:t>Schema būtų skirta tik tiems verslo savininkams, kurie patiria realių likvidumo problemų, ir turėtų būti paprasta naudoti tiek mokesčių mokėtojams, tiek mokesčių administratoriui. Pastabų dėl pasiūlymo laukiama iki 2025 m. birželio 30 d. Tikimasi, kad galutinis pasiūlymas bus pristatytas 2026 m. nacionaliniame biudžete.</w:t>
            </w:r>
          </w:p>
        </w:tc>
        <w:tc>
          <w:tcPr>
            <w:tcW w:w="2268" w:type="dxa"/>
            <w:shd w:val="clear" w:color="auto" w:fill="auto"/>
            <w:tcMar>
              <w:top w:w="29" w:type="dxa"/>
              <w:left w:w="115" w:type="dxa"/>
              <w:bottom w:w="29" w:type="dxa"/>
              <w:right w:w="115" w:type="dxa"/>
            </w:tcMar>
          </w:tcPr>
          <w:p w14:paraId="03EEA052" w14:textId="7C2DB4F9" w:rsidR="00F607A3" w:rsidRPr="00D572D1" w:rsidRDefault="00383F1A" w:rsidP="00F16AC8">
            <w:pPr>
              <w:spacing w:after="0" w:line="240" w:lineRule="auto"/>
              <w:rPr>
                <w:rFonts w:ascii="Times New Roman" w:eastAsia="Times New Roman" w:hAnsi="Times New Roman"/>
                <w:lang w:val="en-US"/>
              </w:rPr>
            </w:pPr>
            <w:hyperlink r:id="rId11" w:history="1">
              <w:r w:rsidRPr="00383F1A">
                <w:rPr>
                  <w:rStyle w:val="Hyperlink"/>
                  <w:rFonts w:ascii="Times New Roman" w:eastAsia="Times New Roman" w:hAnsi="Times New Roman"/>
                </w:rPr>
                <w:t>The Government is circulating a proposal for a deferral scheme for wealth tax - regjeringen.no</w:t>
              </w:r>
            </w:hyperlink>
          </w:p>
        </w:tc>
        <w:tc>
          <w:tcPr>
            <w:tcW w:w="1436" w:type="dxa"/>
            <w:shd w:val="clear" w:color="auto" w:fill="auto"/>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2646B1A5"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3B00E620" w14:textId="3B01402A" w:rsidR="00C41F26" w:rsidRDefault="00FB3A73" w:rsidP="00C41F26">
            <w:pPr>
              <w:spacing w:after="0" w:line="240" w:lineRule="auto"/>
              <w:rPr>
                <w:rFonts w:ascii="Times New Roman" w:eastAsia="Times New Roman" w:hAnsi="Times New Roman"/>
              </w:rPr>
            </w:pPr>
            <w:r>
              <w:rPr>
                <w:rFonts w:ascii="Times New Roman" w:eastAsia="Times New Roman" w:hAnsi="Times New Roman"/>
              </w:rPr>
              <w:t>2025 05 27</w:t>
            </w:r>
          </w:p>
        </w:tc>
        <w:tc>
          <w:tcPr>
            <w:tcW w:w="5811" w:type="dxa"/>
            <w:shd w:val="clear" w:color="auto" w:fill="auto"/>
            <w:tcMar>
              <w:top w:w="29" w:type="dxa"/>
              <w:left w:w="115" w:type="dxa"/>
              <w:bottom w:w="29" w:type="dxa"/>
              <w:right w:w="115" w:type="dxa"/>
            </w:tcMar>
          </w:tcPr>
          <w:p w14:paraId="2C89266E" w14:textId="073286F7" w:rsidR="00C41F26" w:rsidRPr="00F607A3" w:rsidRDefault="00FB3A73" w:rsidP="00FB3A73">
            <w:pPr>
              <w:spacing w:after="0" w:line="240" w:lineRule="auto"/>
              <w:jc w:val="both"/>
              <w:rPr>
                <w:rFonts w:ascii="Times New Roman" w:eastAsia="Times New Roman" w:hAnsi="Times New Roman"/>
              </w:rPr>
            </w:pPr>
            <w:r w:rsidRPr="00FB3A73">
              <w:rPr>
                <w:rFonts w:ascii="Times New Roman" w:eastAsia="Times New Roman" w:hAnsi="Times New Roman"/>
              </w:rPr>
              <w:t>Norvegijos finansų ministras Jens Stoltenberg pristatė pasiūlymą pradėti didžiausią šalies istorijoje ekonominį eksperimentą – atsitiktinai atrinkti 100 000 jaunų žmonių (20–35 m.), kuriems būtų sumažinti mokesčiai iki 27 500 NOK per metus. Eksperimento tikslas – išsiaiškinti, ar mažesni pajamų mokesčiai paskatina jaunimą įsidarbinti.</w:t>
            </w:r>
            <w:r>
              <w:rPr>
                <w:rFonts w:ascii="Times New Roman" w:eastAsia="Times New Roman" w:hAnsi="Times New Roman"/>
              </w:rPr>
              <w:t xml:space="preserve"> </w:t>
            </w:r>
            <w:r w:rsidRPr="00FB3A73">
              <w:rPr>
                <w:rFonts w:ascii="Times New Roman" w:eastAsia="Times New Roman" w:hAnsi="Times New Roman"/>
              </w:rPr>
              <w:t xml:space="preserve">Pasiūlymas, kuris valstybei gali kainuoti apie 500 milijonų NOK per metus, pateiktas viešoms konsultacijoms ir galėtų būti įtrauktas į 2026 m. valstybės biudžetą. Pasak Stoltenbergo, niekas dėl šio </w:t>
            </w:r>
            <w:r w:rsidRPr="00FB3A73">
              <w:rPr>
                <w:rFonts w:ascii="Times New Roman" w:eastAsia="Times New Roman" w:hAnsi="Times New Roman"/>
              </w:rPr>
              <w:lastRenderedPageBreak/>
              <w:t>eksperimento nenukentės – niekam mokesčiai nebus padidinti. Jis pabrėžia, kad atsitiktinės atrankos metodas dažnai naudojamas mokslo tyrimuose, tačiau pirmą kartą būtų taikomas mokesčių srityje.</w:t>
            </w:r>
            <w:r>
              <w:rPr>
                <w:rFonts w:ascii="Times New Roman" w:eastAsia="Times New Roman" w:hAnsi="Times New Roman"/>
              </w:rPr>
              <w:t xml:space="preserve"> </w:t>
            </w:r>
            <w:r w:rsidRPr="00FB3A73">
              <w:rPr>
                <w:rFonts w:ascii="Times New Roman" w:eastAsia="Times New Roman" w:hAnsi="Times New Roman"/>
              </w:rPr>
              <w:t>Eksperimento dalyviai galėtų sutaupyti iki 137 500 NOK per penkerius metus. Poveikį vertins Frisch centras. Centro vadovas Simen Markussen teigia, kad nors tikimasi, kad daugiau žmonių įsidarbins, gali būti ir priešingas efektas – kai kurie gali pradėti dirbti mažiau dėl padidėjusio ribinio mokesčio, kai pasiekiama tam tikra pajamų riba.</w:t>
            </w:r>
            <w:r>
              <w:rPr>
                <w:rFonts w:ascii="Times New Roman" w:eastAsia="Times New Roman" w:hAnsi="Times New Roman"/>
              </w:rPr>
              <w:t xml:space="preserve"> </w:t>
            </w:r>
            <w:r w:rsidRPr="00FB3A73">
              <w:rPr>
                <w:rFonts w:ascii="Times New Roman" w:eastAsia="Times New Roman" w:hAnsi="Times New Roman"/>
              </w:rPr>
              <w:t>Galutinis tikslas – įgyti patikimų žinių apie tai, ar mokesčių mažinimas yra veiksminga priemonė jaunimo nedarbui mažinti.</w:t>
            </w:r>
          </w:p>
        </w:tc>
        <w:tc>
          <w:tcPr>
            <w:tcW w:w="2268" w:type="dxa"/>
            <w:shd w:val="clear" w:color="auto" w:fill="auto"/>
            <w:tcMar>
              <w:top w:w="29" w:type="dxa"/>
              <w:left w:w="115" w:type="dxa"/>
              <w:bottom w:w="29" w:type="dxa"/>
              <w:right w:w="115" w:type="dxa"/>
            </w:tcMar>
          </w:tcPr>
          <w:p w14:paraId="24940468" w14:textId="7212C7A9" w:rsidR="00C41F26" w:rsidRDefault="00FB3A73" w:rsidP="00C41F26">
            <w:pPr>
              <w:spacing w:after="0" w:line="240" w:lineRule="auto"/>
            </w:pPr>
            <w:hyperlink r:id="rId12" w:history="1">
              <w:r w:rsidRPr="00FB3A73">
                <w:rPr>
                  <w:rStyle w:val="Hyperlink"/>
                </w:rPr>
                <w:t>This is how Jens Stoltenberg defends his own tax lottery</w:t>
              </w:r>
            </w:hyperlink>
          </w:p>
        </w:tc>
        <w:tc>
          <w:tcPr>
            <w:tcW w:w="1436" w:type="dxa"/>
            <w:shd w:val="clear" w:color="auto" w:fill="auto"/>
            <w:tcMar>
              <w:top w:w="29" w:type="dxa"/>
              <w:left w:w="115" w:type="dxa"/>
              <w:bottom w:w="29" w:type="dxa"/>
              <w:right w:w="115" w:type="dxa"/>
            </w:tcMar>
          </w:tcPr>
          <w:p w14:paraId="5D79D755" w14:textId="77777777" w:rsidR="00C41F26" w:rsidRPr="00F50348" w:rsidRDefault="00C41F26" w:rsidP="00C41F26">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6617DF84" w14:textId="5668685B" w:rsidR="00E951CD" w:rsidRDefault="00501A5E" w:rsidP="00C41F26">
            <w:pPr>
              <w:spacing w:after="0" w:line="240" w:lineRule="auto"/>
              <w:rPr>
                <w:rFonts w:ascii="Times New Roman" w:eastAsia="Times New Roman" w:hAnsi="Times New Roman"/>
              </w:rPr>
            </w:pPr>
            <w:r>
              <w:rPr>
                <w:rFonts w:ascii="Times New Roman" w:eastAsia="Times New Roman" w:hAnsi="Times New Roman"/>
              </w:rPr>
              <w:t>2025 05 12</w:t>
            </w:r>
          </w:p>
        </w:tc>
        <w:tc>
          <w:tcPr>
            <w:tcW w:w="5811" w:type="dxa"/>
            <w:shd w:val="clear" w:color="auto" w:fill="auto"/>
            <w:tcMar>
              <w:top w:w="29" w:type="dxa"/>
              <w:left w:w="115" w:type="dxa"/>
              <w:bottom w:w="29" w:type="dxa"/>
              <w:right w:w="115" w:type="dxa"/>
            </w:tcMar>
          </w:tcPr>
          <w:p w14:paraId="3CE6A65E" w14:textId="64854E0E" w:rsidR="00E951CD" w:rsidRPr="003669E7" w:rsidRDefault="00501A5E" w:rsidP="00501A5E">
            <w:pPr>
              <w:spacing w:after="0" w:line="240" w:lineRule="auto"/>
              <w:jc w:val="both"/>
              <w:rPr>
                <w:rFonts w:ascii="Times New Roman" w:eastAsia="Times New Roman" w:hAnsi="Times New Roman"/>
              </w:rPr>
            </w:pPr>
            <w:r w:rsidRPr="00501A5E">
              <w:rPr>
                <w:rFonts w:ascii="Times New Roman" w:eastAsia="Times New Roman" w:hAnsi="Times New Roman"/>
              </w:rPr>
              <w:t>Norvegija rengia nacionalinę kvantinių technologijų strategiją, siekdama neatsilikti nuo Švedijos, Danijos ir Suomijos. Šiuo tikslu Vyriausybė paveda Norvegijos mokslinių tyrimų tarybai, „Innovation Norway“ ir Nacionalinei saugumo institucijai parengti šios strategijos žinių pagrindą</w:t>
            </w:r>
            <w:r>
              <w:rPr>
                <w:rFonts w:ascii="Times New Roman" w:eastAsia="Times New Roman" w:hAnsi="Times New Roman"/>
              </w:rPr>
              <w:t xml:space="preserve">. </w:t>
            </w:r>
            <w:r w:rsidRPr="00501A5E">
              <w:rPr>
                <w:rFonts w:ascii="Times New Roman" w:eastAsia="Times New Roman" w:hAnsi="Times New Roman"/>
              </w:rPr>
              <w:t>Nors ši technologija dar ankstyvoje vystymosi stadijoje, lūkesčiai – itin aukšti.</w:t>
            </w:r>
            <w:r>
              <w:rPr>
                <w:rFonts w:ascii="Times New Roman" w:eastAsia="Times New Roman" w:hAnsi="Times New Roman"/>
              </w:rPr>
              <w:t xml:space="preserve"> </w:t>
            </w:r>
            <w:r w:rsidRPr="00501A5E">
              <w:rPr>
                <w:rFonts w:ascii="Times New Roman" w:eastAsia="Times New Roman" w:hAnsi="Times New Roman"/>
              </w:rPr>
              <w:t xml:space="preserve">Kol JAV ir Kinija varžosi dėl lyderystės, o Suomija, Švedija ir Danija jau aktyviai investuoja, Norvegija iki šiol buvo mažiau aktyvi. 2025 m. valstybės biudžete vyriausybė numatė papildomą 70 mln. </w:t>
            </w:r>
            <w:r>
              <w:rPr>
                <w:rFonts w:ascii="Times New Roman" w:eastAsia="Times New Roman" w:hAnsi="Times New Roman"/>
              </w:rPr>
              <w:t>NOK</w:t>
            </w:r>
            <w:r w:rsidRPr="00501A5E">
              <w:rPr>
                <w:rFonts w:ascii="Times New Roman" w:eastAsia="Times New Roman" w:hAnsi="Times New Roman"/>
              </w:rPr>
              <w:t xml:space="preserve"> metinį finansavimą kvantinių technologijų tyrimams. Tikslas – sukurti stiprias nacionalines mokslines bendruomenes, kurios būtų konkurencingos tarptautiniu mastu, apimančias tris pagrindines sritis: kvantinį skaičiavimą, kvantinę komunikaciją ir kvantinius jutiklius. Mokslinių tyrimų taryba yra atsakinga už šios iniciatyvos įgyvendinimą ir šį pavasarį paskelbė kvietimą teikti paraiškas finansavimui, kuris bus paskirstytas liepą.</w:t>
            </w:r>
            <w:r>
              <w:rPr>
                <w:rFonts w:ascii="Times New Roman" w:eastAsia="Times New Roman" w:hAnsi="Times New Roman"/>
              </w:rPr>
              <w:t xml:space="preserve"> </w:t>
            </w:r>
            <w:r w:rsidRPr="00501A5E">
              <w:rPr>
                <w:rFonts w:ascii="Times New Roman" w:eastAsia="Times New Roman" w:hAnsi="Times New Roman"/>
              </w:rPr>
              <w:t>Danija, siekdama sustiprinti Šiaurės šalių konkurencingumą šioje srityje, inicijavo bendros kvantinių technologijų krypties vystymą Šiaurės regione. Tikslas – bendradarbiauti švietimo ir mokslinių tyrimų srityse bei pritraukti talentų ir rizikos kapitalo į Šiaurės šalis.</w:t>
            </w:r>
          </w:p>
        </w:tc>
        <w:tc>
          <w:tcPr>
            <w:tcW w:w="2268" w:type="dxa"/>
            <w:shd w:val="clear" w:color="auto" w:fill="auto"/>
            <w:tcMar>
              <w:top w:w="29" w:type="dxa"/>
              <w:left w:w="115" w:type="dxa"/>
              <w:bottom w:w="29" w:type="dxa"/>
              <w:right w:w="115" w:type="dxa"/>
            </w:tcMar>
          </w:tcPr>
          <w:p w14:paraId="77892EB3" w14:textId="68EAEDDD" w:rsidR="00E951CD" w:rsidRPr="00C63961" w:rsidRDefault="00501A5E" w:rsidP="00C41F26">
            <w:pPr>
              <w:spacing w:after="0" w:line="240" w:lineRule="auto"/>
              <w:rPr>
                <w:rFonts w:ascii="Times New Roman" w:eastAsia="Times New Roman" w:hAnsi="Times New Roman"/>
              </w:rPr>
            </w:pPr>
            <w:hyperlink r:id="rId13" w:history="1">
              <w:r w:rsidRPr="00501A5E">
                <w:rPr>
                  <w:rStyle w:val="Hyperlink"/>
                  <w:rFonts w:ascii="Times New Roman" w:eastAsia="Times New Roman" w:hAnsi="Times New Roman"/>
                </w:rPr>
                <w:t>Nå starter arbeidet med nasjonal strategi for kvanteteknologi - regjeringen.no</w:t>
              </w:r>
            </w:hyperlink>
          </w:p>
        </w:tc>
        <w:tc>
          <w:tcPr>
            <w:tcW w:w="1436" w:type="dxa"/>
            <w:shd w:val="clear" w:color="auto" w:fill="auto"/>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7FA9547B" w14:textId="00B125E8" w:rsidR="003669E7" w:rsidRDefault="001E2E1C" w:rsidP="00C41F26">
            <w:pPr>
              <w:spacing w:after="0" w:line="240" w:lineRule="auto"/>
              <w:rPr>
                <w:rFonts w:ascii="Times New Roman" w:eastAsia="Times New Roman" w:hAnsi="Times New Roman"/>
              </w:rPr>
            </w:pPr>
            <w:r>
              <w:rPr>
                <w:rFonts w:ascii="Times New Roman" w:eastAsia="Times New Roman" w:hAnsi="Times New Roman"/>
              </w:rPr>
              <w:t>2025 05 26</w:t>
            </w:r>
          </w:p>
        </w:tc>
        <w:tc>
          <w:tcPr>
            <w:tcW w:w="5811" w:type="dxa"/>
            <w:shd w:val="clear" w:color="auto" w:fill="auto"/>
            <w:tcMar>
              <w:top w:w="29" w:type="dxa"/>
              <w:left w:w="115" w:type="dxa"/>
              <w:bottom w:w="29" w:type="dxa"/>
              <w:right w:w="115" w:type="dxa"/>
            </w:tcMar>
          </w:tcPr>
          <w:p w14:paraId="1E1AE540" w14:textId="55C23AB8" w:rsidR="00136D1F" w:rsidRPr="00F11CC6" w:rsidRDefault="001E2E1C" w:rsidP="001E2E1C">
            <w:pPr>
              <w:spacing w:after="0" w:line="240" w:lineRule="auto"/>
              <w:jc w:val="both"/>
              <w:rPr>
                <w:rFonts w:ascii="Times New Roman" w:eastAsia="Times New Roman" w:hAnsi="Times New Roman"/>
              </w:rPr>
            </w:pPr>
            <w:r w:rsidRPr="001E2E1C">
              <w:rPr>
                <w:rFonts w:ascii="Times New Roman" w:eastAsia="Times New Roman" w:hAnsi="Times New Roman"/>
              </w:rPr>
              <w:t xml:space="preserve">Šiaurės šalių vyriausybių vadovai </w:t>
            </w:r>
            <w:r>
              <w:rPr>
                <w:rFonts w:ascii="Times New Roman" w:eastAsia="Times New Roman" w:hAnsi="Times New Roman"/>
              </w:rPr>
              <w:t>pasirašė</w:t>
            </w:r>
            <w:r w:rsidRPr="001E2E1C">
              <w:rPr>
                <w:rFonts w:ascii="Times New Roman" w:eastAsia="Times New Roman" w:hAnsi="Times New Roman"/>
              </w:rPr>
              <w:t xml:space="preserve"> bendrą deklaraciją, kuria siekiama paversti Šiaurės šalis pasauliniu centru įmonėms, investicijoms ir talentams kvantinių technologijų srityje.</w:t>
            </w:r>
            <w:r>
              <w:rPr>
                <w:rFonts w:ascii="Times New Roman" w:eastAsia="Times New Roman" w:hAnsi="Times New Roman"/>
              </w:rPr>
              <w:t xml:space="preserve"> </w:t>
            </w:r>
            <w:r w:rsidRPr="001E2E1C">
              <w:rPr>
                <w:rFonts w:ascii="Times New Roman" w:eastAsia="Times New Roman" w:hAnsi="Times New Roman"/>
              </w:rPr>
              <w:t>Bendroje deklaracijoje akcentuojamas platus Šiaurės šalių bendradarbiavimas švietimo ir mokslinių tyrimų srityse.</w:t>
            </w:r>
            <w:r>
              <w:rPr>
                <w:rFonts w:ascii="Times New Roman" w:eastAsia="Times New Roman" w:hAnsi="Times New Roman"/>
              </w:rPr>
              <w:t xml:space="preserve"> </w:t>
            </w:r>
            <w:r w:rsidRPr="001E2E1C">
              <w:rPr>
                <w:rFonts w:ascii="Times New Roman" w:eastAsia="Times New Roman" w:hAnsi="Times New Roman"/>
              </w:rPr>
              <w:t xml:space="preserve">Kvantinės technologijos taip pat itin svarbios saugumo ir gynybos srityje. Jos prisideda prie atsparumo kibernetinėms grėsmėms, radarų, jutiklių, navigacijos ir šifravimo sistemų kūrimo. Norvegijos 2025 m. valstybės biudžete kvantinių tyrimų finansavimas padidintas 70 mln. Norvegijos kronų per metus. Tikslas – sukurti aukštos tarptautinės kokybės akademines bendruomenes trijose pagrindinėse srityse: kvantinėse skaičiavimo sistemose, kvantinėje komunikacijoje ir kvantiniuose jutikliuose. </w:t>
            </w:r>
          </w:p>
        </w:tc>
        <w:tc>
          <w:tcPr>
            <w:tcW w:w="2268" w:type="dxa"/>
            <w:shd w:val="clear" w:color="auto" w:fill="auto"/>
            <w:tcMar>
              <w:top w:w="29" w:type="dxa"/>
              <w:left w:w="115" w:type="dxa"/>
              <w:bottom w:w="29" w:type="dxa"/>
              <w:right w:w="115" w:type="dxa"/>
            </w:tcMar>
          </w:tcPr>
          <w:p w14:paraId="08D997C1" w14:textId="28158DFB" w:rsidR="003669E7" w:rsidRPr="00F50348" w:rsidRDefault="001E2E1C" w:rsidP="00C41F26">
            <w:pPr>
              <w:spacing w:after="0" w:line="240" w:lineRule="auto"/>
              <w:rPr>
                <w:rFonts w:ascii="Times New Roman" w:eastAsia="Times New Roman" w:hAnsi="Times New Roman"/>
              </w:rPr>
            </w:pPr>
            <w:hyperlink r:id="rId14" w:history="1">
              <w:r w:rsidRPr="001E2E1C">
                <w:rPr>
                  <w:rStyle w:val="Hyperlink"/>
                  <w:rFonts w:ascii="Times New Roman" w:eastAsia="Times New Roman" w:hAnsi="Times New Roman"/>
                </w:rPr>
                <w:t>The Nordic region wants to be at the forefront of development in quantum technology - regjeringen.no</w:t>
              </w:r>
            </w:hyperlink>
          </w:p>
        </w:tc>
        <w:tc>
          <w:tcPr>
            <w:tcW w:w="1436" w:type="dxa"/>
            <w:shd w:val="clear" w:color="auto" w:fill="auto"/>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2269CFA8"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22359B36" w14:textId="07FA5EA9" w:rsidR="00C41F26" w:rsidRPr="00F50348" w:rsidRDefault="003D6D3A" w:rsidP="00C41F26">
            <w:pPr>
              <w:spacing w:after="0" w:line="240" w:lineRule="auto"/>
              <w:rPr>
                <w:rFonts w:ascii="Times New Roman" w:eastAsia="Times New Roman" w:hAnsi="Times New Roman"/>
              </w:rPr>
            </w:pPr>
            <w:r>
              <w:rPr>
                <w:rFonts w:ascii="Times New Roman" w:eastAsia="Times New Roman" w:hAnsi="Times New Roman"/>
              </w:rPr>
              <w:t>2025 05 07</w:t>
            </w:r>
          </w:p>
        </w:tc>
        <w:tc>
          <w:tcPr>
            <w:tcW w:w="5811" w:type="dxa"/>
            <w:shd w:val="clear" w:color="auto" w:fill="auto"/>
            <w:tcMar>
              <w:top w:w="29" w:type="dxa"/>
              <w:left w:w="115" w:type="dxa"/>
              <w:bottom w:w="29" w:type="dxa"/>
              <w:right w:w="115" w:type="dxa"/>
            </w:tcMar>
          </w:tcPr>
          <w:p w14:paraId="7D9020AF" w14:textId="15577071" w:rsidR="00C41F26" w:rsidRPr="00F50348" w:rsidRDefault="003D6D3A" w:rsidP="003D6D3A">
            <w:pPr>
              <w:spacing w:after="0" w:line="240" w:lineRule="auto"/>
              <w:jc w:val="both"/>
              <w:rPr>
                <w:rFonts w:ascii="Times New Roman" w:eastAsia="Times New Roman" w:hAnsi="Times New Roman"/>
              </w:rPr>
            </w:pPr>
            <w:r w:rsidRPr="003D6D3A">
              <w:rPr>
                <w:rFonts w:ascii="Times New Roman" w:eastAsia="Times New Roman" w:hAnsi="Times New Roman"/>
              </w:rPr>
              <w:t>2025 m. gegužės 7 d. Norvegija ir JK pasirašė supratimo memorandumą dėl žaliosios pramonės partnerystės. Partnerystės tikslai – skatinti žaliąją pramonę, stiprinti energetinį saugumą, plėtoti kompetencijas, kurti tvarias žaliavų tiekimo grandines, skatinti prekybą, investicijas ir inovacijas mažai taršiuose sektoriuose.</w:t>
            </w:r>
            <w:r>
              <w:rPr>
                <w:rFonts w:ascii="Times New Roman" w:eastAsia="Times New Roman" w:hAnsi="Times New Roman"/>
              </w:rPr>
              <w:t xml:space="preserve"> </w:t>
            </w:r>
            <w:r w:rsidRPr="003D6D3A">
              <w:rPr>
                <w:rFonts w:ascii="Times New Roman" w:eastAsia="Times New Roman" w:hAnsi="Times New Roman"/>
              </w:rPr>
              <w:t xml:space="preserve">Bendradarbiavimas apims anglies dioksido surinkimą ir saugojimą (CCS), vandenilį, jūrinę vėjo </w:t>
            </w:r>
            <w:r w:rsidRPr="003D6D3A">
              <w:rPr>
                <w:rFonts w:ascii="Times New Roman" w:eastAsia="Times New Roman" w:hAnsi="Times New Roman"/>
              </w:rPr>
              <w:lastRenderedPageBreak/>
              <w:t>energetiką, tvarių energetikos sistemų plėtrą ir bendrą kompetencijų ugdymą.</w:t>
            </w:r>
            <w:r>
              <w:rPr>
                <w:rFonts w:ascii="Times New Roman" w:eastAsia="Times New Roman" w:hAnsi="Times New Roman"/>
              </w:rPr>
              <w:t xml:space="preserve"> </w:t>
            </w:r>
            <w:r w:rsidRPr="003D6D3A">
              <w:rPr>
                <w:rFonts w:ascii="Times New Roman" w:eastAsia="Times New Roman" w:hAnsi="Times New Roman"/>
              </w:rPr>
              <w:t>JK yra antra pagal dydį Norvegijos prekybos partnerė. 2024 m. prekybos apimtys siekė per 530 mlrd. Norvegijos kronų.</w:t>
            </w:r>
          </w:p>
        </w:tc>
        <w:tc>
          <w:tcPr>
            <w:tcW w:w="2268" w:type="dxa"/>
            <w:shd w:val="clear" w:color="auto" w:fill="auto"/>
            <w:tcMar>
              <w:top w:w="29" w:type="dxa"/>
              <w:left w:w="115" w:type="dxa"/>
              <w:bottom w:w="29" w:type="dxa"/>
              <w:right w:w="115" w:type="dxa"/>
            </w:tcMar>
          </w:tcPr>
          <w:p w14:paraId="1D42D103" w14:textId="49C47FC1" w:rsidR="00C41F26" w:rsidRPr="00F50348" w:rsidRDefault="003D6D3A" w:rsidP="00C41F26">
            <w:pPr>
              <w:spacing w:after="0" w:line="240" w:lineRule="auto"/>
              <w:rPr>
                <w:rFonts w:ascii="Times New Roman" w:eastAsia="Times New Roman" w:hAnsi="Times New Roman"/>
              </w:rPr>
            </w:pPr>
            <w:hyperlink r:id="rId15" w:history="1">
              <w:r w:rsidRPr="003D6D3A">
                <w:rPr>
                  <w:rStyle w:val="Hyperlink"/>
                  <w:rFonts w:ascii="Times New Roman" w:eastAsia="Times New Roman" w:hAnsi="Times New Roman"/>
                </w:rPr>
                <w:t>Norway and the UK will cooperate more closely on clean industry and energy - regjeringen.no</w:t>
              </w:r>
            </w:hyperlink>
          </w:p>
        </w:tc>
        <w:tc>
          <w:tcPr>
            <w:tcW w:w="1436" w:type="dxa"/>
            <w:shd w:val="clear" w:color="auto" w:fill="auto"/>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29B9C2C8" w14:textId="5ED3396B" w:rsidR="00C41F26" w:rsidRPr="00F50348" w:rsidRDefault="00E04983" w:rsidP="00C41F26">
            <w:pPr>
              <w:spacing w:after="0" w:line="240" w:lineRule="auto"/>
              <w:rPr>
                <w:rFonts w:ascii="Times New Roman" w:eastAsia="Times New Roman" w:hAnsi="Times New Roman"/>
              </w:rPr>
            </w:pPr>
            <w:r>
              <w:rPr>
                <w:rFonts w:ascii="Times New Roman" w:eastAsia="Times New Roman" w:hAnsi="Times New Roman"/>
              </w:rPr>
              <w:t>2025 05 08</w:t>
            </w:r>
          </w:p>
        </w:tc>
        <w:tc>
          <w:tcPr>
            <w:tcW w:w="5811" w:type="dxa"/>
            <w:shd w:val="clear" w:color="auto" w:fill="auto"/>
            <w:tcMar>
              <w:top w:w="29" w:type="dxa"/>
              <w:left w:w="115" w:type="dxa"/>
              <w:bottom w:w="29" w:type="dxa"/>
              <w:right w:w="115" w:type="dxa"/>
            </w:tcMar>
          </w:tcPr>
          <w:p w14:paraId="5672393D" w14:textId="46E8A2D9" w:rsidR="00C41F26" w:rsidRPr="006E38A4" w:rsidRDefault="00E04983" w:rsidP="00C41F26">
            <w:pPr>
              <w:spacing w:after="0" w:line="240" w:lineRule="auto"/>
              <w:jc w:val="both"/>
              <w:rPr>
                <w:rFonts w:ascii="Times New Roman" w:eastAsia="Times New Roman" w:hAnsi="Times New Roman"/>
              </w:rPr>
            </w:pPr>
            <w:r w:rsidRPr="00E04983">
              <w:rPr>
                <w:rFonts w:ascii="Times New Roman" w:eastAsia="Times New Roman" w:hAnsi="Times New Roman"/>
              </w:rPr>
              <w:t>Norvegijos valstybinė įmonė „Statkraft“, kuri yra viena didžiausų atsinaujinančios energijos gamintojų Europoje, nusprendė atsisakyti naujų vandenilio projektų, nebent jie gautų reikšmingą valstybinę paramą. Pasak generalinės direktorės Birgitte Ringstad Vartdal, bendrovė nebemato vandenilio projektų pelningumo be didelių subsidijų. Iš 13 vykdomų vandenilio projektų Europoje bus tęsiami tik 2–3, daugiausia Jungtinėje Karalystėje ir Vokietijoje. Šis sprendimas reiškia ir planuoto žaliojo plieno projekto Celsa gamykloje Mo i Rana uždarymą, nepaisant anksčiau gautos 120 mln. NOK valstybės paramos. Vartdal pažymėjo, kad nors vandenilis išlieka svarbia žaliąja alternatyva, politiniai ir rinkos neapibrėžtumai verčia peržiūrėti prioritetus. Dabar Statkraft koncentruosis į pelningiausius projektus, ypač hidro, vėjo ir saulės energiją.</w:t>
            </w:r>
          </w:p>
        </w:tc>
        <w:tc>
          <w:tcPr>
            <w:tcW w:w="2268" w:type="dxa"/>
            <w:shd w:val="clear" w:color="auto" w:fill="auto"/>
            <w:tcMar>
              <w:top w:w="29" w:type="dxa"/>
              <w:left w:w="115" w:type="dxa"/>
              <w:bottom w:w="29" w:type="dxa"/>
              <w:right w:w="115" w:type="dxa"/>
            </w:tcMar>
          </w:tcPr>
          <w:p w14:paraId="770AB70B" w14:textId="5AE60DC6" w:rsidR="00C41F26" w:rsidRPr="00F50348" w:rsidRDefault="00E04983" w:rsidP="00C41F26">
            <w:pPr>
              <w:spacing w:after="0" w:line="240" w:lineRule="auto"/>
              <w:rPr>
                <w:rFonts w:ascii="Times New Roman" w:eastAsia="Times New Roman" w:hAnsi="Times New Roman"/>
              </w:rPr>
            </w:pPr>
            <w:hyperlink r:id="rId16" w:history="1">
              <w:r w:rsidRPr="009E10A1">
                <w:rPr>
                  <w:rStyle w:val="Hyperlink"/>
                </w:rPr>
                <w:t>Statkraft-sjefen etter 600 mill: Ser ikke lønnsomhet i hydrogen | DN</w:t>
              </w:r>
            </w:hyperlink>
          </w:p>
        </w:tc>
        <w:tc>
          <w:tcPr>
            <w:tcW w:w="1436" w:type="dxa"/>
            <w:shd w:val="clear" w:color="auto" w:fill="auto"/>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212F8C" w:rsidRPr="00F50348" w14:paraId="78707836"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42EE3ED9" w14:textId="44363937" w:rsidR="00212F8C" w:rsidRDefault="00526591" w:rsidP="00C41F26">
            <w:pPr>
              <w:spacing w:after="0" w:line="240" w:lineRule="auto"/>
              <w:rPr>
                <w:rFonts w:ascii="Times New Roman" w:eastAsia="Times New Roman" w:hAnsi="Times New Roman"/>
              </w:rPr>
            </w:pPr>
            <w:r>
              <w:rPr>
                <w:rFonts w:ascii="Times New Roman" w:eastAsia="Times New Roman" w:hAnsi="Times New Roman"/>
              </w:rPr>
              <w:t>2025 05 09</w:t>
            </w:r>
          </w:p>
        </w:tc>
        <w:tc>
          <w:tcPr>
            <w:tcW w:w="5811" w:type="dxa"/>
            <w:shd w:val="clear" w:color="auto" w:fill="auto"/>
            <w:tcMar>
              <w:top w:w="29" w:type="dxa"/>
              <w:left w:w="115" w:type="dxa"/>
              <w:bottom w:w="29" w:type="dxa"/>
              <w:right w:w="115" w:type="dxa"/>
            </w:tcMar>
          </w:tcPr>
          <w:p w14:paraId="48EDE0B3" w14:textId="61220568" w:rsidR="00212F8C" w:rsidRPr="00D72E36" w:rsidRDefault="00526591" w:rsidP="00C41F26">
            <w:pPr>
              <w:spacing w:after="0" w:line="240" w:lineRule="auto"/>
              <w:jc w:val="both"/>
              <w:rPr>
                <w:rFonts w:ascii="Times New Roman" w:eastAsia="Times New Roman" w:hAnsi="Times New Roman"/>
              </w:rPr>
            </w:pPr>
            <w:r w:rsidRPr="00526591">
              <w:rPr>
                <w:rFonts w:ascii="Times New Roman" w:eastAsia="Times New Roman" w:hAnsi="Times New Roman"/>
              </w:rPr>
              <w:t>Norvegijos Energetikos ministerija paskelbė šių metų iš anksto apibrėžtų naftos ir dujų veiklai teritorijų (APA 2025) licencijavimo etapą. Kaip ir ankstesniais metais, jis vyksta pagal įprastą tvarką – paraiškų pateikimo terminas įmonėms yra iki šių metų rugsėjo mėn., o naujos gavybos licencijos planuojamos išduoti 2026 m. sausį. Energetikos ministras Terje Aasland džiaugėsi, kad dar niekada nebuvo paskelbtas toks didelis plotas ir yra labai svarbu užtikrinti stabilią įmonių prieigą prie žvalgybos teritorijų. Ministras pabrėžia, kad APA licencijavimo etapai yra kertinis vyriausybės naftos politikos elementas. Tolesnė žvalgyba ir nauji ištekliai yra būtini siekiant sumažinti gamybos mažėjimą po 2030 metų. APA 2025 teritorijos sudaro apie 75 % visos Norvegijos kontinentinio šelfo</w:t>
            </w:r>
          </w:p>
        </w:tc>
        <w:tc>
          <w:tcPr>
            <w:tcW w:w="2268" w:type="dxa"/>
            <w:shd w:val="clear" w:color="auto" w:fill="auto"/>
            <w:tcMar>
              <w:top w:w="29" w:type="dxa"/>
              <w:left w:w="115" w:type="dxa"/>
              <w:bottom w:w="29" w:type="dxa"/>
              <w:right w:w="115" w:type="dxa"/>
            </w:tcMar>
          </w:tcPr>
          <w:p w14:paraId="68D21302" w14:textId="0CDDE00E" w:rsidR="00212F8C" w:rsidRDefault="00526591" w:rsidP="00C41F26">
            <w:pPr>
              <w:spacing w:after="0" w:line="240" w:lineRule="auto"/>
            </w:pPr>
            <w:hyperlink r:id="rId17" w:history="1">
              <w:r>
                <w:rPr>
                  <w:rStyle w:val="Hyperlink"/>
                  <w:rFonts w:asciiTheme="minorHAnsi" w:hAnsiTheme="minorHAnsi" w:cstheme="minorHAnsi"/>
                </w:rPr>
                <w:t>MoE</w:t>
              </w:r>
            </w:hyperlink>
          </w:p>
        </w:tc>
        <w:tc>
          <w:tcPr>
            <w:tcW w:w="1436" w:type="dxa"/>
            <w:shd w:val="clear" w:color="auto" w:fill="auto"/>
            <w:tcMar>
              <w:top w:w="29" w:type="dxa"/>
              <w:left w:w="115" w:type="dxa"/>
              <w:bottom w:w="29" w:type="dxa"/>
              <w:right w:w="115" w:type="dxa"/>
            </w:tcMar>
          </w:tcPr>
          <w:p w14:paraId="5E3027B7" w14:textId="77777777" w:rsidR="00212F8C" w:rsidRPr="00F50348" w:rsidRDefault="00212F8C" w:rsidP="00C41F26">
            <w:pPr>
              <w:rPr>
                <w:rFonts w:ascii="Times New Roman" w:eastAsia="Times New Roman" w:hAnsi="Times New Roman"/>
              </w:rPr>
            </w:pPr>
          </w:p>
        </w:tc>
      </w:tr>
      <w:tr w:rsidR="00D572D1" w:rsidRPr="00F50348" w14:paraId="121773CB" w14:textId="77777777" w:rsidTr="0033090E">
        <w:trPr>
          <w:gridAfter w:val="1"/>
          <w:wAfter w:w="11" w:type="dxa"/>
          <w:trHeight w:val="234"/>
        </w:trPr>
        <w:tc>
          <w:tcPr>
            <w:tcW w:w="1419" w:type="dxa"/>
            <w:shd w:val="clear" w:color="auto" w:fill="auto"/>
            <w:tcMar>
              <w:top w:w="29" w:type="dxa"/>
              <w:left w:w="115" w:type="dxa"/>
              <w:bottom w:w="29" w:type="dxa"/>
              <w:right w:w="115" w:type="dxa"/>
            </w:tcMar>
          </w:tcPr>
          <w:p w14:paraId="2CB2A14C" w14:textId="50A3F252" w:rsidR="00D572D1" w:rsidRDefault="00D572D1" w:rsidP="00C41F26">
            <w:pPr>
              <w:spacing w:after="0" w:line="240" w:lineRule="auto"/>
              <w:rPr>
                <w:rFonts w:ascii="Times New Roman" w:eastAsia="Times New Roman" w:hAnsi="Times New Roman"/>
              </w:rPr>
            </w:pPr>
            <w:r>
              <w:rPr>
                <w:rFonts w:ascii="Times New Roman" w:eastAsia="Times New Roman" w:hAnsi="Times New Roman"/>
              </w:rPr>
              <w:t>2025 05 21</w:t>
            </w:r>
          </w:p>
        </w:tc>
        <w:tc>
          <w:tcPr>
            <w:tcW w:w="5811" w:type="dxa"/>
            <w:shd w:val="clear" w:color="auto" w:fill="auto"/>
            <w:tcMar>
              <w:top w:w="29" w:type="dxa"/>
              <w:left w:w="115" w:type="dxa"/>
              <w:bottom w:w="29" w:type="dxa"/>
              <w:right w:w="115" w:type="dxa"/>
            </w:tcMar>
          </w:tcPr>
          <w:p w14:paraId="5BE2B8F3" w14:textId="008DBC08" w:rsidR="00D572D1" w:rsidRPr="00526591" w:rsidRDefault="00D572D1" w:rsidP="00D572D1">
            <w:pPr>
              <w:spacing w:after="0" w:line="240" w:lineRule="auto"/>
              <w:jc w:val="both"/>
              <w:rPr>
                <w:rFonts w:ascii="Times New Roman" w:eastAsia="Times New Roman" w:hAnsi="Times New Roman"/>
              </w:rPr>
            </w:pPr>
            <w:r w:rsidRPr="00D572D1">
              <w:rPr>
                <w:rFonts w:ascii="Times New Roman" w:eastAsia="Times New Roman" w:hAnsi="Times New Roman"/>
              </w:rPr>
              <w:t>2025 m. gegužės 21 d. Varšuvoje Norvegija ir Lenkija pasirašė strategin</w:t>
            </w:r>
            <w:r>
              <w:rPr>
                <w:rFonts w:ascii="Times New Roman" w:eastAsia="Times New Roman" w:hAnsi="Times New Roman"/>
              </w:rPr>
              <w:t>ės</w:t>
            </w:r>
            <w:r w:rsidRPr="00D572D1">
              <w:rPr>
                <w:rFonts w:ascii="Times New Roman" w:eastAsia="Times New Roman" w:hAnsi="Times New Roman"/>
              </w:rPr>
              <w:t xml:space="preserve"> partneryst</w:t>
            </w:r>
            <w:r>
              <w:rPr>
                <w:rFonts w:ascii="Times New Roman" w:eastAsia="Times New Roman" w:hAnsi="Times New Roman"/>
              </w:rPr>
              <w:t>ės susitarimą</w:t>
            </w:r>
            <w:r w:rsidRPr="00D572D1">
              <w:rPr>
                <w:rFonts w:ascii="Times New Roman" w:eastAsia="Times New Roman" w:hAnsi="Times New Roman"/>
              </w:rPr>
              <w:t xml:space="preserve"> energetinio saugumo, žaliosios pertvarkos ir svarbios energetikos infrastruktūros apsaugos srityse. Norvegija yra pagrindinė gamtinių dujų tiekėja Lenkijai, o Lenkijos investicijos Norvegijos kontinentiniame šelfe stiprina energetinį bendradarbiavimą. Abi šalys įsipareigojo skatinti eksportą ir investicijas į mažai emisijų išskiriančius sprendimus. Norvegija prisideda prie žaliosios pertvarkos Lenkijoje per EEE fondus ir verslo partnerystes, o Lenkijos įmonės, kuriančios žaliąsias technologijas, gali prisidėti prie Norvegijos energetinės pertvarkos. Abi šalys mato bendradarbiavimo galimybių atsinaujinančiosios energetikos srityje – ypač jūrinio vėjo, žiedinės ekonomikos bei anglies dioksido surinkimo ir saugojimo srityse. Taip pat bus keičiamasi patirtimi, kaip užtikrinti energetinę infrastruktūrą Šiaurės ir Baltijos jūrose. </w:t>
            </w:r>
          </w:p>
        </w:tc>
        <w:tc>
          <w:tcPr>
            <w:tcW w:w="2268" w:type="dxa"/>
            <w:shd w:val="clear" w:color="auto" w:fill="auto"/>
            <w:tcMar>
              <w:top w:w="29" w:type="dxa"/>
              <w:left w:w="115" w:type="dxa"/>
              <w:bottom w:w="29" w:type="dxa"/>
              <w:right w:w="115" w:type="dxa"/>
            </w:tcMar>
          </w:tcPr>
          <w:p w14:paraId="23DE220A" w14:textId="737FEF3B" w:rsidR="00D572D1" w:rsidRDefault="00D572D1" w:rsidP="00C41F26">
            <w:pPr>
              <w:spacing w:after="0" w:line="240" w:lineRule="auto"/>
            </w:pPr>
            <w:hyperlink r:id="rId18" w:history="1">
              <w:r w:rsidRPr="00D572D1">
                <w:rPr>
                  <w:rStyle w:val="Hyperlink"/>
                </w:rPr>
                <w:t>Noreg og Polen inngår partnarskap for energisikkerheit og grøn omstilling - regjeringen.no</w:t>
              </w:r>
            </w:hyperlink>
          </w:p>
        </w:tc>
        <w:tc>
          <w:tcPr>
            <w:tcW w:w="1436" w:type="dxa"/>
            <w:shd w:val="clear" w:color="auto" w:fill="auto"/>
            <w:tcMar>
              <w:top w:w="29" w:type="dxa"/>
              <w:left w:w="115" w:type="dxa"/>
              <w:bottom w:w="29" w:type="dxa"/>
              <w:right w:w="115" w:type="dxa"/>
            </w:tcMar>
          </w:tcPr>
          <w:p w14:paraId="1BCC925B" w14:textId="77777777" w:rsidR="00D572D1" w:rsidRPr="00F50348" w:rsidRDefault="00D572D1"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11DA1877"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4A10CD58" w14:textId="363CB580" w:rsidR="001E14EC" w:rsidRPr="00F50348" w:rsidRDefault="00927A65" w:rsidP="001E14EC">
            <w:pPr>
              <w:spacing w:after="0" w:line="240" w:lineRule="auto"/>
              <w:rPr>
                <w:rFonts w:ascii="Times New Roman" w:eastAsia="Times New Roman" w:hAnsi="Times New Roman"/>
              </w:rPr>
            </w:pPr>
            <w:r>
              <w:rPr>
                <w:rFonts w:ascii="Times New Roman" w:eastAsia="Times New Roman" w:hAnsi="Times New Roman"/>
              </w:rPr>
              <w:t>2025 05 08</w:t>
            </w:r>
          </w:p>
        </w:tc>
        <w:tc>
          <w:tcPr>
            <w:tcW w:w="5811" w:type="dxa"/>
            <w:shd w:val="clear" w:color="auto" w:fill="auto"/>
            <w:tcMar>
              <w:top w:w="29" w:type="dxa"/>
              <w:left w:w="115" w:type="dxa"/>
              <w:bottom w:w="29" w:type="dxa"/>
              <w:right w:w="115" w:type="dxa"/>
            </w:tcMar>
          </w:tcPr>
          <w:p w14:paraId="01A28702" w14:textId="7DE8004B" w:rsidR="001E14EC" w:rsidRPr="00E06183" w:rsidRDefault="00927A65" w:rsidP="00927A65">
            <w:pPr>
              <w:spacing w:after="0" w:line="240" w:lineRule="auto"/>
              <w:jc w:val="both"/>
              <w:rPr>
                <w:rFonts w:ascii="Times New Roman" w:eastAsia="Times New Roman" w:hAnsi="Times New Roman"/>
              </w:rPr>
            </w:pPr>
            <w:r w:rsidRPr="00927A65">
              <w:rPr>
                <w:rFonts w:ascii="Times New Roman" w:eastAsia="Times New Roman" w:hAnsi="Times New Roman"/>
              </w:rPr>
              <w:t>Norvegijos centrinis bankas</w:t>
            </w:r>
            <w:r w:rsidR="00EB6F9C">
              <w:rPr>
                <w:rFonts w:ascii="Times New Roman" w:eastAsia="Times New Roman" w:hAnsi="Times New Roman"/>
              </w:rPr>
              <w:t xml:space="preserve"> </w:t>
            </w:r>
            <w:r w:rsidRPr="00927A65">
              <w:rPr>
                <w:rFonts w:ascii="Times New Roman" w:eastAsia="Times New Roman" w:hAnsi="Times New Roman"/>
              </w:rPr>
              <w:t>paliko bazinę palūkanų normą nepakitusią – 4,5 proc. Ji išlieka tokia pati nuo 2023 m. gruodžio. Pagrindinė priežastis – baimė, kad per anksti sumažintos palūkanos gali išprovokuoti spartesnį kainų kilimą.</w:t>
            </w:r>
            <w:r>
              <w:rPr>
                <w:rFonts w:ascii="Times New Roman" w:eastAsia="Times New Roman" w:hAnsi="Times New Roman"/>
              </w:rPr>
              <w:t xml:space="preserve"> </w:t>
            </w:r>
            <w:r w:rsidRPr="00927A65">
              <w:rPr>
                <w:rFonts w:ascii="Times New Roman" w:eastAsia="Times New Roman" w:hAnsi="Times New Roman"/>
              </w:rPr>
              <w:t xml:space="preserve">Nors bankas neatskleidė tikslaus laiko, kada gali įvykti palūkanų mažinimas, išlieka prognozė, kad tai gali įvykti dar šiais metais. „DNB Markets“ tikisi sumažinimų rugsėjį ir </w:t>
            </w:r>
            <w:r w:rsidRPr="00927A65">
              <w:rPr>
                <w:rFonts w:ascii="Times New Roman" w:eastAsia="Times New Roman" w:hAnsi="Times New Roman"/>
              </w:rPr>
              <w:lastRenderedPageBreak/>
              <w:t>gruodį, o „Nordea“ mano, kad palūkanos šiemet visai nebus mažinamos.</w:t>
            </w:r>
            <w:r>
              <w:rPr>
                <w:rFonts w:ascii="Times New Roman" w:eastAsia="Times New Roman" w:hAnsi="Times New Roman"/>
              </w:rPr>
              <w:t xml:space="preserve"> </w:t>
            </w:r>
            <w:r w:rsidRPr="00927A65">
              <w:rPr>
                <w:rFonts w:ascii="Times New Roman" w:eastAsia="Times New Roman" w:hAnsi="Times New Roman"/>
              </w:rPr>
              <w:t>Makroekonomistė Karine Alsvik Nelson teigia, kad bankas neturi skubos – infliacija vis dar aukšta, o nedarbas stabilus. Tuo tarpu „Danske Bank“ vyriausiasis ekonomistas Frank Jullum atkreipia dėmesį, kad prekybos karai silpnina Norvegijos kroną ir kelia infliaciją, tačiau tuo pat metu stabdo ekonomikos augimą, o tai apsunkina sprendimų priėmimą dėl palūkanų.</w:t>
            </w:r>
            <w:r>
              <w:rPr>
                <w:rFonts w:ascii="Times New Roman" w:eastAsia="Times New Roman" w:hAnsi="Times New Roman"/>
              </w:rPr>
              <w:t xml:space="preserve"> </w:t>
            </w:r>
            <w:r w:rsidRPr="00927A65">
              <w:rPr>
                <w:rFonts w:ascii="Times New Roman" w:eastAsia="Times New Roman" w:hAnsi="Times New Roman"/>
              </w:rPr>
              <w:t>Bankas laikosi prognozės, pateiktos kovo mėn. pinigų politikos ataskaitoje – tikėtini du palūkanų mažinimai šiemet, jei infliacija ir augimo tempai tai leis.</w:t>
            </w:r>
          </w:p>
        </w:tc>
        <w:tc>
          <w:tcPr>
            <w:tcW w:w="2268" w:type="dxa"/>
            <w:shd w:val="clear" w:color="auto" w:fill="auto"/>
            <w:tcMar>
              <w:top w:w="29" w:type="dxa"/>
              <w:left w:w="115" w:type="dxa"/>
              <w:bottom w:w="29" w:type="dxa"/>
              <w:right w:w="115" w:type="dxa"/>
            </w:tcMar>
          </w:tcPr>
          <w:p w14:paraId="532209A1" w14:textId="78BFC051" w:rsidR="001E14EC" w:rsidRDefault="00927A65" w:rsidP="001E14EC">
            <w:pPr>
              <w:spacing w:after="0" w:line="240" w:lineRule="auto"/>
            </w:pPr>
            <w:hyperlink r:id="rId19" w:history="1">
              <w:r w:rsidRPr="00927A65">
                <w:rPr>
                  <w:rStyle w:val="Hyperlink"/>
                </w:rPr>
                <w:t>Ingen renteoverraskelser fra Norges Bank: – De er redde for å sette ned for tidlig – E24</w:t>
              </w:r>
            </w:hyperlink>
          </w:p>
        </w:tc>
        <w:tc>
          <w:tcPr>
            <w:tcW w:w="1436" w:type="dxa"/>
            <w:shd w:val="clear" w:color="auto" w:fill="auto"/>
            <w:tcMar>
              <w:top w:w="29" w:type="dxa"/>
              <w:left w:w="115" w:type="dxa"/>
              <w:bottom w:w="29" w:type="dxa"/>
              <w:right w:w="115" w:type="dxa"/>
            </w:tcMar>
          </w:tcPr>
          <w:p w14:paraId="5BD83E47" w14:textId="77777777" w:rsidR="001E14EC" w:rsidRPr="00F50348" w:rsidRDefault="001E14EC" w:rsidP="001E14EC">
            <w:pPr>
              <w:rPr>
                <w:rFonts w:ascii="Times New Roman" w:eastAsia="Times New Roman" w:hAnsi="Times New Roman"/>
              </w:rPr>
            </w:pPr>
          </w:p>
        </w:tc>
      </w:tr>
      <w:tr w:rsidR="001E14EC" w:rsidRPr="00F50348" w14:paraId="7650530A"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01378083" w14:textId="711ADCF2" w:rsidR="001E14EC" w:rsidRDefault="005723CB" w:rsidP="001E14EC">
            <w:pPr>
              <w:spacing w:after="0" w:line="240" w:lineRule="auto"/>
              <w:rPr>
                <w:rFonts w:ascii="Times New Roman" w:eastAsia="Times New Roman" w:hAnsi="Times New Roman"/>
              </w:rPr>
            </w:pPr>
            <w:r>
              <w:rPr>
                <w:rFonts w:ascii="Times New Roman" w:eastAsia="Times New Roman" w:hAnsi="Times New Roman"/>
              </w:rPr>
              <w:t>2025 05 15</w:t>
            </w:r>
          </w:p>
        </w:tc>
        <w:tc>
          <w:tcPr>
            <w:tcW w:w="5811" w:type="dxa"/>
            <w:shd w:val="clear" w:color="auto" w:fill="auto"/>
            <w:tcMar>
              <w:top w:w="29" w:type="dxa"/>
              <w:left w:w="115" w:type="dxa"/>
              <w:bottom w:w="29" w:type="dxa"/>
              <w:right w:w="115" w:type="dxa"/>
            </w:tcMar>
          </w:tcPr>
          <w:p w14:paraId="4949CCE6" w14:textId="5CB3A09C" w:rsidR="001E14EC" w:rsidRPr="00E46E0F" w:rsidRDefault="005723CB" w:rsidP="005723CB">
            <w:pPr>
              <w:spacing w:after="0" w:line="240" w:lineRule="auto"/>
              <w:jc w:val="both"/>
              <w:rPr>
                <w:rFonts w:ascii="Times New Roman" w:eastAsia="Times New Roman" w:hAnsi="Times New Roman"/>
              </w:rPr>
            </w:pPr>
            <w:r w:rsidRPr="005723CB">
              <w:rPr>
                <w:rFonts w:ascii="Times New Roman" w:eastAsia="Times New Roman" w:hAnsi="Times New Roman"/>
              </w:rPr>
              <w:t>Norvegijos finansų ministras Jens Stoltenberg pristatė Vyriausybės pataisytą nacionalinio biudžeto projektą. Finansų ministerijos duomenimis, siūloma iš Naftos fondo paimti 542,4 mlrd. NOK struktūriniam, naftos įtakos neapimančiam biudžeto deficitui padengti. Tai gerokai daugiau nei 429,7 mlrd. NOK, numatyti 2024 m. Tai sudaro 2,7 % nuo fondo vertės – vis dar neperžengiant fiskalinės taisyklės ribos (3 %), palyginti su 2,6 % praėjusiais metais.</w:t>
            </w:r>
            <w:r>
              <w:rPr>
                <w:rFonts w:ascii="Times New Roman" w:eastAsia="Times New Roman" w:hAnsi="Times New Roman"/>
              </w:rPr>
              <w:t xml:space="preserve"> </w:t>
            </w:r>
            <w:r w:rsidRPr="005723CB">
              <w:rPr>
                <w:rFonts w:ascii="Times New Roman" w:eastAsia="Times New Roman" w:hAnsi="Times New Roman"/>
              </w:rPr>
              <w:t>Vyriausybė prognozuoja, kad žemyninės Norvegijos BVP augimas sieks 1,8 % (palyginimui, 2024 m. – 0,6 %), nedarbo lygis (pagal NAV duomenis) – 2,1 % (2024 m. – 2,0 %), vartotojų kainų indeksas (CPI) – 2,8 % (buvo 3,1 %), o pagrindinė infliacija – 3,0 % (buvo 3,7 %).</w:t>
            </w:r>
          </w:p>
        </w:tc>
        <w:tc>
          <w:tcPr>
            <w:tcW w:w="2268" w:type="dxa"/>
            <w:shd w:val="clear" w:color="auto" w:fill="auto"/>
            <w:tcMar>
              <w:top w:w="29" w:type="dxa"/>
              <w:left w:w="115" w:type="dxa"/>
              <w:bottom w:w="29" w:type="dxa"/>
              <w:right w:w="115" w:type="dxa"/>
            </w:tcMar>
          </w:tcPr>
          <w:p w14:paraId="2F466CF2" w14:textId="58224FE3" w:rsidR="001E14EC" w:rsidRPr="00F001DB" w:rsidRDefault="005723CB" w:rsidP="001E14EC">
            <w:pPr>
              <w:spacing w:after="0" w:line="240" w:lineRule="auto"/>
              <w:rPr>
                <w:rFonts w:ascii="Times New Roman" w:eastAsia="Times New Roman" w:hAnsi="Times New Roman"/>
              </w:rPr>
            </w:pPr>
            <w:hyperlink r:id="rId20" w:history="1">
              <w:r w:rsidRPr="005723CB">
                <w:rPr>
                  <w:rStyle w:val="Hyperlink"/>
                  <w:rFonts w:ascii="Times New Roman" w:eastAsia="Times New Roman" w:hAnsi="Times New Roman"/>
                </w:rPr>
                <w:t>Regjeringen legger frem revidert nasjonalbudsjett 2025 – NRK Norge – Oversikt over nyheter fra ulike deler av landet</w:t>
              </w:r>
            </w:hyperlink>
          </w:p>
        </w:tc>
        <w:tc>
          <w:tcPr>
            <w:tcW w:w="1436" w:type="dxa"/>
            <w:shd w:val="clear" w:color="auto" w:fill="auto"/>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65EE641C" w14:textId="48FF8E18" w:rsidR="001E14EC" w:rsidRDefault="002C6D78" w:rsidP="001E14EC">
            <w:pPr>
              <w:spacing w:after="0" w:line="240" w:lineRule="auto"/>
              <w:rPr>
                <w:rFonts w:ascii="Times New Roman" w:eastAsia="Times New Roman" w:hAnsi="Times New Roman"/>
              </w:rPr>
            </w:pPr>
            <w:r>
              <w:rPr>
                <w:rFonts w:ascii="Times New Roman" w:eastAsia="Times New Roman" w:hAnsi="Times New Roman"/>
              </w:rPr>
              <w:t>2025 05 22</w:t>
            </w:r>
          </w:p>
        </w:tc>
        <w:tc>
          <w:tcPr>
            <w:tcW w:w="5811" w:type="dxa"/>
            <w:shd w:val="clear" w:color="auto" w:fill="auto"/>
            <w:tcMar>
              <w:top w:w="29" w:type="dxa"/>
              <w:left w:w="115" w:type="dxa"/>
              <w:bottom w:w="29" w:type="dxa"/>
              <w:right w:w="115" w:type="dxa"/>
            </w:tcMar>
          </w:tcPr>
          <w:p w14:paraId="05837F8F" w14:textId="63DEFDDD" w:rsidR="001E14EC" w:rsidRPr="00206FF8" w:rsidRDefault="002C6D78" w:rsidP="001E14EC">
            <w:pPr>
              <w:spacing w:after="0" w:line="240" w:lineRule="auto"/>
              <w:jc w:val="both"/>
              <w:rPr>
                <w:rFonts w:ascii="Times New Roman" w:eastAsia="Times New Roman" w:hAnsi="Times New Roman"/>
              </w:rPr>
            </w:pPr>
            <w:r>
              <w:rPr>
                <w:rFonts w:ascii="Times New Roman" w:eastAsia="Times New Roman" w:hAnsi="Times New Roman"/>
              </w:rPr>
              <w:t>P</w:t>
            </w:r>
            <w:r w:rsidRPr="002C6D78">
              <w:rPr>
                <w:rFonts w:ascii="Times New Roman" w:eastAsia="Times New Roman" w:hAnsi="Times New Roman"/>
              </w:rPr>
              <w:t>agal Norges Bank užsakymą bendrovė „Ipsos“ kas ketvirtį atlieka apklausas, kuriose vertinami infliacijos, darbo užmokesčio augimo ir palūkanų normų lūkesčiai tarp finansų sektoriaus ir akademinės bendruomenės ekonomistų, socialinių partnerių, verslo lyderių ir namų ūkių. Ekonomistai tikisi, kad šiemet darbo užmokestis augs 4,4 %. Prognozuojama infliacija sieks 2,9 %. Tikimasi, kad realus darbo užmokesčio augimas bus 1,4 %. Visa apklausa prieinama internete.</w:t>
            </w:r>
          </w:p>
        </w:tc>
        <w:tc>
          <w:tcPr>
            <w:tcW w:w="2268" w:type="dxa"/>
            <w:shd w:val="clear" w:color="auto" w:fill="auto"/>
            <w:tcMar>
              <w:top w:w="29" w:type="dxa"/>
              <w:left w:w="115" w:type="dxa"/>
              <w:bottom w:w="29" w:type="dxa"/>
              <w:right w:w="115" w:type="dxa"/>
            </w:tcMar>
          </w:tcPr>
          <w:p w14:paraId="20C14E51" w14:textId="1A1C81A9" w:rsidR="001E14EC" w:rsidRPr="00206FF8" w:rsidRDefault="002C6D78" w:rsidP="001E14EC">
            <w:pPr>
              <w:spacing w:after="0" w:line="240" w:lineRule="auto"/>
            </w:pPr>
            <w:hyperlink r:id="rId21" w:history="1">
              <w:r w:rsidRPr="002C6D78">
                <w:rPr>
                  <w:rStyle w:val="Hyperlink"/>
                  <w:lang w:val="en-GB"/>
                </w:rPr>
                <w:t>here in English (pdf)</w:t>
              </w:r>
            </w:hyperlink>
          </w:p>
        </w:tc>
        <w:tc>
          <w:tcPr>
            <w:tcW w:w="1436" w:type="dxa"/>
            <w:shd w:val="clear" w:color="auto" w:fill="auto"/>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F20C2C" w:rsidRPr="00F50348" w14:paraId="25327693" w14:textId="77777777" w:rsidTr="0033090E">
        <w:trPr>
          <w:gridAfter w:val="1"/>
          <w:wAfter w:w="11" w:type="dxa"/>
          <w:trHeight w:val="216"/>
        </w:trPr>
        <w:tc>
          <w:tcPr>
            <w:tcW w:w="1419" w:type="dxa"/>
            <w:shd w:val="clear" w:color="auto" w:fill="auto"/>
            <w:tcMar>
              <w:top w:w="29" w:type="dxa"/>
              <w:left w:w="115" w:type="dxa"/>
              <w:bottom w:w="29" w:type="dxa"/>
              <w:right w:w="115" w:type="dxa"/>
            </w:tcMar>
          </w:tcPr>
          <w:p w14:paraId="7D5A5A58" w14:textId="25EB8E02" w:rsidR="00F20C2C" w:rsidRDefault="008A2C56" w:rsidP="001E14EC">
            <w:pPr>
              <w:spacing w:after="0" w:line="240" w:lineRule="auto"/>
              <w:rPr>
                <w:rFonts w:ascii="Times New Roman" w:eastAsia="Times New Roman" w:hAnsi="Times New Roman"/>
              </w:rPr>
            </w:pPr>
            <w:r>
              <w:rPr>
                <w:rFonts w:ascii="Times New Roman" w:eastAsia="Times New Roman" w:hAnsi="Times New Roman"/>
              </w:rPr>
              <w:t>2025 05 27</w:t>
            </w:r>
          </w:p>
        </w:tc>
        <w:tc>
          <w:tcPr>
            <w:tcW w:w="5811" w:type="dxa"/>
            <w:shd w:val="clear" w:color="auto" w:fill="auto"/>
            <w:tcMar>
              <w:top w:w="29" w:type="dxa"/>
              <w:left w:w="115" w:type="dxa"/>
              <w:bottom w:w="29" w:type="dxa"/>
              <w:right w:w="115" w:type="dxa"/>
            </w:tcMar>
          </w:tcPr>
          <w:p w14:paraId="0E48DAE8" w14:textId="033CDA0F" w:rsidR="00F20C2C" w:rsidRPr="009C37F3" w:rsidRDefault="008A2C56" w:rsidP="008A2C56">
            <w:pPr>
              <w:spacing w:after="0" w:line="240" w:lineRule="auto"/>
              <w:jc w:val="both"/>
              <w:rPr>
                <w:rFonts w:ascii="Times New Roman" w:eastAsia="Times New Roman" w:hAnsi="Times New Roman"/>
              </w:rPr>
            </w:pPr>
            <w:r w:rsidRPr="008A2C56">
              <w:rPr>
                <w:rFonts w:ascii="Times New Roman" w:eastAsia="Times New Roman" w:hAnsi="Times New Roman"/>
              </w:rPr>
              <w:t>Pasirašytas susitarimas su Estija dėl EEE ir Norvegijos finansinių mechanizmų</w:t>
            </w:r>
            <w:r>
              <w:rPr>
                <w:rFonts w:ascii="Times New Roman" w:eastAsia="Times New Roman" w:hAnsi="Times New Roman"/>
              </w:rPr>
              <w:t xml:space="preserve">. </w:t>
            </w:r>
            <w:r w:rsidRPr="008A2C56">
              <w:rPr>
                <w:rFonts w:ascii="Times New Roman" w:eastAsia="Times New Roman" w:hAnsi="Times New Roman"/>
              </w:rPr>
              <w:t>Pagal šį susitarimą Estijai naujam laikotarpiui skiriama 71,8 mln. eurų parama, iš kurios apie 97 % finansuoja Norvegija. Likusią dalį padengia Islandija ir Lichtenšteinas.</w:t>
            </w:r>
            <w:r>
              <w:rPr>
                <w:rFonts w:ascii="Times New Roman" w:eastAsia="Times New Roman" w:hAnsi="Times New Roman"/>
              </w:rPr>
              <w:t xml:space="preserve"> </w:t>
            </w:r>
            <w:r w:rsidRPr="008A2C56">
              <w:rPr>
                <w:rFonts w:ascii="Times New Roman" w:eastAsia="Times New Roman" w:hAnsi="Times New Roman"/>
              </w:rPr>
              <w:t>Prioritetinės sritys: žaliasis perėjimas, krizių prevencija, ekstremalių situacijų valdymas, sveikatos apsauga bei verslo plėtra. Lėšos taip pat bus naudojamos kultūros paveldo apsaugos infrastruktūros stiprinimui.</w:t>
            </w:r>
            <w:r>
              <w:rPr>
                <w:rFonts w:ascii="Times New Roman" w:eastAsia="Times New Roman" w:hAnsi="Times New Roman"/>
              </w:rPr>
              <w:t xml:space="preserve"> </w:t>
            </w:r>
            <w:r w:rsidRPr="008A2C56">
              <w:rPr>
                <w:rFonts w:ascii="Times New Roman" w:eastAsia="Times New Roman" w:hAnsi="Times New Roman"/>
              </w:rPr>
              <w:t>Trijų Norvegijos institucijų – Civilinės saugos direktorato, Sveikatos direktorato ir „Innovation Norway“ – bendradarbiavimas su Estija prisidės prie pasirengimo ekstremalioms situacijoms, energinio efektyvumo, žiedinės ekonomikos, genetinės medicinos ir tvarios žuvininkystės vystymo.</w:t>
            </w:r>
            <w:r>
              <w:rPr>
                <w:rFonts w:ascii="Times New Roman" w:eastAsia="Times New Roman" w:hAnsi="Times New Roman"/>
              </w:rPr>
              <w:t xml:space="preserve"> </w:t>
            </w:r>
            <w:r w:rsidRPr="008A2C56">
              <w:rPr>
                <w:rFonts w:ascii="Times New Roman" w:eastAsia="Times New Roman" w:hAnsi="Times New Roman"/>
              </w:rPr>
              <w:t>Tai antrasis susitarimas su paramą gaunančiomis šalimis – pirmasis buvo pasirašytas su Lenkija balandį.</w:t>
            </w:r>
          </w:p>
        </w:tc>
        <w:tc>
          <w:tcPr>
            <w:tcW w:w="2268" w:type="dxa"/>
            <w:shd w:val="clear" w:color="auto" w:fill="auto"/>
            <w:tcMar>
              <w:top w:w="29" w:type="dxa"/>
              <w:left w:w="115" w:type="dxa"/>
              <w:bottom w:w="29" w:type="dxa"/>
              <w:right w:w="115" w:type="dxa"/>
            </w:tcMar>
          </w:tcPr>
          <w:p w14:paraId="1C02B05A" w14:textId="3F640CA5" w:rsidR="00F20C2C" w:rsidRPr="009C37F3" w:rsidRDefault="008A2C56" w:rsidP="001E14EC">
            <w:pPr>
              <w:spacing w:after="0" w:line="240" w:lineRule="auto"/>
              <w:rPr>
                <w:rFonts w:ascii="Times New Roman" w:eastAsia="Times New Roman" w:hAnsi="Times New Roman"/>
              </w:rPr>
            </w:pPr>
            <w:r w:rsidRPr="008A2C56">
              <w:rPr>
                <w:rFonts w:ascii="Times New Roman" w:eastAsia="Times New Roman" w:hAnsi="Times New Roman"/>
              </w:rPr>
              <w:t>https://www.regjeringen.no/no/aktuelt/undertegnet-avtale-med-estland-om-eos-midler/id3103396/</w:t>
            </w:r>
          </w:p>
        </w:tc>
        <w:tc>
          <w:tcPr>
            <w:tcW w:w="1436" w:type="dxa"/>
            <w:shd w:val="clear" w:color="auto" w:fill="auto"/>
            <w:tcMar>
              <w:top w:w="29" w:type="dxa"/>
              <w:left w:w="115" w:type="dxa"/>
              <w:bottom w:w="29" w:type="dxa"/>
              <w:right w:w="115" w:type="dxa"/>
            </w:tcMar>
          </w:tcPr>
          <w:p w14:paraId="2E343DC5" w14:textId="77777777" w:rsidR="00F20C2C" w:rsidRPr="00F50348" w:rsidRDefault="00F20C2C"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5BEE0754"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B4658B" w:rsidRPr="00CB207A">
        <w:rPr>
          <w:rFonts w:ascii="Times New Roman" w:eastAsia="Times New Roman" w:hAnsi="Times New Roman"/>
          <w:highlight w:val="yellow"/>
        </w:rPr>
        <w:t>11.721NOK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22"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p w14:paraId="253E5D05" w14:textId="4E328BD5" w:rsidR="0023658A" w:rsidRPr="00FF65B6" w:rsidRDefault="00132858" w:rsidP="003E1B80">
      <w:pPr>
        <w:pBdr>
          <w:top w:val="nil"/>
          <w:left w:val="nil"/>
          <w:bottom w:val="nil"/>
          <w:right w:val="nil"/>
          <w:between w:val="nil"/>
        </w:pBdr>
        <w:spacing w:after="0" w:line="240" w:lineRule="auto"/>
        <w:rPr>
          <w:rFonts w:ascii="Times New Roman" w:eastAsia="Times New Roman" w:hAnsi="Times New Roman"/>
          <w:lang w:val="en-US"/>
        </w:rPr>
      </w:pPr>
      <w:r w:rsidRPr="003E0EBA">
        <w:rPr>
          <w:rFonts w:ascii="Times New Roman" w:eastAsia="Times New Roman" w:hAnsi="Times New Roman"/>
          <w:highlight w:val="yellow"/>
          <w:lang w:val="en-US"/>
        </w:rPr>
        <w:t>Laurynas.Mockaitis@kam.lt; sigita@detonas.eu</w:t>
      </w:r>
    </w:p>
    <w:sectPr w:rsidR="0023658A" w:rsidRPr="00FF65B6">
      <w:footerReference w:type="default" r:id="rId23"/>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1066"/>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9C5"/>
    <w:rsid w:val="001B6EF3"/>
    <w:rsid w:val="001C0A1C"/>
    <w:rsid w:val="001C2045"/>
    <w:rsid w:val="001C213C"/>
    <w:rsid w:val="001C228F"/>
    <w:rsid w:val="001C252C"/>
    <w:rsid w:val="001C2742"/>
    <w:rsid w:val="001D0F0D"/>
    <w:rsid w:val="001D1490"/>
    <w:rsid w:val="001D5450"/>
    <w:rsid w:val="001E14EC"/>
    <w:rsid w:val="001E213D"/>
    <w:rsid w:val="001E2E1C"/>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4607"/>
    <w:rsid w:val="00256104"/>
    <w:rsid w:val="00257B71"/>
    <w:rsid w:val="0026270B"/>
    <w:rsid w:val="0026542D"/>
    <w:rsid w:val="002669DD"/>
    <w:rsid w:val="00273B9E"/>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6D78"/>
    <w:rsid w:val="002C7567"/>
    <w:rsid w:val="002D42F8"/>
    <w:rsid w:val="002D495E"/>
    <w:rsid w:val="002D6000"/>
    <w:rsid w:val="002D6883"/>
    <w:rsid w:val="002E1878"/>
    <w:rsid w:val="002E4FB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3F1A"/>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6D3A"/>
    <w:rsid w:val="003D780C"/>
    <w:rsid w:val="003E0EBA"/>
    <w:rsid w:val="003E1B80"/>
    <w:rsid w:val="003E5B66"/>
    <w:rsid w:val="003F1144"/>
    <w:rsid w:val="003F4380"/>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CAB"/>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470"/>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1A5E"/>
    <w:rsid w:val="00502843"/>
    <w:rsid w:val="00503487"/>
    <w:rsid w:val="00504332"/>
    <w:rsid w:val="00504987"/>
    <w:rsid w:val="00504D66"/>
    <w:rsid w:val="0050504B"/>
    <w:rsid w:val="00507FAA"/>
    <w:rsid w:val="0051260B"/>
    <w:rsid w:val="00514704"/>
    <w:rsid w:val="00520FC6"/>
    <w:rsid w:val="00521F8A"/>
    <w:rsid w:val="00522FE1"/>
    <w:rsid w:val="00525A66"/>
    <w:rsid w:val="00526591"/>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23CB"/>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B6D0E"/>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53A1"/>
    <w:rsid w:val="006019A6"/>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6E3B"/>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62FC"/>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398F"/>
    <w:rsid w:val="0089408B"/>
    <w:rsid w:val="0089534A"/>
    <w:rsid w:val="00896DAD"/>
    <w:rsid w:val="00897962"/>
    <w:rsid w:val="00897A90"/>
    <w:rsid w:val="008A04D5"/>
    <w:rsid w:val="008A055A"/>
    <w:rsid w:val="008A192B"/>
    <w:rsid w:val="008A2354"/>
    <w:rsid w:val="008A27DD"/>
    <w:rsid w:val="008A2A96"/>
    <w:rsid w:val="008A2C56"/>
    <w:rsid w:val="008A3C9F"/>
    <w:rsid w:val="008A4FD2"/>
    <w:rsid w:val="008B6955"/>
    <w:rsid w:val="008C134A"/>
    <w:rsid w:val="008C2168"/>
    <w:rsid w:val="008C4A86"/>
    <w:rsid w:val="008C647A"/>
    <w:rsid w:val="008C7646"/>
    <w:rsid w:val="008D0B18"/>
    <w:rsid w:val="008D1FD6"/>
    <w:rsid w:val="008D3023"/>
    <w:rsid w:val="008D454B"/>
    <w:rsid w:val="008D7839"/>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3B7C"/>
    <w:rsid w:val="009155C2"/>
    <w:rsid w:val="00916A0E"/>
    <w:rsid w:val="00916BA8"/>
    <w:rsid w:val="00917BA5"/>
    <w:rsid w:val="00917E65"/>
    <w:rsid w:val="00917E88"/>
    <w:rsid w:val="0092676A"/>
    <w:rsid w:val="00927A65"/>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31B27"/>
    <w:rsid w:val="00A32899"/>
    <w:rsid w:val="00A33466"/>
    <w:rsid w:val="00A33CB7"/>
    <w:rsid w:val="00A33E4E"/>
    <w:rsid w:val="00A35B3A"/>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2F5B"/>
    <w:rsid w:val="00B0335A"/>
    <w:rsid w:val="00B05991"/>
    <w:rsid w:val="00B11FA6"/>
    <w:rsid w:val="00B13EEC"/>
    <w:rsid w:val="00B1439C"/>
    <w:rsid w:val="00B16050"/>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618"/>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76D93"/>
    <w:rsid w:val="00B824E1"/>
    <w:rsid w:val="00B84425"/>
    <w:rsid w:val="00B8453A"/>
    <w:rsid w:val="00B8461F"/>
    <w:rsid w:val="00B852C6"/>
    <w:rsid w:val="00B85639"/>
    <w:rsid w:val="00B856C7"/>
    <w:rsid w:val="00B869D6"/>
    <w:rsid w:val="00B90659"/>
    <w:rsid w:val="00B927C3"/>
    <w:rsid w:val="00B93F37"/>
    <w:rsid w:val="00B94173"/>
    <w:rsid w:val="00B94BC7"/>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4289"/>
    <w:rsid w:val="00D343E3"/>
    <w:rsid w:val="00D34CF2"/>
    <w:rsid w:val="00D36A92"/>
    <w:rsid w:val="00D406BC"/>
    <w:rsid w:val="00D4093C"/>
    <w:rsid w:val="00D445C7"/>
    <w:rsid w:val="00D4712E"/>
    <w:rsid w:val="00D4766B"/>
    <w:rsid w:val="00D50BFF"/>
    <w:rsid w:val="00D53658"/>
    <w:rsid w:val="00D53CA3"/>
    <w:rsid w:val="00D563A1"/>
    <w:rsid w:val="00D56B1F"/>
    <w:rsid w:val="00D571A3"/>
    <w:rsid w:val="00D572D1"/>
    <w:rsid w:val="00D57968"/>
    <w:rsid w:val="00D603AE"/>
    <w:rsid w:val="00D6161C"/>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0EB"/>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E04983"/>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B6F9C"/>
    <w:rsid w:val="00EC050C"/>
    <w:rsid w:val="00EC0731"/>
    <w:rsid w:val="00EC0B84"/>
    <w:rsid w:val="00EC2262"/>
    <w:rsid w:val="00EC2CCD"/>
    <w:rsid w:val="00EC5199"/>
    <w:rsid w:val="00ED13CD"/>
    <w:rsid w:val="00ED1C7E"/>
    <w:rsid w:val="00ED3BBC"/>
    <w:rsid w:val="00EE026C"/>
    <w:rsid w:val="00EE093E"/>
    <w:rsid w:val="00EE0A51"/>
    <w:rsid w:val="00EE2C43"/>
    <w:rsid w:val="00EE2C66"/>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2A4A"/>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A73"/>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jeringen.no/no/aktuelt/na-starter-arbeidet-med-nasjonal-strategi-for-kvanteteknologi/id3100025/" TargetMode="External"/><Relationship Id="rId18" Type="http://schemas.openxmlformats.org/officeDocument/2006/relationships/hyperlink" Target="https://www.regjeringen.no/no/aktuelt/noreg-og-polen-inngar-partnarskap-for-energisikkerheit-og-gron-omstilling/id3102036/?utm_source=regjeringen.no&amp;utm_medium=email&amp;utm_campaign=nyhetsvarsel20250522" TargetMode="External"/><Relationship Id="rId3" Type="http://schemas.openxmlformats.org/officeDocument/2006/relationships/numbering" Target="numbering.xml"/><Relationship Id="rId21" Type="http://schemas.openxmlformats.org/officeDocument/2006/relationships/hyperlink" Target="https://www.norges-bank.no/contentassets/1e566e0adf054106951d8087bed2ec50/expectations-survey-q2-2025.pdf?v=22052025092742" TargetMode="External"/><Relationship Id="rId7" Type="http://schemas.openxmlformats.org/officeDocument/2006/relationships/footnotes" Target="footnotes.xml"/><Relationship Id="rId12" Type="http://schemas.openxmlformats.org/officeDocument/2006/relationships/hyperlink" Target="https://www.aftenposten.no/norge/politikk/i/dReyXo/slik-forsvarer-jens-stoltenberg-sitt-eget-skattelotteri" TargetMode="External"/><Relationship Id="rId17" Type="http://schemas.openxmlformats.org/officeDocument/2006/relationships/hyperlink" Target="https://www.regjeringen.no/en/aktuelt/announcement-of-apa-2025/id309970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n.no/energi/statkraft/energi/celsa/statkraft-sjefen-etter-600-mill-ser-ikke-lonnsomhet-i-hydrogen/2-1-1816196" TargetMode="External"/><Relationship Id="rId20" Type="http://schemas.openxmlformats.org/officeDocument/2006/relationships/hyperlink" Target="https://www.nrk.no/norge/regjeringen-legger-frem-revidert-nasjonalbudsjett-2025-1.174178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no/aktuelt/regjeringen-sender-forslag-om-utsettelsesordning-for-formuesskatt-pa-horing/id31017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egjeringen.no/no/aktuelt/norge-og-storbritannia-vil-samarbeide-tettere-om-ren-industri-og-energi/id3099259/" TargetMode="External"/><Relationship Id="rId23" Type="http://schemas.openxmlformats.org/officeDocument/2006/relationships/footer" Target="footer1.xml"/><Relationship Id="rId10" Type="http://schemas.openxmlformats.org/officeDocument/2006/relationships/hyperlink" Target="https://www.nrk.no/norge/matgiganter-matte-mote-hos-statsministeren-etter-kraftig-prisvekst-1.17429865" TargetMode="External"/><Relationship Id="rId19" Type="http://schemas.openxmlformats.org/officeDocument/2006/relationships/hyperlink" Target="https://e24.no/norsk-oekonomi/i/eMLyxy/ingen-renteoverraskelser-fra-norges-bank-de-er-redde-for-aa-sette-ned-for-tidlig" TargetMode="External"/><Relationship Id="rId4" Type="http://schemas.openxmlformats.org/officeDocument/2006/relationships/styles" Target="styles.xml"/><Relationship Id="rId9" Type="http://schemas.openxmlformats.org/officeDocument/2006/relationships/hyperlink" Target="https://e24.no/internasjonal-oekonomi/i/eMLQ3K/stoere-avviste-moete-saa-kalte-han-matkjeden-inn-paa-teppet" TargetMode="External"/><Relationship Id="rId14" Type="http://schemas.openxmlformats.org/officeDocument/2006/relationships/hyperlink" Target="https://www.regjeringen.no/no/aktuelt/norden-vil-vare-i-front-for-utviklingen-innen-kvanteteknologi/id3103265/" TargetMode="External"/><Relationship Id="rId22" Type="http://schemas.openxmlformats.org/officeDocument/2006/relationships/hyperlink" Target="mailto:neringa.urboniene@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5599</TotalTime>
  <Pages>4</Pages>
  <Words>1693</Words>
  <Characters>13281</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27</cp:revision>
  <cp:lastPrinted>2021-07-01T13:41:00Z</cp:lastPrinted>
  <dcterms:created xsi:type="dcterms:W3CDTF">2025-05-08T11:46:00Z</dcterms:created>
  <dcterms:modified xsi:type="dcterms:W3CDTF">2025-05-29T13:11:00Z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