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BB539" w14:textId="1AFF0DB5" w:rsidR="004466AC" w:rsidRPr="0024070C" w:rsidRDefault="004466AC" w:rsidP="0024070C">
      <w:pPr>
        <w:spacing w:after="0" w:line="240" w:lineRule="auto"/>
        <w:jc w:val="center"/>
        <w:rPr>
          <w:rFonts w:ascii="Times New Roman" w:hAnsi="Times New Roman"/>
          <w:sz w:val="24"/>
          <w:szCs w:val="24"/>
        </w:rPr>
      </w:pPr>
      <w:r w:rsidRPr="0024070C">
        <w:rPr>
          <w:rFonts w:ascii="Times New Roman" w:hAnsi="Times New Roman"/>
          <w:sz w:val="24"/>
          <w:szCs w:val="24"/>
        </w:rPr>
        <w:t>Lietuvos Respublikos ambasada Suomijos Respublikoje</w:t>
      </w:r>
    </w:p>
    <w:p w14:paraId="5E04373A" w14:textId="77777777" w:rsidR="004466AC" w:rsidRPr="0024070C" w:rsidRDefault="004466AC" w:rsidP="0024070C">
      <w:pPr>
        <w:spacing w:after="0" w:line="240" w:lineRule="auto"/>
        <w:jc w:val="center"/>
        <w:rPr>
          <w:rFonts w:ascii="Times New Roman" w:hAnsi="Times New Roman"/>
          <w:sz w:val="24"/>
          <w:szCs w:val="24"/>
        </w:rPr>
      </w:pPr>
    </w:p>
    <w:p w14:paraId="62C79F02" w14:textId="77777777" w:rsidR="004466AC" w:rsidRPr="0024070C" w:rsidRDefault="004466AC" w:rsidP="0024070C">
      <w:pPr>
        <w:spacing w:after="0" w:line="240" w:lineRule="auto"/>
        <w:jc w:val="center"/>
        <w:rPr>
          <w:rFonts w:ascii="Times New Roman" w:hAnsi="Times New Roman"/>
          <w:b/>
          <w:sz w:val="24"/>
          <w:szCs w:val="24"/>
        </w:rPr>
      </w:pPr>
      <w:r w:rsidRPr="0024070C">
        <w:rPr>
          <w:rFonts w:ascii="Times New Roman" w:hAnsi="Times New Roman"/>
          <w:b/>
          <w:sz w:val="24"/>
          <w:szCs w:val="24"/>
        </w:rPr>
        <w:t>AKTUALIOS EKONOMINĖS INFORMACIJOS SUVESTINĖ</w:t>
      </w:r>
    </w:p>
    <w:p w14:paraId="1F2C01FF" w14:textId="77777777" w:rsidR="004466AC" w:rsidRPr="0024070C" w:rsidRDefault="004466AC" w:rsidP="0024070C">
      <w:pPr>
        <w:spacing w:after="0" w:line="240" w:lineRule="auto"/>
        <w:jc w:val="center"/>
        <w:rPr>
          <w:rFonts w:ascii="Times New Roman" w:hAnsi="Times New Roman"/>
          <w:b/>
          <w:sz w:val="24"/>
          <w:szCs w:val="24"/>
        </w:rPr>
      </w:pPr>
    </w:p>
    <w:p w14:paraId="4098D514" w14:textId="66678966" w:rsidR="004466AC" w:rsidRPr="0024070C" w:rsidRDefault="004466AC" w:rsidP="0024070C">
      <w:pPr>
        <w:spacing w:after="0" w:line="240" w:lineRule="auto"/>
        <w:jc w:val="center"/>
        <w:rPr>
          <w:rFonts w:ascii="Times New Roman" w:hAnsi="Times New Roman"/>
          <w:sz w:val="24"/>
          <w:szCs w:val="24"/>
        </w:rPr>
      </w:pPr>
      <w:r w:rsidRPr="0024070C">
        <w:rPr>
          <w:rFonts w:ascii="Times New Roman" w:hAnsi="Times New Roman"/>
          <w:sz w:val="24"/>
          <w:szCs w:val="24"/>
        </w:rPr>
        <w:t xml:space="preserve">2024 m. </w:t>
      </w:r>
      <w:r w:rsidR="00190D8F" w:rsidRPr="0024070C">
        <w:rPr>
          <w:rFonts w:ascii="Times New Roman" w:hAnsi="Times New Roman"/>
          <w:sz w:val="24"/>
          <w:szCs w:val="24"/>
        </w:rPr>
        <w:t>lapkričio 7</w:t>
      </w:r>
      <w:r w:rsidRPr="0024070C">
        <w:rPr>
          <w:rFonts w:ascii="Times New Roman" w:hAnsi="Times New Roman"/>
          <w:sz w:val="24"/>
          <w:szCs w:val="24"/>
        </w:rPr>
        <w:t xml:space="preserve"> d.</w:t>
      </w:r>
    </w:p>
    <w:p w14:paraId="4233359C" w14:textId="77777777" w:rsidR="004466AC" w:rsidRPr="0024070C" w:rsidRDefault="004466AC" w:rsidP="0024070C">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6182"/>
        <w:gridCol w:w="2403"/>
      </w:tblGrid>
      <w:tr w:rsidR="00716F64" w:rsidRPr="0024070C" w14:paraId="26D6E59E" w14:textId="77777777" w:rsidTr="00716F64">
        <w:trPr>
          <w:trHeight w:val="385"/>
        </w:trPr>
        <w:tc>
          <w:tcPr>
            <w:tcW w:w="1043" w:type="dxa"/>
            <w:shd w:val="clear" w:color="auto" w:fill="auto"/>
            <w:tcMar>
              <w:top w:w="29" w:type="dxa"/>
              <w:left w:w="115" w:type="dxa"/>
              <w:bottom w:w="29" w:type="dxa"/>
              <w:right w:w="115" w:type="dxa"/>
            </w:tcMar>
            <w:vAlign w:val="center"/>
          </w:tcPr>
          <w:p w14:paraId="419C773D" w14:textId="77777777" w:rsidR="00716F64" w:rsidRPr="0024070C" w:rsidRDefault="00716F64" w:rsidP="0024070C">
            <w:pPr>
              <w:pStyle w:val="Heading1"/>
              <w:spacing w:after="0" w:line="240" w:lineRule="auto"/>
              <w:jc w:val="both"/>
              <w:rPr>
                <w:rFonts w:ascii="Times New Roman" w:hAnsi="Times New Roman" w:cs="Times New Roman"/>
                <w:color w:val="auto"/>
                <w:sz w:val="24"/>
                <w:szCs w:val="24"/>
              </w:rPr>
            </w:pPr>
            <w:r w:rsidRPr="0024070C">
              <w:rPr>
                <w:rFonts w:ascii="Times New Roman" w:hAnsi="Times New Roman" w:cs="Times New Roman"/>
                <w:color w:val="auto"/>
                <w:sz w:val="24"/>
                <w:szCs w:val="24"/>
              </w:rPr>
              <w:t>Data</w:t>
            </w:r>
          </w:p>
        </w:tc>
        <w:tc>
          <w:tcPr>
            <w:tcW w:w="6182" w:type="dxa"/>
            <w:shd w:val="clear" w:color="auto" w:fill="auto"/>
            <w:tcMar>
              <w:top w:w="29" w:type="dxa"/>
              <w:left w:w="115" w:type="dxa"/>
              <w:bottom w:w="29" w:type="dxa"/>
              <w:right w:w="115" w:type="dxa"/>
            </w:tcMar>
            <w:vAlign w:val="center"/>
          </w:tcPr>
          <w:p w14:paraId="2A9749A3" w14:textId="77777777" w:rsidR="00716F64" w:rsidRPr="0024070C" w:rsidRDefault="00716F64" w:rsidP="0024070C">
            <w:pPr>
              <w:pStyle w:val="Heading1"/>
              <w:spacing w:after="0" w:line="240" w:lineRule="auto"/>
              <w:jc w:val="both"/>
              <w:rPr>
                <w:rFonts w:ascii="Times New Roman" w:hAnsi="Times New Roman" w:cs="Times New Roman"/>
                <w:color w:val="auto"/>
                <w:sz w:val="24"/>
                <w:szCs w:val="24"/>
              </w:rPr>
            </w:pPr>
            <w:r w:rsidRPr="0024070C">
              <w:rPr>
                <w:rFonts w:ascii="Times New Roman" w:hAnsi="Times New Roman" w:cs="Times New Roman"/>
                <w:color w:val="auto"/>
                <w:sz w:val="24"/>
                <w:szCs w:val="24"/>
              </w:rPr>
              <w:t>Pateikiamos informacijos apibendrinimas</w:t>
            </w:r>
          </w:p>
        </w:tc>
        <w:tc>
          <w:tcPr>
            <w:tcW w:w="2403" w:type="dxa"/>
            <w:shd w:val="clear" w:color="auto" w:fill="auto"/>
            <w:tcMar>
              <w:top w:w="29" w:type="dxa"/>
              <w:left w:w="115" w:type="dxa"/>
              <w:bottom w:w="29" w:type="dxa"/>
              <w:right w:w="115" w:type="dxa"/>
            </w:tcMar>
            <w:vAlign w:val="center"/>
          </w:tcPr>
          <w:p w14:paraId="13B5219B" w14:textId="1E6FF22C" w:rsidR="00716F64" w:rsidRPr="0024070C" w:rsidRDefault="00716F64" w:rsidP="0024070C">
            <w:pPr>
              <w:pStyle w:val="Heading1"/>
              <w:spacing w:after="0" w:line="240" w:lineRule="auto"/>
              <w:jc w:val="both"/>
              <w:rPr>
                <w:rFonts w:ascii="Times New Roman" w:hAnsi="Times New Roman" w:cs="Times New Roman"/>
                <w:color w:val="auto"/>
                <w:sz w:val="24"/>
                <w:szCs w:val="24"/>
              </w:rPr>
            </w:pPr>
            <w:r w:rsidRPr="0024070C">
              <w:rPr>
                <w:rFonts w:ascii="Times New Roman" w:hAnsi="Times New Roman" w:cs="Times New Roman"/>
                <w:color w:val="auto"/>
                <w:sz w:val="24"/>
                <w:szCs w:val="24"/>
              </w:rPr>
              <w:t>Informacijos šaltinis</w:t>
            </w:r>
          </w:p>
        </w:tc>
      </w:tr>
      <w:tr w:rsidR="004466AC" w:rsidRPr="0024070C" w14:paraId="4CB2FDE8" w14:textId="77777777" w:rsidTr="00144EF8">
        <w:trPr>
          <w:trHeight w:val="234"/>
        </w:trPr>
        <w:tc>
          <w:tcPr>
            <w:tcW w:w="9628" w:type="dxa"/>
            <w:gridSpan w:val="3"/>
            <w:shd w:val="clear" w:color="auto" w:fill="auto"/>
            <w:tcMar>
              <w:top w:w="29" w:type="dxa"/>
              <w:left w:w="115" w:type="dxa"/>
              <w:bottom w:w="29" w:type="dxa"/>
              <w:right w:w="115" w:type="dxa"/>
            </w:tcMar>
          </w:tcPr>
          <w:p w14:paraId="32499A58" w14:textId="77777777" w:rsidR="004466AC" w:rsidRPr="0024070C" w:rsidRDefault="004466AC" w:rsidP="0024070C">
            <w:pPr>
              <w:spacing w:after="0" w:line="240" w:lineRule="auto"/>
              <w:jc w:val="both"/>
              <w:rPr>
                <w:rFonts w:ascii="Times New Roman" w:hAnsi="Times New Roman"/>
                <w:sz w:val="24"/>
                <w:szCs w:val="24"/>
              </w:rPr>
            </w:pPr>
            <w:r w:rsidRPr="0024070C">
              <w:rPr>
                <w:rFonts w:ascii="Times New Roman" w:hAnsi="Times New Roman"/>
                <w:sz w:val="24"/>
                <w:szCs w:val="24"/>
              </w:rPr>
              <w:t xml:space="preserve">Lietuvos ekonominiam saugumui aktuali informacija </w:t>
            </w:r>
          </w:p>
        </w:tc>
      </w:tr>
      <w:tr w:rsidR="00716F64" w:rsidRPr="0024070C" w14:paraId="70DC6905" w14:textId="77777777" w:rsidTr="00716F64">
        <w:trPr>
          <w:trHeight w:val="216"/>
        </w:trPr>
        <w:tc>
          <w:tcPr>
            <w:tcW w:w="1043" w:type="dxa"/>
            <w:shd w:val="clear" w:color="auto" w:fill="auto"/>
            <w:tcMar>
              <w:top w:w="29" w:type="dxa"/>
              <w:left w:w="115" w:type="dxa"/>
              <w:bottom w:w="29" w:type="dxa"/>
              <w:right w:w="115" w:type="dxa"/>
            </w:tcMar>
          </w:tcPr>
          <w:p w14:paraId="09C38241" w14:textId="120E8C88" w:rsidR="00716F64" w:rsidRPr="0024070C" w:rsidRDefault="00716F64" w:rsidP="0024070C">
            <w:pPr>
              <w:spacing w:after="0" w:line="240" w:lineRule="auto"/>
              <w:jc w:val="both"/>
              <w:rPr>
                <w:rFonts w:ascii="Times New Roman" w:hAnsi="Times New Roman"/>
                <w:sz w:val="24"/>
                <w:szCs w:val="24"/>
              </w:rPr>
            </w:pPr>
            <w:r w:rsidRPr="0024070C">
              <w:rPr>
                <w:rFonts w:ascii="Times New Roman" w:hAnsi="Times New Roman"/>
                <w:sz w:val="24"/>
                <w:szCs w:val="24"/>
              </w:rPr>
              <w:t>2024-10-21</w:t>
            </w:r>
          </w:p>
        </w:tc>
        <w:tc>
          <w:tcPr>
            <w:tcW w:w="6182" w:type="dxa"/>
            <w:shd w:val="clear" w:color="auto" w:fill="auto"/>
            <w:tcMar>
              <w:top w:w="29" w:type="dxa"/>
              <w:left w:w="115" w:type="dxa"/>
              <w:bottom w:w="29" w:type="dxa"/>
              <w:right w:w="115" w:type="dxa"/>
            </w:tcMar>
          </w:tcPr>
          <w:p w14:paraId="2C68AA57" w14:textId="1BAD7EFB" w:rsidR="00716F64" w:rsidRPr="0024070C" w:rsidRDefault="00716F64" w:rsidP="0024070C">
            <w:pPr>
              <w:spacing w:after="0" w:line="240" w:lineRule="auto"/>
              <w:jc w:val="both"/>
              <w:rPr>
                <w:rFonts w:ascii="Times New Roman" w:hAnsi="Times New Roman"/>
                <w:sz w:val="24"/>
                <w:szCs w:val="24"/>
              </w:rPr>
            </w:pPr>
            <w:r w:rsidRPr="0024070C">
              <w:rPr>
                <w:rFonts w:ascii="Times New Roman" w:eastAsiaTheme="minorEastAsia" w:hAnsi="Times New Roman"/>
                <w:b/>
                <w:bCs/>
                <w:sz w:val="24"/>
                <w:szCs w:val="24"/>
              </w:rPr>
              <w:t>Suomijos ginklų eksportas pernai siekė 333 mln. EUR vertę</w:t>
            </w:r>
            <w:r w:rsidRPr="0024070C">
              <w:rPr>
                <w:rFonts w:ascii="Times New Roman" w:eastAsiaTheme="minorEastAsia" w:hAnsi="Times New Roman"/>
                <w:sz w:val="24"/>
                <w:szCs w:val="24"/>
              </w:rPr>
              <w:t xml:space="preserve">, o tai yra didžiausias nuo 2002 m. Fiksuotas beveik 80 mln. EUR padidėjimas, palyginti su praėjusiais metais, 85 % karinių prekių buvo eksportuojama į ES šalis, </w:t>
            </w:r>
            <w:r w:rsidRPr="0024070C">
              <w:rPr>
                <w:rFonts w:ascii="Times New Roman" w:eastAsiaTheme="minorEastAsia" w:hAnsi="Times New Roman"/>
                <w:b/>
                <w:bCs/>
                <w:sz w:val="24"/>
                <w:szCs w:val="24"/>
                <w:u w:val="single"/>
              </w:rPr>
              <w:t>daugiausiai į Švediją, Latviją ir Lietuvą</w:t>
            </w:r>
            <w:r w:rsidRPr="0024070C">
              <w:rPr>
                <w:rFonts w:ascii="Times New Roman" w:eastAsiaTheme="minorEastAsia" w:hAnsi="Times New Roman"/>
                <w:sz w:val="24"/>
                <w:szCs w:val="24"/>
              </w:rPr>
              <w:t>. Civiliniai ginklai daugiausiai eksportuojami į JAV, Kanadą ir Australiją. Suomija taip pat išdavė rekordiškai aukštą 667 mln. EUR vertės ginklų eksporto licencijų kiekį.</w:t>
            </w:r>
          </w:p>
        </w:tc>
        <w:tc>
          <w:tcPr>
            <w:tcW w:w="2403" w:type="dxa"/>
            <w:shd w:val="clear" w:color="auto" w:fill="auto"/>
            <w:tcMar>
              <w:top w:w="29" w:type="dxa"/>
              <w:left w:w="115" w:type="dxa"/>
              <w:bottom w:w="29" w:type="dxa"/>
              <w:right w:w="115" w:type="dxa"/>
            </w:tcMar>
          </w:tcPr>
          <w:p w14:paraId="44BBBA07" w14:textId="6CC29239" w:rsidR="00716F64" w:rsidRPr="0024070C" w:rsidRDefault="00716F64" w:rsidP="0024070C">
            <w:pPr>
              <w:spacing w:after="0" w:line="240" w:lineRule="auto"/>
              <w:jc w:val="both"/>
              <w:rPr>
                <w:rFonts w:ascii="Times New Roman" w:hAnsi="Times New Roman"/>
                <w:sz w:val="24"/>
                <w:szCs w:val="24"/>
              </w:rPr>
            </w:pPr>
            <w:hyperlink r:id="rId4">
              <w:r w:rsidRPr="0024070C">
                <w:rPr>
                  <w:rStyle w:val="Hyperlink"/>
                  <w:rFonts w:ascii="Times New Roman" w:eastAsiaTheme="minorEastAsia" w:hAnsi="Times New Roman"/>
                  <w:color w:val="467886"/>
                </w:rPr>
                <w:t>Demokraatti</w:t>
              </w:r>
            </w:hyperlink>
            <w:r w:rsidRPr="0024070C">
              <w:rPr>
                <w:rFonts w:ascii="Times New Roman" w:hAnsi="Times New Roman"/>
              </w:rPr>
              <w:t xml:space="preserve">; </w:t>
            </w:r>
            <w:hyperlink r:id="rId5">
              <w:r w:rsidRPr="0024070C">
                <w:rPr>
                  <w:rStyle w:val="Hyperlink"/>
                  <w:rFonts w:ascii="Times New Roman" w:eastAsiaTheme="minorEastAsia" w:hAnsi="Times New Roman"/>
                  <w:color w:val="467886"/>
                </w:rPr>
                <w:t>Hufvudstadsbladet;</w:t>
              </w:r>
            </w:hyperlink>
          </w:p>
        </w:tc>
      </w:tr>
      <w:tr w:rsidR="00716F64" w:rsidRPr="0024070C" w14:paraId="1BA96D51" w14:textId="77777777" w:rsidTr="00716F64">
        <w:trPr>
          <w:trHeight w:val="216"/>
        </w:trPr>
        <w:tc>
          <w:tcPr>
            <w:tcW w:w="1043" w:type="dxa"/>
            <w:shd w:val="clear" w:color="auto" w:fill="auto"/>
            <w:tcMar>
              <w:top w:w="29" w:type="dxa"/>
              <w:left w:w="115" w:type="dxa"/>
              <w:bottom w:w="29" w:type="dxa"/>
              <w:right w:w="115" w:type="dxa"/>
            </w:tcMar>
          </w:tcPr>
          <w:p w14:paraId="36D160EE" w14:textId="020F3887" w:rsidR="00716F64" w:rsidRPr="0024070C" w:rsidRDefault="0024070C" w:rsidP="0024070C">
            <w:pPr>
              <w:spacing w:after="0" w:line="240" w:lineRule="auto"/>
              <w:jc w:val="both"/>
              <w:rPr>
                <w:rFonts w:ascii="Times New Roman" w:hAnsi="Times New Roman"/>
                <w:sz w:val="24"/>
                <w:szCs w:val="24"/>
              </w:rPr>
            </w:pPr>
            <w:r>
              <w:rPr>
                <w:rFonts w:ascii="Times New Roman" w:hAnsi="Times New Roman"/>
                <w:sz w:val="24"/>
                <w:szCs w:val="24"/>
              </w:rPr>
              <w:t>2024-10-10</w:t>
            </w:r>
          </w:p>
        </w:tc>
        <w:tc>
          <w:tcPr>
            <w:tcW w:w="6182" w:type="dxa"/>
            <w:shd w:val="clear" w:color="auto" w:fill="auto"/>
            <w:tcMar>
              <w:top w:w="29" w:type="dxa"/>
              <w:left w:w="115" w:type="dxa"/>
              <w:bottom w:w="29" w:type="dxa"/>
              <w:right w:w="115" w:type="dxa"/>
            </w:tcMar>
          </w:tcPr>
          <w:p w14:paraId="198063A1" w14:textId="1B254796" w:rsidR="00716F64" w:rsidRPr="0024070C" w:rsidRDefault="00716F64" w:rsidP="0024070C">
            <w:pPr>
              <w:spacing w:after="100" w:line="240" w:lineRule="auto"/>
              <w:jc w:val="both"/>
              <w:rPr>
                <w:rFonts w:ascii="Times New Roman" w:eastAsia="Aptos" w:hAnsi="Times New Roman"/>
              </w:rPr>
            </w:pPr>
            <w:r w:rsidRPr="0024070C">
              <w:rPr>
                <w:rFonts w:ascii="Times New Roman" w:eastAsia="Aptos" w:hAnsi="Times New Roman"/>
                <w:sz w:val="24"/>
                <w:szCs w:val="24"/>
              </w:rPr>
              <w:t xml:space="preserve">Didžiausia Suomijos energetikos </w:t>
            </w:r>
            <w:r w:rsidRPr="0024070C">
              <w:rPr>
                <w:rFonts w:ascii="Times New Roman" w:eastAsia="Aptos" w:hAnsi="Times New Roman"/>
                <w:b/>
                <w:bCs/>
                <w:sz w:val="24"/>
                <w:szCs w:val="24"/>
              </w:rPr>
              <w:t>kompanija „Fortum“ susidūrė su kasdienėmis kibernetinėmis atakomis ir kibernetinio saugumo pažeidimais</w:t>
            </w:r>
            <w:r w:rsidRPr="0024070C">
              <w:rPr>
                <w:rFonts w:ascii="Times New Roman" w:eastAsia="Aptos" w:hAnsi="Times New Roman"/>
                <w:sz w:val="24"/>
                <w:szCs w:val="24"/>
              </w:rPr>
              <w:t xml:space="preserve">. Be to, prie „Fortum“ energetikos objektų buvo pastebėta įtartina dronų veikla ir asmenys. Bendrovė taip pat neseniai patyrė palydovinio ryšio sutrikimų ir paprašė Suomijos valdžios institucijų atlikti tyrimą. Panašūs incidentai įvyko „Fortum“ energetikos objektuose Švedijoje, nors operacijos nebuvo smarkiai paveiktos. Suomijos policija atlieka daugybę šių incidentų netoli ypatingos svarbos infrastruktūros objektų tyrimų. </w:t>
            </w:r>
          </w:p>
        </w:tc>
        <w:tc>
          <w:tcPr>
            <w:tcW w:w="2403" w:type="dxa"/>
            <w:shd w:val="clear" w:color="auto" w:fill="auto"/>
            <w:tcMar>
              <w:top w:w="29" w:type="dxa"/>
              <w:left w:w="115" w:type="dxa"/>
              <w:bottom w:w="29" w:type="dxa"/>
              <w:right w:w="115" w:type="dxa"/>
            </w:tcMar>
          </w:tcPr>
          <w:p w14:paraId="6D7AD0CE" w14:textId="73248FFA" w:rsidR="00716F64" w:rsidRPr="0024070C" w:rsidRDefault="00716F64" w:rsidP="0024070C">
            <w:pPr>
              <w:spacing w:after="0" w:line="240" w:lineRule="auto"/>
              <w:jc w:val="both"/>
              <w:rPr>
                <w:rFonts w:ascii="Times New Roman" w:hAnsi="Times New Roman"/>
              </w:rPr>
            </w:pPr>
            <w:hyperlink r:id="rId6">
              <w:r w:rsidRPr="0024070C">
                <w:rPr>
                  <w:rStyle w:val="Hyperlink"/>
                  <w:rFonts w:ascii="Times New Roman" w:eastAsia="Aptos" w:hAnsi="Times New Roman"/>
                  <w:color w:val="467886"/>
                </w:rPr>
                <w:t>Finland’s Top Power Utility Targeted With Daily Cyber Attacks | OilPrice.com</w:t>
              </w:r>
            </w:hyperlink>
          </w:p>
        </w:tc>
      </w:tr>
      <w:tr w:rsidR="004466AC" w:rsidRPr="0024070C" w14:paraId="234B7F28" w14:textId="77777777" w:rsidTr="00144EF8">
        <w:trPr>
          <w:trHeight w:val="234"/>
        </w:trPr>
        <w:tc>
          <w:tcPr>
            <w:tcW w:w="9628" w:type="dxa"/>
            <w:gridSpan w:val="3"/>
            <w:shd w:val="clear" w:color="auto" w:fill="auto"/>
            <w:tcMar>
              <w:top w:w="29" w:type="dxa"/>
              <w:left w:w="115" w:type="dxa"/>
              <w:bottom w:w="29" w:type="dxa"/>
              <w:right w:w="115" w:type="dxa"/>
            </w:tcMar>
          </w:tcPr>
          <w:p w14:paraId="6D1A4164" w14:textId="77777777" w:rsidR="004466AC" w:rsidRPr="0024070C" w:rsidRDefault="004466AC" w:rsidP="0024070C">
            <w:pPr>
              <w:spacing w:after="0" w:line="240" w:lineRule="auto"/>
              <w:jc w:val="both"/>
              <w:rPr>
                <w:rFonts w:ascii="Times New Roman" w:hAnsi="Times New Roman"/>
                <w:sz w:val="24"/>
                <w:szCs w:val="24"/>
              </w:rPr>
            </w:pPr>
            <w:r w:rsidRPr="0024070C">
              <w:rPr>
                <w:rFonts w:ascii="Times New Roman" w:hAnsi="Times New Roman"/>
                <w:sz w:val="24"/>
                <w:szCs w:val="24"/>
              </w:rPr>
              <w:t>Bendra akreditacijos valstybių ekonominė informacija</w:t>
            </w:r>
          </w:p>
        </w:tc>
      </w:tr>
      <w:tr w:rsidR="00716F64" w:rsidRPr="0024070C" w14:paraId="6B90B015" w14:textId="77777777" w:rsidTr="00716F64">
        <w:trPr>
          <w:trHeight w:val="216"/>
        </w:trPr>
        <w:tc>
          <w:tcPr>
            <w:tcW w:w="1043" w:type="dxa"/>
            <w:shd w:val="clear" w:color="auto" w:fill="auto"/>
            <w:tcMar>
              <w:top w:w="29" w:type="dxa"/>
              <w:left w:w="115" w:type="dxa"/>
              <w:bottom w:w="29" w:type="dxa"/>
              <w:right w:w="115" w:type="dxa"/>
            </w:tcMar>
          </w:tcPr>
          <w:p w14:paraId="2259F5AE" w14:textId="79B7A535" w:rsidR="00716F64" w:rsidRPr="0024070C" w:rsidRDefault="00716F64" w:rsidP="0024070C">
            <w:pPr>
              <w:spacing w:after="0" w:line="240" w:lineRule="auto"/>
              <w:jc w:val="both"/>
              <w:rPr>
                <w:rFonts w:ascii="Times New Roman" w:hAnsi="Times New Roman"/>
                <w:sz w:val="24"/>
                <w:szCs w:val="24"/>
              </w:rPr>
            </w:pPr>
            <w:r w:rsidRPr="0024070C">
              <w:rPr>
                <w:rFonts w:ascii="Times New Roman" w:hAnsi="Times New Roman"/>
                <w:sz w:val="24"/>
                <w:szCs w:val="24"/>
              </w:rPr>
              <w:t>2024-10-09</w:t>
            </w:r>
          </w:p>
        </w:tc>
        <w:tc>
          <w:tcPr>
            <w:tcW w:w="6182" w:type="dxa"/>
            <w:shd w:val="clear" w:color="auto" w:fill="auto"/>
            <w:tcMar>
              <w:top w:w="29" w:type="dxa"/>
              <w:left w:w="115" w:type="dxa"/>
              <w:bottom w:w="29" w:type="dxa"/>
              <w:right w:w="115" w:type="dxa"/>
            </w:tcMar>
          </w:tcPr>
          <w:p w14:paraId="7032C702" w14:textId="1B1ECB06" w:rsidR="00716F64" w:rsidRPr="0024070C" w:rsidRDefault="00716F64" w:rsidP="0024070C">
            <w:pPr>
              <w:spacing w:after="0" w:line="240" w:lineRule="auto"/>
              <w:jc w:val="both"/>
              <w:rPr>
                <w:rFonts w:ascii="Times New Roman" w:hAnsi="Times New Roman"/>
                <w:sz w:val="24"/>
                <w:szCs w:val="24"/>
              </w:rPr>
            </w:pPr>
            <w:r w:rsidRPr="0024070C">
              <w:rPr>
                <w:rFonts w:ascii="Times New Roman" w:hAnsi="Times New Roman"/>
                <w:b/>
                <w:bCs/>
                <w:sz w:val="24"/>
                <w:szCs w:val="24"/>
              </w:rPr>
              <w:t>Suomijos transporto ir komunikacijų bei finansų ministerijos pradeda visapusišką transporto apmokestinimo ir finansavimo reformą</w:t>
            </w:r>
            <w:r w:rsidRPr="0024070C">
              <w:rPr>
                <w:rFonts w:ascii="Times New Roman" w:hAnsi="Times New Roman"/>
                <w:sz w:val="24"/>
                <w:szCs w:val="24"/>
              </w:rPr>
              <w:t>, kurioje daugiausia dėmesio skiriama kelių ir geležinkelių transportui, taip pat viešųjų finansų tvarumui ir nacionalinių bei ES taršos mažinimo tikslų pasiekimui. Pasak ministerijų, reformą skatina didėjanti transporto tinklo remonto skola. Transporto apmokestinimas, tradiciškai pagrįstas fiskaliniais ir aplinkosaugos tikslais, susilpnėjo dėl perėjimo prie mažai teršiančių transporto priemonių ir mokesčių sumažinimo. Siekiant išspręsti šią problemą, didinami transporto priemonių mokesčiai elektromobiliams bei hibridiniams automobiliams kasmet didės apie 80 eurų. Pirmasis kompleksinės transporto mokesčių reformos etapas prasidės lapkritį, kai abi ministerijos parengs esamos transporto kainodaros analizę. Antrasis etapas prasidės 2025 m. rugpjūtį, kai bus sudaryta valstybės tarnybos darbo grupė, kuri nustatys ir įvertins reformų galimybes.</w:t>
            </w:r>
          </w:p>
        </w:tc>
        <w:tc>
          <w:tcPr>
            <w:tcW w:w="2403" w:type="dxa"/>
            <w:shd w:val="clear" w:color="auto" w:fill="auto"/>
            <w:tcMar>
              <w:top w:w="29" w:type="dxa"/>
              <w:left w:w="115" w:type="dxa"/>
              <w:bottom w:w="29" w:type="dxa"/>
              <w:right w:w="115" w:type="dxa"/>
            </w:tcMar>
          </w:tcPr>
          <w:p w14:paraId="71673CDC" w14:textId="77777777" w:rsidR="00716F64" w:rsidRPr="0024070C" w:rsidRDefault="00716F64" w:rsidP="0024070C">
            <w:pPr>
              <w:spacing w:after="0" w:line="240" w:lineRule="auto"/>
              <w:jc w:val="both"/>
              <w:rPr>
                <w:rFonts w:ascii="Times New Roman" w:hAnsi="Times New Roman"/>
                <w:sz w:val="24"/>
                <w:szCs w:val="24"/>
              </w:rPr>
            </w:pPr>
            <w:hyperlink r:id="rId7" w:history="1">
              <w:r w:rsidRPr="0024070C">
                <w:rPr>
                  <w:rStyle w:val="Hyperlink"/>
                  <w:rFonts w:ascii="Times New Roman" w:hAnsi="Times New Roman"/>
                </w:rPr>
                <w:t>https://www.kauppalehti.fi/uutiset/jattiuudistus-alkaa-suomessa-autoilun-verotus-taysremonttiin/30b874a3-ac3c-48b0-b138-e8aef49623e5</w:t>
              </w:r>
            </w:hyperlink>
            <w:r w:rsidRPr="0024070C">
              <w:rPr>
                <w:rFonts w:ascii="Times New Roman" w:hAnsi="Times New Roman"/>
              </w:rPr>
              <w:t xml:space="preserve"> ; </w:t>
            </w:r>
            <w:hyperlink r:id="rId8">
              <w:r w:rsidRPr="0024070C">
                <w:rPr>
                  <w:rStyle w:val="Hyperlink"/>
                  <w:rFonts w:ascii="Times New Roman" w:eastAsia="Aptos" w:hAnsi="Times New Roman"/>
                  <w:color w:val="467886"/>
                </w:rPr>
                <w:t>https://vm.fi/-/194055633/liikenteen-verotuksen-ja-rahoituksen-kokonaisuudistus-kayntiin</w:t>
              </w:r>
            </w:hyperlink>
          </w:p>
          <w:p w14:paraId="76F68D1E" w14:textId="77777777" w:rsidR="00716F64" w:rsidRPr="0024070C" w:rsidRDefault="00716F64" w:rsidP="0024070C">
            <w:pPr>
              <w:spacing w:after="0" w:line="240" w:lineRule="auto"/>
              <w:jc w:val="both"/>
              <w:rPr>
                <w:rFonts w:ascii="Times New Roman" w:hAnsi="Times New Roman"/>
                <w:sz w:val="24"/>
                <w:szCs w:val="24"/>
              </w:rPr>
            </w:pPr>
          </w:p>
        </w:tc>
      </w:tr>
      <w:tr w:rsidR="00716F64" w:rsidRPr="0024070C" w14:paraId="35C3D64A" w14:textId="77777777" w:rsidTr="00716F64">
        <w:trPr>
          <w:trHeight w:val="216"/>
        </w:trPr>
        <w:tc>
          <w:tcPr>
            <w:tcW w:w="1043" w:type="dxa"/>
            <w:shd w:val="clear" w:color="auto" w:fill="auto"/>
            <w:tcMar>
              <w:top w:w="29" w:type="dxa"/>
              <w:left w:w="115" w:type="dxa"/>
              <w:bottom w:w="29" w:type="dxa"/>
              <w:right w:w="115" w:type="dxa"/>
            </w:tcMar>
          </w:tcPr>
          <w:p w14:paraId="28BFFCF5" w14:textId="1719F556" w:rsidR="00716F64" w:rsidRPr="0024070C" w:rsidRDefault="0024070C" w:rsidP="0024070C">
            <w:pPr>
              <w:spacing w:after="0" w:line="240" w:lineRule="auto"/>
              <w:jc w:val="both"/>
              <w:rPr>
                <w:rFonts w:ascii="Times New Roman" w:hAnsi="Times New Roman"/>
                <w:sz w:val="24"/>
                <w:szCs w:val="24"/>
              </w:rPr>
            </w:pPr>
            <w:r>
              <w:rPr>
                <w:rFonts w:ascii="Times New Roman" w:hAnsi="Times New Roman"/>
                <w:sz w:val="24"/>
                <w:szCs w:val="24"/>
              </w:rPr>
              <w:t>2024-10-08</w:t>
            </w:r>
          </w:p>
        </w:tc>
        <w:tc>
          <w:tcPr>
            <w:tcW w:w="6182" w:type="dxa"/>
            <w:shd w:val="clear" w:color="auto" w:fill="auto"/>
            <w:tcMar>
              <w:top w:w="29" w:type="dxa"/>
              <w:left w:w="115" w:type="dxa"/>
              <w:bottom w:w="29" w:type="dxa"/>
              <w:right w:w="115" w:type="dxa"/>
            </w:tcMar>
          </w:tcPr>
          <w:p w14:paraId="6858090F" w14:textId="2CD7F790" w:rsidR="00716F64" w:rsidRPr="0024070C" w:rsidRDefault="00716F64" w:rsidP="0024070C">
            <w:pPr>
              <w:spacing w:after="0" w:line="240" w:lineRule="auto"/>
              <w:jc w:val="both"/>
              <w:rPr>
                <w:rFonts w:ascii="Times New Roman" w:hAnsi="Times New Roman"/>
                <w:sz w:val="24"/>
                <w:szCs w:val="24"/>
              </w:rPr>
            </w:pPr>
            <w:r w:rsidRPr="0024070C">
              <w:rPr>
                <w:rFonts w:ascii="Times New Roman" w:hAnsi="Times New Roman"/>
                <w:sz w:val="24"/>
                <w:szCs w:val="24"/>
              </w:rPr>
              <w:t xml:space="preserve">Suomijos pramonininkų konfederacijos parengtoje ataskaitoje </w:t>
            </w:r>
            <w:r w:rsidRPr="00E5760B">
              <w:rPr>
                <w:rFonts w:ascii="Times New Roman" w:hAnsi="Times New Roman"/>
                <w:b/>
                <w:bCs/>
                <w:sz w:val="24"/>
                <w:szCs w:val="24"/>
              </w:rPr>
              <w:t>apskaičiuota galima žaliųjų investicinių projektų nauda</w:t>
            </w:r>
            <w:r w:rsidRPr="0024070C">
              <w:rPr>
                <w:rFonts w:ascii="Times New Roman" w:hAnsi="Times New Roman"/>
                <w:sz w:val="24"/>
                <w:szCs w:val="24"/>
              </w:rPr>
              <w:t xml:space="preserve"> </w:t>
            </w:r>
            <w:r w:rsidRPr="00E5760B">
              <w:rPr>
                <w:rFonts w:ascii="Times New Roman" w:hAnsi="Times New Roman"/>
                <w:b/>
                <w:bCs/>
                <w:sz w:val="24"/>
                <w:szCs w:val="24"/>
              </w:rPr>
              <w:lastRenderedPageBreak/>
              <w:t>Suomijos ekonomikai</w:t>
            </w:r>
            <w:r w:rsidRPr="0024070C">
              <w:rPr>
                <w:rFonts w:ascii="Times New Roman" w:hAnsi="Times New Roman"/>
                <w:sz w:val="24"/>
                <w:szCs w:val="24"/>
              </w:rPr>
              <w:t>. Joje teigiama, kad planuojamos žaliosios pereinamojo laikotarpio investicijos padidintų Suomijos BVP keliais milijardais, net jei būtų įgyvendinta tik dalis jų. Taipogi, padidėtų užimtumas ir pajamos iš mokesčių – kasmet būtų įdarbinama apie 12000 darbuotojų, pelno mokesči</w:t>
            </w:r>
            <w:r w:rsidR="00CC50B7">
              <w:rPr>
                <w:rFonts w:ascii="Times New Roman" w:hAnsi="Times New Roman"/>
                <w:sz w:val="24"/>
                <w:szCs w:val="24"/>
              </w:rPr>
              <w:t>ų pajamos</w:t>
            </w:r>
            <w:r w:rsidRPr="0024070C">
              <w:rPr>
                <w:rFonts w:ascii="Times New Roman" w:hAnsi="Times New Roman"/>
                <w:sz w:val="24"/>
                <w:szCs w:val="24"/>
              </w:rPr>
              <w:t xml:space="preserve"> per metus padidėtų maždaug 170 mln. EUR, o nekilnojamojo turto mokesčio pajamos – 330 mln. EUR.</w:t>
            </w:r>
          </w:p>
        </w:tc>
        <w:tc>
          <w:tcPr>
            <w:tcW w:w="2403" w:type="dxa"/>
            <w:shd w:val="clear" w:color="auto" w:fill="auto"/>
            <w:tcMar>
              <w:top w:w="29" w:type="dxa"/>
              <w:left w:w="115" w:type="dxa"/>
              <w:bottom w:w="29" w:type="dxa"/>
              <w:right w:w="115" w:type="dxa"/>
            </w:tcMar>
          </w:tcPr>
          <w:p w14:paraId="54D97755" w14:textId="4F4C6D58" w:rsidR="00716F64" w:rsidRPr="0024070C" w:rsidRDefault="00716F64" w:rsidP="0024070C">
            <w:pPr>
              <w:spacing w:after="0" w:line="240" w:lineRule="auto"/>
              <w:jc w:val="both"/>
              <w:rPr>
                <w:rFonts w:ascii="Times New Roman" w:hAnsi="Times New Roman"/>
                <w:sz w:val="24"/>
                <w:szCs w:val="24"/>
              </w:rPr>
            </w:pPr>
            <w:hyperlink r:id="rId9">
              <w:r w:rsidRPr="0024070C">
                <w:rPr>
                  <w:rStyle w:val="Hyperlink"/>
                  <w:rFonts w:ascii="Times New Roman" w:eastAsia="Aptos" w:hAnsi="Times New Roman"/>
                  <w:color w:val="467886"/>
                </w:rPr>
                <w:t>https://yle.fi/a/74-20116586</w:t>
              </w:r>
            </w:hyperlink>
          </w:p>
        </w:tc>
      </w:tr>
      <w:tr w:rsidR="00716F64" w:rsidRPr="0024070C" w14:paraId="5A9357E5" w14:textId="77777777" w:rsidTr="00716F64">
        <w:trPr>
          <w:trHeight w:val="216"/>
        </w:trPr>
        <w:tc>
          <w:tcPr>
            <w:tcW w:w="1043" w:type="dxa"/>
            <w:shd w:val="clear" w:color="auto" w:fill="auto"/>
            <w:tcMar>
              <w:top w:w="29" w:type="dxa"/>
              <w:left w:w="115" w:type="dxa"/>
              <w:bottom w:w="29" w:type="dxa"/>
              <w:right w:w="115" w:type="dxa"/>
            </w:tcMar>
          </w:tcPr>
          <w:p w14:paraId="445FE34F" w14:textId="2ED9FD68" w:rsidR="00716F64" w:rsidRPr="0024070C" w:rsidRDefault="0024070C" w:rsidP="0024070C">
            <w:pPr>
              <w:spacing w:after="0" w:line="240" w:lineRule="auto"/>
              <w:jc w:val="both"/>
              <w:rPr>
                <w:rFonts w:ascii="Times New Roman" w:hAnsi="Times New Roman"/>
                <w:sz w:val="24"/>
                <w:szCs w:val="24"/>
              </w:rPr>
            </w:pPr>
            <w:r>
              <w:rPr>
                <w:rFonts w:ascii="Times New Roman" w:hAnsi="Times New Roman"/>
                <w:sz w:val="24"/>
                <w:szCs w:val="24"/>
              </w:rPr>
              <w:t>2024-10-09</w:t>
            </w:r>
          </w:p>
        </w:tc>
        <w:tc>
          <w:tcPr>
            <w:tcW w:w="6182" w:type="dxa"/>
            <w:shd w:val="clear" w:color="auto" w:fill="auto"/>
            <w:tcMar>
              <w:top w:w="29" w:type="dxa"/>
              <w:left w:w="115" w:type="dxa"/>
              <w:bottom w:w="29" w:type="dxa"/>
              <w:right w:w="115" w:type="dxa"/>
            </w:tcMar>
          </w:tcPr>
          <w:p w14:paraId="4ED55DCB" w14:textId="77777777" w:rsidR="00716F64" w:rsidRPr="0024070C" w:rsidRDefault="00716F64" w:rsidP="0024070C">
            <w:pPr>
              <w:spacing w:after="0" w:line="240" w:lineRule="auto"/>
              <w:jc w:val="both"/>
              <w:rPr>
                <w:rFonts w:ascii="Times New Roman" w:hAnsi="Times New Roman"/>
                <w:sz w:val="24"/>
                <w:szCs w:val="24"/>
              </w:rPr>
            </w:pPr>
            <w:r w:rsidRPr="00E5760B">
              <w:rPr>
                <w:rFonts w:ascii="Times New Roman" w:hAnsi="Times New Roman"/>
                <w:b/>
                <w:bCs/>
                <w:sz w:val="24"/>
                <w:szCs w:val="24"/>
              </w:rPr>
              <w:t>Suomijos įmonių nuomonė apie ekonominę situaciją pagerėjo, pasak Suomijos prekybos rūmų</w:t>
            </w:r>
            <w:r w:rsidRPr="0024070C">
              <w:rPr>
                <w:rFonts w:ascii="Times New Roman" w:hAnsi="Times New Roman"/>
                <w:sz w:val="24"/>
                <w:szCs w:val="24"/>
              </w:rPr>
              <w:t>. Tarp atsakiusiųjų įmonių 35 % pranešė apie savo pajamų padidėjimą, palyginti su praėjusiais metais. 27% respondentų tikisi, kad per ateinančius šešis mėnesius užsakymų apimtis augs, o 22% tikisi mažėjimo. Vis dėlto 40% respondentų mano, kad jų užsakymų apimtys mažesnės nei prieš metus, o kiek mažiau nei ketvirtadalis respondentų situaciją vertino kaip geresnę.</w:t>
            </w:r>
          </w:p>
          <w:p w14:paraId="36116D9A" w14:textId="77777777" w:rsidR="00716F64" w:rsidRPr="0024070C" w:rsidRDefault="00716F64" w:rsidP="0024070C">
            <w:pPr>
              <w:spacing w:after="0" w:line="240" w:lineRule="auto"/>
              <w:jc w:val="both"/>
              <w:rPr>
                <w:rFonts w:ascii="Times New Roman" w:hAnsi="Times New Roman"/>
                <w:sz w:val="24"/>
                <w:szCs w:val="24"/>
              </w:rPr>
            </w:pPr>
          </w:p>
          <w:p w14:paraId="2DA035C7" w14:textId="700684C4" w:rsidR="00716F64" w:rsidRPr="0024070C" w:rsidRDefault="00716F64" w:rsidP="0024070C">
            <w:pPr>
              <w:spacing w:after="0" w:line="240" w:lineRule="auto"/>
              <w:jc w:val="both"/>
              <w:rPr>
                <w:rFonts w:ascii="Times New Roman" w:hAnsi="Times New Roman"/>
                <w:sz w:val="24"/>
                <w:szCs w:val="24"/>
              </w:rPr>
            </w:pPr>
            <w:r w:rsidRPr="0024070C">
              <w:rPr>
                <w:rFonts w:ascii="Times New Roman" w:hAnsi="Times New Roman"/>
                <w:sz w:val="24"/>
                <w:szCs w:val="24"/>
              </w:rPr>
              <w:t xml:space="preserve">Suomijos įmonės „OP Financial Group“ ekonomistai prognozuoja, kad </w:t>
            </w:r>
            <w:r w:rsidRPr="00E5760B">
              <w:rPr>
                <w:rFonts w:ascii="Times New Roman" w:hAnsi="Times New Roman"/>
                <w:b/>
                <w:bCs/>
                <w:sz w:val="24"/>
                <w:szCs w:val="24"/>
              </w:rPr>
              <w:t>Suomijos ekonomika ir toliau atsigaus, o kitais metais tikimasi augimo paspartėjimo</w:t>
            </w:r>
            <w:r w:rsidRPr="0024070C">
              <w:rPr>
                <w:rFonts w:ascii="Times New Roman" w:hAnsi="Times New Roman"/>
                <w:sz w:val="24"/>
                <w:szCs w:val="24"/>
              </w:rPr>
              <w:t>. Nors prognozuojama, kad 2024 m. BVP dėl prastesnių rezultatų metų pradžioje sumažės 0,5 %, 2025 m. augimas vėl sugrįš ir padidės 2%. „OP“ ekonomistai daro prielaidą, kad statybų sektorius pasiekė žemiausią tašką, o investicijos į statybas ateinančiais metais tikimasi pastebimai augs. Remiantis prognozėmis, struktūrinio nedarbo ar valstybės deficito disbalanso šie pokyčiai nesumažina.</w:t>
            </w:r>
          </w:p>
        </w:tc>
        <w:tc>
          <w:tcPr>
            <w:tcW w:w="2403" w:type="dxa"/>
            <w:shd w:val="clear" w:color="auto" w:fill="auto"/>
            <w:tcMar>
              <w:top w:w="29" w:type="dxa"/>
              <w:left w:w="115" w:type="dxa"/>
              <w:bottom w:w="29" w:type="dxa"/>
              <w:right w:w="115" w:type="dxa"/>
            </w:tcMar>
          </w:tcPr>
          <w:p w14:paraId="2AE6E444" w14:textId="77777777" w:rsidR="00716F64" w:rsidRPr="0024070C" w:rsidRDefault="00716F64" w:rsidP="0024070C">
            <w:pPr>
              <w:spacing w:after="0" w:line="240" w:lineRule="auto"/>
              <w:jc w:val="both"/>
              <w:rPr>
                <w:rStyle w:val="Hyperlink"/>
                <w:rFonts w:ascii="Times New Roman" w:eastAsia="Aptos" w:hAnsi="Times New Roman"/>
                <w:color w:val="467886"/>
              </w:rPr>
            </w:pPr>
            <w:hyperlink r:id="rId10">
              <w:r w:rsidRPr="0024070C">
                <w:rPr>
                  <w:rStyle w:val="Hyperlink"/>
                  <w:rFonts w:ascii="Times New Roman" w:eastAsia="Aptos" w:hAnsi="Times New Roman"/>
                  <w:color w:val="467886"/>
                </w:rPr>
                <w:t>https://www.hs.fi/talous/art-2000010750451.html</w:t>
              </w:r>
            </w:hyperlink>
            <w:r w:rsidRPr="0024070C">
              <w:rPr>
                <w:rFonts w:ascii="Times New Roman" w:eastAsia="Aptos" w:hAnsi="Times New Roman"/>
              </w:rPr>
              <w:t xml:space="preserve"> ; </w:t>
            </w:r>
            <w:hyperlink r:id="rId11">
              <w:r w:rsidRPr="0024070C">
                <w:rPr>
                  <w:rStyle w:val="Hyperlink"/>
                  <w:rFonts w:ascii="Times New Roman" w:eastAsia="Aptos" w:hAnsi="Times New Roman"/>
                  <w:color w:val="467886"/>
                </w:rPr>
                <w:t>https://yle.fi/uutiset/lyhyesti/74-20116769</w:t>
              </w:r>
            </w:hyperlink>
            <w:r w:rsidRPr="0024070C">
              <w:rPr>
                <w:rFonts w:ascii="Times New Roman" w:eastAsia="Aptos" w:hAnsi="Times New Roman"/>
              </w:rPr>
              <w:t xml:space="preserve"> ; </w:t>
            </w:r>
            <w:hyperlink r:id="rId12">
              <w:r w:rsidRPr="0024070C">
                <w:rPr>
                  <w:rStyle w:val="Hyperlink"/>
                  <w:rFonts w:ascii="Times New Roman" w:eastAsia="Aptos" w:hAnsi="Times New Roman"/>
                  <w:color w:val="467886"/>
                </w:rPr>
                <w:t>https://www.is.fi/taloussanomat/art-2000010750435.html</w:t>
              </w:r>
            </w:hyperlink>
            <w:r w:rsidRPr="0024070C">
              <w:rPr>
                <w:rStyle w:val="Hyperlink"/>
                <w:rFonts w:ascii="Times New Roman" w:eastAsia="Aptos" w:hAnsi="Times New Roman"/>
                <w:color w:val="467886"/>
              </w:rPr>
              <w:t>;</w:t>
            </w:r>
          </w:p>
          <w:p w14:paraId="1F15121F" w14:textId="77777777" w:rsidR="00716F64" w:rsidRPr="0024070C" w:rsidRDefault="00716F64" w:rsidP="0024070C">
            <w:pPr>
              <w:spacing w:after="0" w:line="240" w:lineRule="auto"/>
              <w:jc w:val="both"/>
              <w:rPr>
                <w:rStyle w:val="Hyperlink"/>
                <w:rFonts w:ascii="Times New Roman" w:eastAsia="Aptos" w:hAnsi="Times New Roman"/>
                <w:color w:val="467886"/>
              </w:rPr>
            </w:pPr>
          </w:p>
          <w:p w14:paraId="6FFD1173" w14:textId="7017A470" w:rsidR="00716F64" w:rsidRPr="0024070C" w:rsidRDefault="00716F64" w:rsidP="0024070C">
            <w:pPr>
              <w:spacing w:after="0" w:line="240" w:lineRule="auto"/>
              <w:jc w:val="both"/>
              <w:rPr>
                <w:rFonts w:ascii="Times New Roman" w:hAnsi="Times New Roman"/>
                <w:sz w:val="24"/>
                <w:szCs w:val="24"/>
              </w:rPr>
            </w:pPr>
            <w:hyperlink r:id="rId13" w:history="1">
              <w:r w:rsidRPr="0024070C">
                <w:rPr>
                  <w:rStyle w:val="Hyperlink"/>
                  <w:rFonts w:ascii="Times New Roman" w:hAnsi="Times New Roman"/>
                  <w:sz w:val="24"/>
                  <w:szCs w:val="24"/>
                </w:rPr>
                <w:t>https://www.kauppalehti.fi/uutiset/op-suomen-talouden-elpymisen-vauhti-kiihtyy/610cc59a-6eb2-43b9-985d-6682646bee89</w:t>
              </w:r>
            </w:hyperlink>
            <w:r w:rsidRPr="0024070C">
              <w:rPr>
                <w:rFonts w:ascii="Times New Roman" w:hAnsi="Times New Roman"/>
                <w:sz w:val="24"/>
                <w:szCs w:val="24"/>
              </w:rPr>
              <w:t xml:space="preserve"> </w:t>
            </w:r>
          </w:p>
        </w:tc>
      </w:tr>
      <w:tr w:rsidR="00716F64" w:rsidRPr="0024070C" w14:paraId="3894427A" w14:textId="77777777" w:rsidTr="00716F64">
        <w:trPr>
          <w:trHeight w:val="216"/>
        </w:trPr>
        <w:tc>
          <w:tcPr>
            <w:tcW w:w="1043" w:type="dxa"/>
            <w:shd w:val="clear" w:color="auto" w:fill="auto"/>
            <w:tcMar>
              <w:top w:w="29" w:type="dxa"/>
              <w:left w:w="115" w:type="dxa"/>
              <w:bottom w:w="29" w:type="dxa"/>
              <w:right w:w="115" w:type="dxa"/>
            </w:tcMar>
          </w:tcPr>
          <w:p w14:paraId="11792B51" w14:textId="735121E7" w:rsidR="00716F64" w:rsidRPr="0024070C" w:rsidRDefault="0024070C" w:rsidP="0024070C">
            <w:pPr>
              <w:spacing w:after="0" w:line="240" w:lineRule="auto"/>
              <w:jc w:val="both"/>
              <w:rPr>
                <w:rFonts w:ascii="Times New Roman" w:hAnsi="Times New Roman"/>
                <w:sz w:val="24"/>
                <w:szCs w:val="24"/>
              </w:rPr>
            </w:pPr>
            <w:r>
              <w:rPr>
                <w:rFonts w:ascii="Times New Roman" w:hAnsi="Times New Roman"/>
                <w:sz w:val="24"/>
                <w:szCs w:val="24"/>
              </w:rPr>
              <w:t>2024-10-16</w:t>
            </w:r>
          </w:p>
        </w:tc>
        <w:tc>
          <w:tcPr>
            <w:tcW w:w="6182" w:type="dxa"/>
            <w:shd w:val="clear" w:color="auto" w:fill="auto"/>
            <w:tcMar>
              <w:top w:w="29" w:type="dxa"/>
              <w:left w:w="115" w:type="dxa"/>
              <w:bottom w:w="29" w:type="dxa"/>
              <w:right w:w="115" w:type="dxa"/>
            </w:tcMar>
          </w:tcPr>
          <w:p w14:paraId="707F7680" w14:textId="7800FCB9" w:rsidR="00716F64" w:rsidRPr="0024070C" w:rsidRDefault="00716F64" w:rsidP="0024070C">
            <w:pPr>
              <w:spacing w:after="0" w:line="240" w:lineRule="auto"/>
              <w:jc w:val="both"/>
              <w:rPr>
                <w:rFonts w:ascii="Times New Roman" w:hAnsi="Times New Roman"/>
                <w:sz w:val="24"/>
                <w:szCs w:val="24"/>
              </w:rPr>
            </w:pPr>
            <w:r w:rsidRPr="00E5760B">
              <w:rPr>
                <w:rFonts w:ascii="Times New Roman" w:hAnsi="Times New Roman"/>
                <w:b/>
                <w:bCs/>
                <w:sz w:val="24"/>
                <w:szCs w:val="24"/>
              </w:rPr>
              <w:t xml:space="preserve">Suomijos bendrovė „Steady Energy“ tampa </w:t>
            </w:r>
            <w:r w:rsidR="00E5760B" w:rsidRPr="00E5760B">
              <w:rPr>
                <w:rFonts w:ascii="Times New Roman" w:hAnsi="Times New Roman"/>
                <w:b/>
                <w:bCs/>
                <w:sz w:val="24"/>
                <w:szCs w:val="24"/>
              </w:rPr>
              <w:t>viena pagrindinių įmonių</w:t>
            </w:r>
            <w:r w:rsidRPr="00E5760B">
              <w:rPr>
                <w:rFonts w:ascii="Times New Roman" w:hAnsi="Times New Roman"/>
                <w:b/>
                <w:bCs/>
                <w:sz w:val="24"/>
                <w:szCs w:val="24"/>
              </w:rPr>
              <w:t xml:space="preserve"> kuriant mažus modulinius branduolinius reaktorius (SMR) Europos Sąjungoje</w:t>
            </w:r>
            <w:r w:rsidRPr="0024070C">
              <w:rPr>
                <w:rFonts w:ascii="Times New Roman" w:hAnsi="Times New Roman"/>
                <w:sz w:val="24"/>
                <w:szCs w:val="24"/>
              </w:rPr>
              <w:t>. „Steady Energy“, bendradarbiaudama su prancūzų įmone „Calogena“, yra mažų modulinių reaktorių (SMR) projekto „City Heat“ dalis, kurio pagrindinis dėmesys skiriamas mažų reaktorių, visų pirma šilumos gamybai, skirtų centralizuoto šildymo sistemoms, kūrimui. Jų įtraukimas į Europos mažų branduolinių reaktorių pramonės aljansą laikomas svarbiu įvykiu, kuris padidina matomumą ir suteikia galimybę gauti finansinę ES paramą. Bendrovė turi susitarimus planuoti reaktorius Helsinkyje ir Kuopio mieste Suomijoje. „Steady Energy“ veikla apima reaktorių projektavimą, o klientai, pavyzdžiui, savivaldybės ar pramonės subjektai, suranda potencialias vietas ir finansuoja įrenginius.</w:t>
            </w:r>
          </w:p>
        </w:tc>
        <w:tc>
          <w:tcPr>
            <w:tcW w:w="2403" w:type="dxa"/>
            <w:shd w:val="clear" w:color="auto" w:fill="auto"/>
            <w:tcMar>
              <w:top w:w="29" w:type="dxa"/>
              <w:left w:w="115" w:type="dxa"/>
              <w:bottom w:w="29" w:type="dxa"/>
              <w:right w:w="115" w:type="dxa"/>
            </w:tcMar>
          </w:tcPr>
          <w:p w14:paraId="307FF985" w14:textId="529DCEAB" w:rsidR="00716F64" w:rsidRPr="0024070C" w:rsidRDefault="00716F64" w:rsidP="0024070C">
            <w:pPr>
              <w:spacing w:after="0" w:line="240" w:lineRule="auto"/>
              <w:jc w:val="both"/>
              <w:rPr>
                <w:rFonts w:ascii="Times New Roman" w:hAnsi="Times New Roman"/>
                <w:sz w:val="24"/>
                <w:szCs w:val="24"/>
              </w:rPr>
            </w:pPr>
            <w:hyperlink r:id="rId14" w:history="1">
              <w:r w:rsidRPr="0024070C">
                <w:rPr>
                  <w:rStyle w:val="Hyperlink"/>
                  <w:rFonts w:ascii="Times New Roman" w:hAnsi="Times New Roman"/>
                  <w:sz w:val="24"/>
                  <w:szCs w:val="24"/>
                </w:rPr>
                <w:t>https://www.hbl.fi/2024-10-16/finskt-foretag-utvecklar-karnkraft-i-eu/</w:t>
              </w:r>
            </w:hyperlink>
          </w:p>
        </w:tc>
      </w:tr>
      <w:tr w:rsidR="00716F64" w:rsidRPr="0024070C" w14:paraId="1059F745" w14:textId="77777777" w:rsidTr="00716F64">
        <w:trPr>
          <w:trHeight w:val="216"/>
        </w:trPr>
        <w:tc>
          <w:tcPr>
            <w:tcW w:w="1043" w:type="dxa"/>
            <w:shd w:val="clear" w:color="auto" w:fill="auto"/>
            <w:tcMar>
              <w:top w:w="29" w:type="dxa"/>
              <w:left w:w="115" w:type="dxa"/>
              <w:bottom w:w="29" w:type="dxa"/>
              <w:right w:w="115" w:type="dxa"/>
            </w:tcMar>
          </w:tcPr>
          <w:p w14:paraId="6727429B" w14:textId="49758490" w:rsidR="00716F64" w:rsidRPr="0024070C" w:rsidRDefault="0024070C" w:rsidP="0024070C">
            <w:pPr>
              <w:spacing w:after="0" w:line="240" w:lineRule="auto"/>
              <w:jc w:val="both"/>
              <w:rPr>
                <w:rFonts w:ascii="Times New Roman" w:hAnsi="Times New Roman"/>
                <w:sz w:val="24"/>
                <w:szCs w:val="24"/>
              </w:rPr>
            </w:pPr>
            <w:r>
              <w:rPr>
                <w:rFonts w:ascii="Times New Roman" w:hAnsi="Times New Roman"/>
                <w:sz w:val="24"/>
                <w:szCs w:val="24"/>
              </w:rPr>
              <w:t>2024-10-21</w:t>
            </w:r>
          </w:p>
        </w:tc>
        <w:tc>
          <w:tcPr>
            <w:tcW w:w="6182" w:type="dxa"/>
            <w:shd w:val="clear" w:color="auto" w:fill="auto"/>
            <w:tcMar>
              <w:top w:w="29" w:type="dxa"/>
              <w:left w:w="115" w:type="dxa"/>
              <w:bottom w:w="29" w:type="dxa"/>
              <w:right w:w="115" w:type="dxa"/>
            </w:tcMar>
          </w:tcPr>
          <w:p w14:paraId="683321B4" w14:textId="666FB907" w:rsidR="00716F64" w:rsidRPr="0024070C" w:rsidRDefault="00716F64" w:rsidP="0024070C">
            <w:pPr>
              <w:spacing w:after="0" w:line="240" w:lineRule="auto"/>
              <w:jc w:val="both"/>
              <w:rPr>
                <w:rFonts w:ascii="Times New Roman" w:hAnsi="Times New Roman"/>
                <w:b/>
                <w:bCs/>
                <w:sz w:val="24"/>
                <w:szCs w:val="24"/>
              </w:rPr>
            </w:pPr>
            <w:r w:rsidRPr="0024070C">
              <w:rPr>
                <w:rFonts w:ascii="Times New Roman" w:eastAsiaTheme="minorEastAsia" w:hAnsi="Times New Roman"/>
                <w:b/>
                <w:bCs/>
                <w:sz w:val="24"/>
                <w:szCs w:val="24"/>
              </w:rPr>
              <w:t>ES Žemės ūkio ir žuvininkystės taryba nustatė žvejybos kvotas Baltijos jūroje 2025 m.</w:t>
            </w:r>
            <w:r w:rsidRPr="0024070C">
              <w:rPr>
                <w:rFonts w:ascii="Times New Roman" w:eastAsiaTheme="minorEastAsia" w:hAnsi="Times New Roman"/>
                <w:sz w:val="24"/>
                <w:szCs w:val="24"/>
              </w:rPr>
              <w:t xml:space="preserve">: prieš susitikimą daugiausiai nesutarimų kilo tarp Švedijos ir Suomijos ministrų dėl skirtingų silkių žvejybos kvotų. Švedijos kaimo reikalų ministras laikėsi ribojančios pozicijos, siekdamas mažesnių kvotų, o Suomijos žemės ūkio ir miškų ūkio ministrė S. Essayah teigė, kad pagal mokslinius tyrimus galima didinti </w:t>
            </w:r>
            <w:r w:rsidRPr="0024070C">
              <w:rPr>
                <w:rFonts w:ascii="Times New Roman" w:eastAsiaTheme="minorEastAsia" w:hAnsi="Times New Roman"/>
                <w:sz w:val="24"/>
                <w:szCs w:val="24"/>
              </w:rPr>
              <w:lastRenderedPageBreak/>
              <w:t>silkių žvejybą. Galiausiai, ES taryboje nutarta padidinti silkių kvotą 108%, kai šprotų kvotų sumažinta 36%, o lašišos – 31% Baltijos jūros baseine. Įtampos tarp Švedijos ir Suomijos kilo ir pernai, kai Suomija nepritarė siūlymui visiškai uždrausti eršketų žvejybą, galiausiai buvo sutarta sumažinti kvotas. Nepaisant nesutarimų dėl žuvų išteklių, abi šalys vieningai pasisakė už didesnę ruonių ir kormoranų medžioklę, kuri, jų teigimu, labai išeikvoja žuvų populiacijas</w:t>
            </w:r>
          </w:p>
        </w:tc>
        <w:tc>
          <w:tcPr>
            <w:tcW w:w="2403" w:type="dxa"/>
            <w:shd w:val="clear" w:color="auto" w:fill="auto"/>
            <w:tcMar>
              <w:top w:w="29" w:type="dxa"/>
              <w:left w:w="115" w:type="dxa"/>
              <w:bottom w:w="29" w:type="dxa"/>
              <w:right w:w="115" w:type="dxa"/>
            </w:tcMar>
          </w:tcPr>
          <w:p w14:paraId="1180AC2D" w14:textId="1781C6A3" w:rsidR="00716F64" w:rsidRPr="0024070C" w:rsidRDefault="00716F64" w:rsidP="0024070C">
            <w:pPr>
              <w:spacing w:after="0" w:line="240" w:lineRule="auto"/>
              <w:jc w:val="both"/>
              <w:rPr>
                <w:rFonts w:ascii="Times New Roman" w:hAnsi="Times New Roman"/>
                <w:sz w:val="24"/>
                <w:szCs w:val="24"/>
              </w:rPr>
            </w:pPr>
            <w:hyperlink r:id="rId15">
              <w:r w:rsidRPr="0024070C">
                <w:rPr>
                  <w:rStyle w:val="Hyperlink"/>
                  <w:rFonts w:ascii="Times New Roman" w:eastAsiaTheme="minorEastAsia" w:hAnsi="Times New Roman"/>
                  <w:color w:val="467886"/>
                </w:rPr>
                <w:t>Hufvudstadsbladet</w:t>
              </w:r>
            </w:hyperlink>
            <w:r w:rsidRPr="0024070C">
              <w:rPr>
                <w:rFonts w:ascii="Times New Roman" w:eastAsiaTheme="minorEastAsia" w:hAnsi="Times New Roman"/>
              </w:rPr>
              <w:t xml:space="preserve">; </w:t>
            </w:r>
            <w:hyperlink r:id="rId16">
              <w:r w:rsidRPr="0024070C">
                <w:rPr>
                  <w:rStyle w:val="Hyperlink"/>
                  <w:rFonts w:ascii="Times New Roman" w:eastAsiaTheme="minorEastAsia" w:hAnsi="Times New Roman"/>
                  <w:color w:val="467886"/>
                </w:rPr>
                <w:t>Iltasanomat</w:t>
              </w:r>
            </w:hyperlink>
            <w:r w:rsidRPr="0024070C">
              <w:rPr>
                <w:rFonts w:ascii="Times New Roman" w:eastAsiaTheme="minorEastAsia" w:hAnsi="Times New Roman"/>
              </w:rPr>
              <w:t xml:space="preserve">; </w:t>
            </w:r>
            <w:hyperlink r:id="rId17">
              <w:r w:rsidRPr="0024070C">
                <w:rPr>
                  <w:rStyle w:val="Hyperlink"/>
                  <w:rFonts w:ascii="Times New Roman" w:eastAsiaTheme="minorEastAsia" w:hAnsi="Times New Roman"/>
                  <w:color w:val="467886"/>
                </w:rPr>
                <w:t>Yle</w:t>
              </w:r>
            </w:hyperlink>
            <w:r w:rsidRPr="0024070C">
              <w:rPr>
                <w:rFonts w:ascii="Times New Roman" w:eastAsiaTheme="minorEastAsia" w:hAnsi="Times New Roman"/>
              </w:rPr>
              <w:t>.</w:t>
            </w:r>
          </w:p>
        </w:tc>
      </w:tr>
      <w:tr w:rsidR="00716F64" w:rsidRPr="0024070C" w14:paraId="7D2CF7B4" w14:textId="77777777" w:rsidTr="00716F64">
        <w:trPr>
          <w:trHeight w:val="216"/>
        </w:trPr>
        <w:tc>
          <w:tcPr>
            <w:tcW w:w="1043" w:type="dxa"/>
            <w:shd w:val="clear" w:color="auto" w:fill="auto"/>
            <w:tcMar>
              <w:top w:w="29" w:type="dxa"/>
              <w:left w:w="115" w:type="dxa"/>
              <w:bottom w:w="29" w:type="dxa"/>
              <w:right w:w="115" w:type="dxa"/>
            </w:tcMar>
          </w:tcPr>
          <w:p w14:paraId="44F4F16E" w14:textId="5D81AFC3" w:rsidR="00716F64" w:rsidRPr="0024070C" w:rsidRDefault="0024070C" w:rsidP="0024070C">
            <w:pPr>
              <w:spacing w:after="0" w:line="240" w:lineRule="auto"/>
              <w:jc w:val="both"/>
              <w:rPr>
                <w:rFonts w:ascii="Times New Roman" w:hAnsi="Times New Roman"/>
                <w:sz w:val="24"/>
                <w:szCs w:val="24"/>
              </w:rPr>
            </w:pPr>
            <w:r>
              <w:rPr>
                <w:rFonts w:ascii="Times New Roman" w:hAnsi="Times New Roman"/>
                <w:sz w:val="24"/>
                <w:szCs w:val="24"/>
              </w:rPr>
              <w:t>2024-10-23</w:t>
            </w:r>
          </w:p>
        </w:tc>
        <w:tc>
          <w:tcPr>
            <w:tcW w:w="6182" w:type="dxa"/>
            <w:shd w:val="clear" w:color="auto" w:fill="auto"/>
            <w:tcMar>
              <w:top w:w="29" w:type="dxa"/>
              <w:left w:w="115" w:type="dxa"/>
              <w:bottom w:w="29" w:type="dxa"/>
              <w:right w:w="115" w:type="dxa"/>
            </w:tcMar>
          </w:tcPr>
          <w:p w14:paraId="03DEEAF9" w14:textId="69EBCDA9" w:rsidR="00716F64" w:rsidRPr="0024070C" w:rsidRDefault="00716F64" w:rsidP="0024070C">
            <w:pPr>
              <w:spacing w:after="0" w:line="240" w:lineRule="auto"/>
              <w:jc w:val="both"/>
              <w:rPr>
                <w:rFonts w:ascii="Times New Roman" w:eastAsiaTheme="minorEastAsia" w:hAnsi="Times New Roman"/>
                <w:b/>
                <w:bCs/>
                <w:sz w:val="24"/>
                <w:szCs w:val="24"/>
              </w:rPr>
            </w:pPr>
            <w:r w:rsidRPr="0024070C">
              <w:rPr>
                <w:rFonts w:ascii="Times New Roman" w:eastAsiaTheme="minorEastAsia" w:hAnsi="Times New Roman"/>
                <w:b/>
                <w:bCs/>
                <w:sz w:val="24"/>
                <w:szCs w:val="24"/>
              </w:rPr>
              <w:t>2023 metais veiklą nutraukusių įmonių skaičius pasiekė rekordinį lygį – 31 400</w:t>
            </w:r>
            <w:r w:rsidRPr="0024070C">
              <w:rPr>
                <w:rFonts w:ascii="Times New Roman" w:eastAsiaTheme="minorEastAsia" w:hAnsi="Times New Roman"/>
                <w:sz w:val="24"/>
                <w:szCs w:val="24"/>
              </w:rPr>
              <w:t>. Šis skaičius yra didžiausias nuo 2013 m., kai buvo pradėtas registruoti. Uždarymo padidėjimas buvo stebimas visuose regionuose, išskyrus Pohjanma ir Pietų Savo provincijas. Daugiausiai užsidarė profesinių, mokslinių ir techninių paslaugų, mažmeninės prekybos ir statybų įmonės. 2/3 uždarytų įmonių buvo individualios</w:t>
            </w:r>
          </w:p>
        </w:tc>
        <w:tc>
          <w:tcPr>
            <w:tcW w:w="2403" w:type="dxa"/>
            <w:shd w:val="clear" w:color="auto" w:fill="auto"/>
            <w:tcMar>
              <w:top w:w="29" w:type="dxa"/>
              <w:left w:w="115" w:type="dxa"/>
              <w:bottom w:w="29" w:type="dxa"/>
              <w:right w:w="115" w:type="dxa"/>
            </w:tcMar>
          </w:tcPr>
          <w:p w14:paraId="19340EEA" w14:textId="1732E2F9" w:rsidR="00716F64" w:rsidRPr="0024070C" w:rsidRDefault="00716F64" w:rsidP="0024070C">
            <w:pPr>
              <w:spacing w:after="0" w:line="240" w:lineRule="auto"/>
              <w:jc w:val="both"/>
              <w:rPr>
                <w:rFonts w:ascii="Times New Roman" w:hAnsi="Times New Roman"/>
                <w:sz w:val="24"/>
                <w:szCs w:val="24"/>
              </w:rPr>
            </w:pPr>
            <w:hyperlink r:id="rId18">
              <w:r w:rsidRPr="0024070C">
                <w:rPr>
                  <w:rStyle w:val="Hyperlink"/>
                  <w:rFonts w:ascii="Times New Roman" w:eastAsiaTheme="minorEastAsia" w:hAnsi="Times New Roman"/>
                  <w:color w:val="467886"/>
                </w:rPr>
                <w:t>Helsingin Sanomat</w:t>
              </w:r>
            </w:hyperlink>
          </w:p>
        </w:tc>
      </w:tr>
      <w:tr w:rsidR="00716F64" w:rsidRPr="0024070C" w14:paraId="337756BD" w14:textId="77777777" w:rsidTr="00716F64">
        <w:trPr>
          <w:trHeight w:val="216"/>
        </w:trPr>
        <w:tc>
          <w:tcPr>
            <w:tcW w:w="1043" w:type="dxa"/>
            <w:shd w:val="clear" w:color="auto" w:fill="auto"/>
            <w:tcMar>
              <w:top w:w="29" w:type="dxa"/>
              <w:left w:w="115" w:type="dxa"/>
              <w:bottom w:w="29" w:type="dxa"/>
              <w:right w:w="115" w:type="dxa"/>
            </w:tcMar>
          </w:tcPr>
          <w:p w14:paraId="22873BEB" w14:textId="1F97EFDF" w:rsidR="00716F64" w:rsidRPr="0024070C" w:rsidRDefault="0024070C" w:rsidP="0024070C">
            <w:pPr>
              <w:spacing w:after="0" w:line="240" w:lineRule="auto"/>
              <w:jc w:val="both"/>
              <w:rPr>
                <w:rFonts w:ascii="Times New Roman" w:hAnsi="Times New Roman"/>
                <w:sz w:val="24"/>
                <w:szCs w:val="24"/>
              </w:rPr>
            </w:pPr>
            <w:r>
              <w:rPr>
                <w:rFonts w:ascii="Times New Roman" w:hAnsi="Times New Roman"/>
                <w:sz w:val="24"/>
                <w:szCs w:val="24"/>
              </w:rPr>
              <w:t>2024-10-22</w:t>
            </w:r>
          </w:p>
        </w:tc>
        <w:tc>
          <w:tcPr>
            <w:tcW w:w="6182" w:type="dxa"/>
            <w:shd w:val="clear" w:color="auto" w:fill="auto"/>
            <w:tcMar>
              <w:top w:w="29" w:type="dxa"/>
              <w:left w:w="115" w:type="dxa"/>
              <w:bottom w:w="29" w:type="dxa"/>
              <w:right w:w="115" w:type="dxa"/>
            </w:tcMar>
          </w:tcPr>
          <w:p w14:paraId="39127233" w14:textId="1E611A61" w:rsidR="00716F64" w:rsidRPr="0024070C" w:rsidRDefault="00716F64" w:rsidP="0024070C">
            <w:pPr>
              <w:spacing w:after="0" w:line="240" w:lineRule="auto"/>
              <w:jc w:val="both"/>
              <w:rPr>
                <w:rFonts w:ascii="Times New Roman" w:eastAsiaTheme="minorEastAsia" w:hAnsi="Times New Roman"/>
                <w:b/>
                <w:bCs/>
                <w:sz w:val="24"/>
                <w:szCs w:val="24"/>
              </w:rPr>
            </w:pPr>
            <w:r w:rsidRPr="0024070C">
              <w:rPr>
                <w:rFonts w:ascii="Times New Roman" w:eastAsiaTheme="minorEastAsia" w:hAnsi="Times New Roman"/>
                <w:b/>
                <w:bCs/>
                <w:sz w:val="24"/>
                <w:szCs w:val="24"/>
              </w:rPr>
              <w:t xml:space="preserve">Suomijos valstybės skola išaugo labiau nei bet kurioje kitoje ES šalyje </w:t>
            </w:r>
            <w:r w:rsidRPr="0024070C">
              <w:rPr>
                <w:rFonts w:ascii="Times New Roman" w:eastAsiaTheme="minorEastAsia" w:hAnsi="Times New Roman"/>
                <w:sz w:val="24"/>
                <w:szCs w:val="24"/>
              </w:rPr>
              <w:t>– valstybės skolos ir BVP santykis balandžio–birželio mėnesiais išaugo iki 80%. Tai reiškia 5,2% padidėjimą, palyginti su praėjusiais metais. Suomijos vyriausybė siekia pažaboti didėjančią skolą didindama mokesčius ir mažindama išlaidas, siekdama, kad iki 2027 m. biudžeto deficitas būtų ne didesnis kaip 1% BVP. Po Suomijos, valstybės skolos Estijoje, Latvijoje ir Lenkijoje taip pat ženkliai išaugo</w:t>
            </w:r>
            <w:r w:rsidR="0024070C" w:rsidRPr="0024070C">
              <w:rPr>
                <w:rFonts w:ascii="Times New Roman" w:eastAsiaTheme="minorEastAsia" w:hAnsi="Times New Roman"/>
                <w:sz w:val="24"/>
                <w:szCs w:val="24"/>
              </w:rPr>
              <w:t>.</w:t>
            </w:r>
          </w:p>
        </w:tc>
        <w:tc>
          <w:tcPr>
            <w:tcW w:w="2403" w:type="dxa"/>
            <w:shd w:val="clear" w:color="auto" w:fill="auto"/>
            <w:tcMar>
              <w:top w:w="29" w:type="dxa"/>
              <w:left w:w="115" w:type="dxa"/>
              <w:bottom w:w="29" w:type="dxa"/>
              <w:right w:w="115" w:type="dxa"/>
            </w:tcMar>
          </w:tcPr>
          <w:p w14:paraId="76DDBBB7" w14:textId="354E5194" w:rsidR="00716F64" w:rsidRPr="0024070C" w:rsidRDefault="00716F64" w:rsidP="0024070C">
            <w:pPr>
              <w:spacing w:after="0" w:line="240" w:lineRule="auto"/>
              <w:jc w:val="both"/>
              <w:rPr>
                <w:rFonts w:ascii="Times New Roman" w:hAnsi="Times New Roman"/>
                <w:sz w:val="24"/>
                <w:szCs w:val="24"/>
              </w:rPr>
            </w:pPr>
            <w:hyperlink r:id="rId19">
              <w:r w:rsidRPr="0024070C">
                <w:rPr>
                  <w:rStyle w:val="Hyperlink"/>
                  <w:rFonts w:ascii="Times New Roman" w:eastAsiaTheme="minorEastAsia" w:hAnsi="Times New Roman"/>
                  <w:color w:val="467886"/>
                </w:rPr>
                <w:t>Helsingin Sanomat.</w:t>
              </w:r>
            </w:hyperlink>
          </w:p>
        </w:tc>
      </w:tr>
      <w:tr w:rsidR="0024070C" w:rsidRPr="0024070C" w14:paraId="122CAB9C" w14:textId="77777777" w:rsidTr="00716F64">
        <w:trPr>
          <w:trHeight w:val="216"/>
        </w:trPr>
        <w:tc>
          <w:tcPr>
            <w:tcW w:w="1043" w:type="dxa"/>
            <w:shd w:val="clear" w:color="auto" w:fill="auto"/>
            <w:tcMar>
              <w:top w:w="29" w:type="dxa"/>
              <w:left w:w="115" w:type="dxa"/>
              <w:bottom w:w="29" w:type="dxa"/>
              <w:right w:w="115" w:type="dxa"/>
            </w:tcMar>
          </w:tcPr>
          <w:p w14:paraId="56999397" w14:textId="5DA5B304" w:rsidR="0024070C" w:rsidRPr="0024070C" w:rsidRDefault="0024070C" w:rsidP="0024070C">
            <w:pPr>
              <w:spacing w:after="0" w:line="240" w:lineRule="auto"/>
              <w:jc w:val="both"/>
              <w:rPr>
                <w:rFonts w:ascii="Times New Roman" w:hAnsi="Times New Roman"/>
                <w:sz w:val="24"/>
                <w:szCs w:val="24"/>
              </w:rPr>
            </w:pPr>
            <w:r>
              <w:rPr>
                <w:rFonts w:ascii="Times New Roman" w:hAnsi="Times New Roman"/>
                <w:sz w:val="24"/>
                <w:szCs w:val="24"/>
              </w:rPr>
              <w:t>2024-10-28</w:t>
            </w:r>
          </w:p>
        </w:tc>
        <w:tc>
          <w:tcPr>
            <w:tcW w:w="6182" w:type="dxa"/>
            <w:shd w:val="clear" w:color="auto" w:fill="auto"/>
            <w:tcMar>
              <w:top w:w="29" w:type="dxa"/>
              <w:left w:w="115" w:type="dxa"/>
              <w:bottom w:w="29" w:type="dxa"/>
              <w:right w:w="115" w:type="dxa"/>
            </w:tcMar>
          </w:tcPr>
          <w:p w14:paraId="5CBFE9EF" w14:textId="7AD0C33B" w:rsidR="0024070C" w:rsidRPr="0024070C" w:rsidRDefault="0024070C" w:rsidP="0024070C">
            <w:pPr>
              <w:spacing w:after="0" w:line="240" w:lineRule="auto"/>
              <w:jc w:val="both"/>
              <w:rPr>
                <w:rFonts w:ascii="Times New Roman" w:eastAsiaTheme="minorEastAsia" w:hAnsi="Times New Roman"/>
                <w:b/>
                <w:bCs/>
                <w:sz w:val="24"/>
                <w:szCs w:val="24"/>
              </w:rPr>
            </w:pPr>
            <w:r w:rsidRPr="0024070C">
              <w:rPr>
                <w:rFonts w:ascii="Times New Roman" w:eastAsia="Times New Roman" w:hAnsi="Times New Roman"/>
                <w:sz w:val="24"/>
                <w:szCs w:val="24"/>
              </w:rPr>
              <w:t xml:space="preserve">Su Prezidentu A. Stubbu valstybinio vizito į Kiniją vyko beveik trisdešimties Suomijos verslo lyderių delegacija, o tikslas – sustiprinti prekybinius santykius tarp dviejų šalių. </w:t>
            </w:r>
            <w:r w:rsidRPr="0024070C">
              <w:rPr>
                <w:rFonts w:ascii="Times New Roman" w:eastAsia="Times New Roman" w:hAnsi="Times New Roman"/>
                <w:b/>
                <w:sz w:val="24"/>
                <w:szCs w:val="24"/>
              </w:rPr>
              <w:t>Pasak ekonomistų,  prekyba su Kinija turi didelį potencialą, nepaisant dabartinių geopolitinių iššūkių.</w:t>
            </w:r>
            <w:r w:rsidRPr="0024070C">
              <w:rPr>
                <w:rFonts w:ascii="Times New Roman" w:eastAsia="Times New Roman" w:hAnsi="Times New Roman"/>
                <w:sz w:val="24"/>
                <w:szCs w:val="24"/>
              </w:rPr>
              <w:t xml:space="preserve"> Įžymios delegacijos įmonės yra „Nokia“, „Kone“ ir „Wärtsilä“. Pripažįstama, kad „Suomijos prekybos su Kinija iššūkis yra struktūrinis“, nes eksportas į Kiniją daugiausia koncentruojamas į mašineriją, o ne į plataus vartojimo prekes, kur Suomija galėtų pasižymėti. Suomijos ekonomikai ir toliau siekiant augimo, ekonomistai teigia, kad Suomijos ekonomika yra tokioje padėtyje, kai negalima sau leisti išmesti Kinijos siūlomų augimo galimybių</w:t>
            </w:r>
            <w:r w:rsidR="00FF5038">
              <w:rPr>
                <w:rFonts w:ascii="Times New Roman" w:eastAsia="Times New Roman" w:hAnsi="Times New Roman"/>
                <w:sz w:val="24"/>
                <w:szCs w:val="24"/>
              </w:rPr>
              <w:t>.</w:t>
            </w:r>
          </w:p>
        </w:tc>
        <w:tc>
          <w:tcPr>
            <w:tcW w:w="2403" w:type="dxa"/>
            <w:shd w:val="clear" w:color="auto" w:fill="auto"/>
            <w:tcMar>
              <w:top w:w="29" w:type="dxa"/>
              <w:left w:w="115" w:type="dxa"/>
              <w:bottom w:w="29" w:type="dxa"/>
              <w:right w:w="115" w:type="dxa"/>
            </w:tcMar>
          </w:tcPr>
          <w:p w14:paraId="497E6D1C" w14:textId="7502D387" w:rsidR="0024070C" w:rsidRPr="0024070C" w:rsidRDefault="0024070C" w:rsidP="0024070C">
            <w:pPr>
              <w:spacing w:after="0" w:line="240" w:lineRule="auto"/>
              <w:jc w:val="both"/>
              <w:rPr>
                <w:rFonts w:ascii="Times New Roman" w:hAnsi="Times New Roman"/>
              </w:rPr>
            </w:pPr>
            <w:hyperlink r:id="rId20">
              <w:r w:rsidRPr="33A01BC6">
                <w:rPr>
                  <w:rStyle w:val="Hyperlink"/>
                  <w:rFonts w:ascii="Times New Roman" w:eastAsia="Times New Roman" w:hAnsi="Times New Roman"/>
                  <w:color w:val="109FFF"/>
                  <w:sz w:val="24"/>
                  <w:szCs w:val="24"/>
                </w:rPr>
                <w:t>Hufvudstadsbladet</w:t>
              </w:r>
            </w:hyperlink>
          </w:p>
        </w:tc>
      </w:tr>
      <w:tr w:rsidR="0024070C" w:rsidRPr="0024070C" w14:paraId="1126E67E" w14:textId="77777777" w:rsidTr="00716F64">
        <w:trPr>
          <w:trHeight w:val="216"/>
        </w:trPr>
        <w:tc>
          <w:tcPr>
            <w:tcW w:w="1043" w:type="dxa"/>
            <w:shd w:val="clear" w:color="auto" w:fill="auto"/>
            <w:tcMar>
              <w:top w:w="29" w:type="dxa"/>
              <w:left w:w="115" w:type="dxa"/>
              <w:bottom w:w="29" w:type="dxa"/>
              <w:right w:w="115" w:type="dxa"/>
            </w:tcMar>
          </w:tcPr>
          <w:p w14:paraId="57D8398B" w14:textId="633DC50D" w:rsidR="0024070C" w:rsidRPr="0024070C" w:rsidRDefault="0024070C" w:rsidP="0024070C">
            <w:pPr>
              <w:spacing w:after="0" w:line="240" w:lineRule="auto"/>
              <w:jc w:val="both"/>
              <w:rPr>
                <w:rFonts w:ascii="Times New Roman" w:hAnsi="Times New Roman"/>
                <w:sz w:val="24"/>
                <w:szCs w:val="24"/>
              </w:rPr>
            </w:pPr>
            <w:r>
              <w:rPr>
                <w:rFonts w:ascii="Times New Roman" w:hAnsi="Times New Roman"/>
                <w:sz w:val="24"/>
                <w:szCs w:val="24"/>
              </w:rPr>
              <w:t>2024-10-16</w:t>
            </w:r>
          </w:p>
        </w:tc>
        <w:tc>
          <w:tcPr>
            <w:tcW w:w="6182" w:type="dxa"/>
            <w:shd w:val="clear" w:color="auto" w:fill="auto"/>
            <w:tcMar>
              <w:top w:w="29" w:type="dxa"/>
              <w:left w:w="115" w:type="dxa"/>
              <w:bottom w:w="29" w:type="dxa"/>
              <w:right w:w="115" w:type="dxa"/>
            </w:tcMar>
          </w:tcPr>
          <w:p w14:paraId="1D246297" w14:textId="55838129" w:rsidR="0024070C" w:rsidRPr="0024070C" w:rsidRDefault="0024070C" w:rsidP="0024070C">
            <w:pPr>
              <w:spacing w:line="240" w:lineRule="auto"/>
              <w:jc w:val="both"/>
              <w:rPr>
                <w:rFonts w:ascii="Times New Roman" w:hAnsi="Times New Roman"/>
                <w:sz w:val="24"/>
                <w:szCs w:val="24"/>
              </w:rPr>
            </w:pPr>
            <w:r w:rsidRPr="00E5760B">
              <w:rPr>
                <w:rFonts w:ascii="Times New Roman" w:hAnsi="Times New Roman"/>
                <w:b/>
                <w:bCs/>
                <w:sz w:val="24"/>
                <w:szCs w:val="24"/>
              </w:rPr>
              <w:t>„Nokia“ gali tekti sumažinti savo pelningumo perspektyvą, o tai reikštų bendrovės nesėkmę</w:t>
            </w:r>
            <w:r w:rsidRPr="00AE675F">
              <w:rPr>
                <w:rFonts w:ascii="Times New Roman" w:hAnsi="Times New Roman"/>
                <w:sz w:val="24"/>
                <w:szCs w:val="24"/>
              </w:rPr>
              <w:t xml:space="preserve">. „Nokia“ anksčiau prognozavo, kad jos pajamos pradės augti rudenį, tačiau jos konkurentas Švedijos „Ericsson“, kuris neseniai paskelbė stiprius rezultatus dėl augimo Šiaurės Amerikoje, dabar aplenkė „Nokia“ pelningumu. „Ericsson“ praėjusiais metais taip pat laimėjo didelę 5G sutartį su „AT&amp;T“, palikdama „Nokia“ nuošalyje. Abi bendrovės susiduria su iššūkiais, nes telekomunikacijų operatoriai vėluoja investuoti, o tai lemia mobiliojo ryšio tinklų rinkos susitraukimą. Tačiau, nors „Nokia“ yra stipresnė fiksuotojo ryšio tinkluose, „Ericsson“ užima daug didesnę rinkos dalį mobiliojo ryšio tinkluose, ypač </w:t>
            </w:r>
            <w:r w:rsidRPr="00AE675F">
              <w:rPr>
                <w:rFonts w:ascii="Times New Roman" w:hAnsi="Times New Roman"/>
                <w:sz w:val="24"/>
                <w:szCs w:val="24"/>
              </w:rPr>
              <w:lastRenderedPageBreak/>
              <w:t xml:space="preserve">Šiaurės Amerikoje. Taip pat pranešta, kad „Nokia“ derasi dėl kelių milijardų JAV dol. vertės sandorio su Indijos telekomunikacijų operatoriumi „Bharti Airtel“. Skaičiuojama, kad sandorio, susijusio su „Bharti Airtel“ mobiliojo ryšio tinklo atnaujinimu, vertė viršija 2 mlrd. </w:t>
            </w:r>
            <w:r w:rsidR="00FF5038">
              <w:rPr>
                <w:rFonts w:ascii="Times New Roman" w:hAnsi="Times New Roman"/>
                <w:sz w:val="24"/>
                <w:szCs w:val="24"/>
              </w:rPr>
              <w:t>JAV dol</w:t>
            </w:r>
            <w:r w:rsidRPr="00AE675F">
              <w:rPr>
                <w:rFonts w:ascii="Times New Roman" w:hAnsi="Times New Roman"/>
                <w:sz w:val="24"/>
                <w:szCs w:val="24"/>
              </w:rPr>
              <w:t xml:space="preserve">. Tuo tarpu „Ericsson“ taip pat užsitikrino didelę investicijų dalį. Indija tebėra svarbi tinklo įrangos įmonių, tokių kaip „Nokia“, „Ericsson“ ir „Samsung“, rinka, nes telekomunikacijų operatoriai, tokie kaip „Bharti Airtel“, „Reliance Jio“ ir „Vodafone“, daug investuoja į tinklo modernizavimą. </w:t>
            </w:r>
          </w:p>
        </w:tc>
        <w:tc>
          <w:tcPr>
            <w:tcW w:w="2403" w:type="dxa"/>
            <w:shd w:val="clear" w:color="auto" w:fill="auto"/>
            <w:tcMar>
              <w:top w:w="29" w:type="dxa"/>
              <w:left w:w="115" w:type="dxa"/>
              <w:bottom w:w="29" w:type="dxa"/>
              <w:right w:w="115" w:type="dxa"/>
            </w:tcMar>
          </w:tcPr>
          <w:p w14:paraId="17E6ED36" w14:textId="09CF7CBA" w:rsidR="0024070C" w:rsidRPr="0024070C" w:rsidRDefault="0024070C" w:rsidP="0024070C">
            <w:pPr>
              <w:spacing w:after="0" w:line="240" w:lineRule="auto"/>
              <w:jc w:val="both"/>
              <w:rPr>
                <w:rFonts w:ascii="Times New Roman" w:hAnsi="Times New Roman"/>
              </w:rPr>
            </w:pPr>
            <w:hyperlink r:id="rId21" w:history="1">
              <w:r w:rsidRPr="00BD5C17">
                <w:rPr>
                  <w:rStyle w:val="Hyperlink"/>
                  <w:rFonts w:ascii="Times New Roman" w:hAnsi="Times New Roman"/>
                </w:rPr>
                <w:t>https://www.hs.fi/talous/art-2000010762940.html</w:t>
              </w:r>
            </w:hyperlink>
            <w:r>
              <w:rPr>
                <w:rFonts w:ascii="Times New Roman" w:hAnsi="Times New Roman"/>
              </w:rPr>
              <w:t xml:space="preserve"> </w:t>
            </w:r>
          </w:p>
        </w:tc>
      </w:tr>
    </w:tbl>
    <w:p w14:paraId="6F8266A1" w14:textId="77777777" w:rsidR="004466AC" w:rsidRPr="0024070C" w:rsidRDefault="004466AC" w:rsidP="0024070C">
      <w:pPr>
        <w:spacing w:after="0" w:line="240" w:lineRule="auto"/>
        <w:jc w:val="both"/>
        <w:rPr>
          <w:rFonts w:ascii="Times New Roman" w:hAnsi="Times New Roman"/>
          <w:sz w:val="24"/>
          <w:szCs w:val="24"/>
        </w:rPr>
      </w:pPr>
    </w:p>
    <w:p w14:paraId="78A8343C" w14:textId="77777777" w:rsidR="004466AC" w:rsidRPr="0024070C" w:rsidRDefault="004466AC" w:rsidP="0024070C">
      <w:pPr>
        <w:spacing w:after="0" w:line="240" w:lineRule="auto"/>
        <w:jc w:val="both"/>
        <w:rPr>
          <w:rFonts w:ascii="Times New Roman" w:hAnsi="Times New Roman"/>
          <w:sz w:val="24"/>
          <w:szCs w:val="24"/>
        </w:rPr>
      </w:pPr>
      <w:r w:rsidRPr="0024070C">
        <w:rPr>
          <w:rFonts w:ascii="Times New Roman" w:hAnsi="Times New Roman"/>
          <w:sz w:val="24"/>
          <w:szCs w:val="24"/>
        </w:rPr>
        <w:t>Rengėjas (-ai):</w:t>
      </w:r>
    </w:p>
    <w:p w14:paraId="292F8DEC" w14:textId="3C402A28" w:rsidR="00B2549A" w:rsidRPr="0024070C" w:rsidRDefault="005901D8" w:rsidP="0024070C">
      <w:pPr>
        <w:spacing w:after="0" w:line="240" w:lineRule="auto"/>
        <w:jc w:val="both"/>
        <w:rPr>
          <w:rFonts w:ascii="Times New Roman" w:hAnsi="Times New Roman"/>
          <w:sz w:val="24"/>
          <w:szCs w:val="24"/>
        </w:rPr>
      </w:pPr>
      <w:r w:rsidRPr="0024070C">
        <w:rPr>
          <w:rFonts w:ascii="Times New Roman" w:hAnsi="Times New Roman"/>
          <w:sz w:val="24"/>
          <w:szCs w:val="24"/>
        </w:rPr>
        <w:t xml:space="preserve">LR ambasados Suomijoje trečiasis sekretorius Žymantas Mozūraitis, +358 9 661 78080 </w:t>
      </w:r>
      <w:hyperlink r:id="rId22" w:history="1">
        <w:r w:rsidRPr="0024070C">
          <w:rPr>
            <w:rStyle w:val="Hyperlink"/>
            <w:rFonts w:ascii="Times New Roman" w:hAnsi="Times New Roman"/>
            <w:sz w:val="24"/>
            <w:szCs w:val="24"/>
          </w:rPr>
          <w:t>zymantas.mozuraitis@urm.lt</w:t>
        </w:r>
      </w:hyperlink>
      <w:r w:rsidRPr="0024070C">
        <w:rPr>
          <w:rFonts w:ascii="Times New Roman" w:hAnsi="Times New Roman"/>
          <w:sz w:val="24"/>
          <w:szCs w:val="24"/>
        </w:rPr>
        <w:t>        </w:t>
      </w:r>
    </w:p>
    <w:sectPr w:rsidR="00B2549A" w:rsidRPr="0024070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AC"/>
    <w:rsid w:val="000537EA"/>
    <w:rsid w:val="00144EF8"/>
    <w:rsid w:val="00190D8F"/>
    <w:rsid w:val="001B4F06"/>
    <w:rsid w:val="00235D65"/>
    <w:rsid w:val="0024070C"/>
    <w:rsid w:val="004466AC"/>
    <w:rsid w:val="005901D8"/>
    <w:rsid w:val="006A6F31"/>
    <w:rsid w:val="00716F64"/>
    <w:rsid w:val="007E3544"/>
    <w:rsid w:val="00816CB6"/>
    <w:rsid w:val="008544FC"/>
    <w:rsid w:val="009924AD"/>
    <w:rsid w:val="00AB3B3D"/>
    <w:rsid w:val="00B2549A"/>
    <w:rsid w:val="00C80FFA"/>
    <w:rsid w:val="00CA468C"/>
    <w:rsid w:val="00CC50B7"/>
    <w:rsid w:val="00D429AE"/>
    <w:rsid w:val="00D563E5"/>
    <w:rsid w:val="00E54FCC"/>
    <w:rsid w:val="00E5760B"/>
    <w:rsid w:val="00FD0E04"/>
    <w:rsid w:val="00FF50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8557"/>
  <w15:chartTrackingRefBased/>
  <w15:docId w15:val="{E3D8C8F9-569A-49B4-952A-5302A3FB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AC"/>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qFormat/>
    <w:rsid w:val="00446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6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6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6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6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6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6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6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6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6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6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6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6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6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6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6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6AC"/>
    <w:rPr>
      <w:rFonts w:eastAsiaTheme="majorEastAsia" w:cstheme="majorBidi"/>
      <w:color w:val="272727" w:themeColor="text1" w:themeTint="D8"/>
    </w:rPr>
  </w:style>
  <w:style w:type="paragraph" w:styleId="Title">
    <w:name w:val="Title"/>
    <w:basedOn w:val="Normal"/>
    <w:next w:val="Normal"/>
    <w:link w:val="TitleChar"/>
    <w:uiPriority w:val="10"/>
    <w:qFormat/>
    <w:rsid w:val="00446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6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6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6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6AC"/>
    <w:pPr>
      <w:spacing w:before="160"/>
      <w:jc w:val="center"/>
    </w:pPr>
    <w:rPr>
      <w:i/>
      <w:iCs/>
      <w:color w:val="404040" w:themeColor="text1" w:themeTint="BF"/>
    </w:rPr>
  </w:style>
  <w:style w:type="character" w:customStyle="1" w:styleId="QuoteChar">
    <w:name w:val="Quote Char"/>
    <w:basedOn w:val="DefaultParagraphFont"/>
    <w:link w:val="Quote"/>
    <w:uiPriority w:val="29"/>
    <w:rsid w:val="004466AC"/>
    <w:rPr>
      <w:i/>
      <w:iCs/>
      <w:color w:val="404040" w:themeColor="text1" w:themeTint="BF"/>
    </w:rPr>
  </w:style>
  <w:style w:type="paragraph" w:styleId="ListParagraph">
    <w:name w:val="List Paragraph"/>
    <w:basedOn w:val="Normal"/>
    <w:uiPriority w:val="34"/>
    <w:qFormat/>
    <w:rsid w:val="004466AC"/>
    <w:pPr>
      <w:ind w:left="720"/>
      <w:contextualSpacing/>
    </w:pPr>
  </w:style>
  <w:style w:type="character" w:styleId="IntenseEmphasis">
    <w:name w:val="Intense Emphasis"/>
    <w:basedOn w:val="DefaultParagraphFont"/>
    <w:uiPriority w:val="21"/>
    <w:qFormat/>
    <w:rsid w:val="004466AC"/>
    <w:rPr>
      <w:i/>
      <w:iCs/>
      <w:color w:val="0F4761" w:themeColor="accent1" w:themeShade="BF"/>
    </w:rPr>
  </w:style>
  <w:style w:type="paragraph" w:styleId="IntenseQuote">
    <w:name w:val="Intense Quote"/>
    <w:basedOn w:val="Normal"/>
    <w:next w:val="Normal"/>
    <w:link w:val="IntenseQuoteChar"/>
    <w:uiPriority w:val="30"/>
    <w:qFormat/>
    <w:rsid w:val="00446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6AC"/>
    <w:rPr>
      <w:i/>
      <w:iCs/>
      <w:color w:val="0F4761" w:themeColor="accent1" w:themeShade="BF"/>
    </w:rPr>
  </w:style>
  <w:style w:type="character" w:styleId="IntenseReference">
    <w:name w:val="Intense Reference"/>
    <w:basedOn w:val="DefaultParagraphFont"/>
    <w:uiPriority w:val="32"/>
    <w:qFormat/>
    <w:rsid w:val="004466AC"/>
    <w:rPr>
      <w:b/>
      <w:bCs/>
      <w:smallCaps/>
      <w:color w:val="0F4761" w:themeColor="accent1" w:themeShade="BF"/>
      <w:spacing w:val="5"/>
    </w:rPr>
  </w:style>
  <w:style w:type="character" w:styleId="Hyperlink">
    <w:name w:val="Hyperlink"/>
    <w:basedOn w:val="DefaultParagraphFont"/>
    <w:uiPriority w:val="99"/>
    <w:unhideWhenUsed/>
    <w:rsid w:val="00AB3B3D"/>
    <w:rPr>
      <w:color w:val="467886" w:themeColor="hyperlink"/>
      <w:u w:val="single"/>
    </w:rPr>
  </w:style>
  <w:style w:type="character" w:styleId="UnresolvedMention">
    <w:name w:val="Unresolved Mention"/>
    <w:basedOn w:val="DefaultParagraphFont"/>
    <w:uiPriority w:val="99"/>
    <w:semiHidden/>
    <w:unhideWhenUsed/>
    <w:rsid w:val="00AB3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779388">
      <w:bodyDiv w:val="1"/>
      <w:marLeft w:val="0"/>
      <w:marRight w:val="0"/>
      <w:marTop w:val="0"/>
      <w:marBottom w:val="0"/>
      <w:divBdr>
        <w:top w:val="none" w:sz="0" w:space="0" w:color="auto"/>
        <w:left w:val="none" w:sz="0" w:space="0" w:color="auto"/>
        <w:bottom w:val="none" w:sz="0" w:space="0" w:color="auto"/>
        <w:right w:val="none" w:sz="0" w:space="0" w:color="auto"/>
      </w:divBdr>
    </w:div>
    <w:div w:id="20794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m.fi/-/194055633/liikenteen-verotuksen-ja-rahoituksen-kokonaisuudistus-kayntiin" TargetMode="External"/><Relationship Id="rId13" Type="http://schemas.openxmlformats.org/officeDocument/2006/relationships/hyperlink" Target="https://www.kauppalehti.fi/uutiset/op-suomen-talouden-elpymisen-vauhti-kiihtyy/610cc59a-6eb2-43b9-985d-6682646bee89" TargetMode="External"/><Relationship Id="rId18" Type="http://schemas.openxmlformats.org/officeDocument/2006/relationships/hyperlink" Target="https://mundus-international.com/so/2ePAz1CNQ/c?w=0CxhoiVf79AyCcCPOlR-cZtf5MIn6wd0nkl2B-w9dTk.eyJ1IjoiaHR0cHM6Ly93d3cuaHMuZmkvdGFsb3VzL2FydC0yMDAwMDEwNzgyMDY5Lmh0bWwiLCJyIjoiNWJhNWUyM2ItYzk1MC00MmIyLWEzMjItZmJhMmEzNjkzMzA1IiwibSI6Im1haWwiLCJjIjoiNWU1ZDdkMDMtNDJjMC00OGIyLWIyODItMTNjN2EzODIzMGQwIn0" TargetMode="External"/><Relationship Id="rId3" Type="http://schemas.openxmlformats.org/officeDocument/2006/relationships/webSettings" Target="webSettings.xml"/><Relationship Id="rId21" Type="http://schemas.openxmlformats.org/officeDocument/2006/relationships/hyperlink" Target="https://www.hs.fi/talous/art-2000010762940.html" TargetMode="External"/><Relationship Id="rId7" Type="http://schemas.openxmlformats.org/officeDocument/2006/relationships/hyperlink" Target="https://www.kauppalehti.fi/uutiset/jattiuudistus-alkaa-suomessa-autoilun-verotus-taysremonttiin/30b874a3-ac3c-48b0-b138-e8aef49623e5" TargetMode="External"/><Relationship Id="rId12" Type="http://schemas.openxmlformats.org/officeDocument/2006/relationships/hyperlink" Target="https://www.is.fi/taloussanomat/art-2000010750435.html" TargetMode="External"/><Relationship Id="rId17" Type="http://schemas.openxmlformats.org/officeDocument/2006/relationships/hyperlink" Target="https://mundus-international.com/so/a0PAtx0rp/c?w=DIG7dCw8fhy49qFDmLoVDv0sd3Y4qRnpODPBbFXxNmM.eyJ1IjoiaHR0cHM6Ly95bGUuZmkvYS83NC0yMDExOTQwNCIsInIiOiI1Yjk5MzU4OC03Y2M5LTQ2YTMtODc4ZS1kZDAxNmQyMjU1NGUiLCJtIjoibWFpbCIsImMiOiI1ZTVkN2QwMy00MmMwLTQ4YjItYjI4Mi0xM2M3YTM4MjMwZDAifQ" TargetMode="External"/><Relationship Id="rId2" Type="http://schemas.openxmlformats.org/officeDocument/2006/relationships/settings" Target="settings.xml"/><Relationship Id="rId16" Type="http://schemas.openxmlformats.org/officeDocument/2006/relationships/hyperlink" Target="https://mundus-international.com/so/a0PAtx0rp/c?w=y49KmRRwz7YqSbe1l4dBqbKpa8TiUeoLMlVTUmBR_ww.eyJ1IjoiaHR0cHM6Ly93d3cuaXMuZmkvcG9saXRpaWtrYS9hcnQtMjAwMDAxMDc3ODk4MS5odG1sIiwiciI6IjViOTkzNTg4LTdjYzktNDZhMy04NzhlLWRkMDE2ZDIyNTU0ZSIsIm0iOiJtYWlsIiwiYyI6IjVlNWQ3ZDAzLTQyYzAtNDhiMi1iMjgyLTEzYzdhMzgyMzBkMCJ9" TargetMode="External"/><Relationship Id="rId20" Type="http://schemas.openxmlformats.org/officeDocument/2006/relationships/hyperlink" Target="https://mundus-international.com/so/d5PBMtz5N/c?w=kNq8RSuWaB7gXdzf7VqizgOya9t8K-plDlvXqSacm2k.eyJ1IjoiaHR0cHM6Ly93d3cuaGJsLmZpLzIwMjQtMTAtMjgvc3Rvci1mb3JldGFnc2RlbGVnYXRpb24tYWtlci10aWxsLWtpbmEtbWVkLXN0dWJiLyIsInIiOiJkMzEzMDYwNS00YjRhLTQxNzMtYTA5ZC00MWFjOWEyYzAwNzIiLCJtIjoibWFpbCIsImMiOiI1ZTVkN2QwMy00MmMwLTQ4YjItYjI4Mi0xM2M3YTM4MjMwZDAifQ" TargetMode="External"/><Relationship Id="rId1" Type="http://schemas.openxmlformats.org/officeDocument/2006/relationships/styles" Target="styles.xml"/><Relationship Id="rId6" Type="http://schemas.openxmlformats.org/officeDocument/2006/relationships/hyperlink" Target="https://oilprice.com/Latest-Energy-News/World-News/Finlands-Top-Power-Utility-Targeted-With-Daily-Cyber-Attacks.html" TargetMode="External"/><Relationship Id="rId11" Type="http://schemas.openxmlformats.org/officeDocument/2006/relationships/hyperlink" Target="https://yle.fi/uutiset/lyhyesti/74-20116769" TargetMode="External"/><Relationship Id="rId24" Type="http://schemas.openxmlformats.org/officeDocument/2006/relationships/theme" Target="theme/theme1.xml"/><Relationship Id="rId5" Type="http://schemas.openxmlformats.org/officeDocument/2006/relationships/hyperlink" Target="https://mundus-international.com/so/afPAoUlhl/c?w=MnxPS2wEnvYno6F6PW1cg1qE6aW9P681PnF2vzOAs78.eyJ1IjoiaHR0cHM6Ly93d3cuaGJsLmZpLzIwMjQtMTAtMjEvZmlubGFuZHMtbWlsaXRhcmEtZXhwb3J0LXJla29yZGhvZy8iLCJyIjoiYTc5MzYyMWQtN2ZiMi00YWIwLTgzNTMtMzIxOGI3OTlmNzEyIiwibSI6Im1haWwiLCJjIjoiNWU1ZDdkMDMtNDJjMC00OGIyLWIyODItMTNjN2EzODIzMGQwIn0" TargetMode="External"/><Relationship Id="rId15" Type="http://schemas.openxmlformats.org/officeDocument/2006/relationships/hyperlink" Target="https://mundus-international.com/so/afPAoUlhl/c?w=4pwheqkgV2Gug1j-8ruw7TbWHK7d1bnyvlFaYmWvUVA.eyJ1IjoiaHR0cHM6Ly93d3cuaGJsLmZpLzIwMjQtMTAtMjEvc3Ryb21taW5na3JpZy1tZWxsYW4tc3ZlcmlnZS1vY2gtZmlubGFuZC8iLCJyIjoiOTg5NjZlNTgtY2MxMS00ODdjLWEzN2EtZmVhYzdjNmM3YzNmIiwibSI6Im1haWwiLCJjIjoiNWU1ZDdkMDMtNDJjMC00OGIyLWIyODItMTNjN2EzODIzMGQwIn0" TargetMode="External"/><Relationship Id="rId23" Type="http://schemas.openxmlformats.org/officeDocument/2006/relationships/fontTable" Target="fontTable.xml"/><Relationship Id="rId10" Type="http://schemas.openxmlformats.org/officeDocument/2006/relationships/hyperlink" Target="https://www.hs.fi/talous/art-2000010750451.html" TargetMode="External"/><Relationship Id="rId19" Type="http://schemas.openxmlformats.org/officeDocument/2006/relationships/hyperlink" Target="https://mundus-international.com/so/a0PAtx0rp/c?w=OVZLAY_5QmnHY6GJBrHAGMQDzXcuKcplFfFkA0RAixs.eyJ1IjoiaHR0cHM6Ly93d3cuaHMuZmkvdGFsb3VzL2FydC0yMDAwMDEwNzc5MzQ0Lmh0bWwiLCJyIjoiYmMyNzQ2MGEtNDI1Yi00NDExLWI3ZjMtNzhiNWQ3NTBlYTZhIiwibSI6Im1haWwiLCJjIjoiNWU1ZDdkMDMtNDJjMC00OGIyLWIyODItMTNjN2EzODIzMGQwIn0" TargetMode="External"/><Relationship Id="rId4" Type="http://schemas.openxmlformats.org/officeDocument/2006/relationships/hyperlink" Target="https://mundus-international.com/so/afPAoUlhl/c?w=IBWXJNsfHSbZn7RC_mmOJDseZUw8XFTTVL4aifKg6rM.eyJ1IjoiaHR0cHM6Ly9kZW1va3JhYXR0aS5maS9zYWZlci1nbG9iZS1zdW9tZW4tYXNldmllbnRpLXV1c2lpbi1lbm5hdHlzbHVrZW1paW4tc3V1cmltcGluYS1vc3RhamluYS1ldS1tYWF0IiwiciI6ImE3OTM2MjFkLTdmYjItNGFiMC04MzUzLTMyMThiNzk5ZjcxMiIsIm0iOiJtYWlsIiwiYyI6IjVlNWQ3ZDAzLTQyYzAtNDhiMi1iMjgyLTEzYzdhMzgyMzBkMCJ9" TargetMode="External"/><Relationship Id="rId9" Type="http://schemas.openxmlformats.org/officeDocument/2006/relationships/hyperlink" Target="https://yle.fi/a/74-20116586" TargetMode="External"/><Relationship Id="rId14" Type="http://schemas.openxmlformats.org/officeDocument/2006/relationships/hyperlink" Target="https://www.hbl.fi/2024-10-16/finskt-foretag-utvecklar-karnkraft-i-eu/" TargetMode="External"/><Relationship Id="rId22" Type="http://schemas.openxmlformats.org/officeDocument/2006/relationships/hyperlink" Target="mailto:zymantas.mozuraitis@ur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8342</Words>
  <Characters>4755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Žymantas Mozūraitis</dc:creator>
  <cp:keywords/>
  <dc:description/>
  <cp:lastModifiedBy>Žymantas Mozūraitis</cp:lastModifiedBy>
  <cp:revision>5</cp:revision>
  <dcterms:created xsi:type="dcterms:W3CDTF">2024-11-06T15:47:00Z</dcterms:created>
  <dcterms:modified xsi:type="dcterms:W3CDTF">2024-11-07T07:32:00Z</dcterms:modified>
</cp:coreProperties>
</file>