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93ED" w14:textId="6DE3041C" w:rsidR="00882B55" w:rsidRPr="00190700" w:rsidRDefault="00882B55" w:rsidP="0019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</w:pPr>
      <w:r w:rsidRPr="00190700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>Ekonominės naujienos iš</w:t>
      </w:r>
      <w:r w:rsidR="00190700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 xml:space="preserve"> </w:t>
      </w:r>
      <w:r w:rsidRPr="00190700">
        <w:rPr>
          <w:rFonts w:ascii="Times New Roman" w:eastAsia="Calibri" w:hAnsi="Times New Roman" w:cs="Times New Roman"/>
          <w:b/>
          <w:caps/>
          <w:kern w:val="0"/>
          <w:sz w:val="28"/>
          <w:szCs w:val="28"/>
          <w14:ligatures w14:val="none"/>
        </w:rPr>
        <w:t xml:space="preserve">Kazachstano </w:t>
      </w:r>
    </w:p>
    <w:p w14:paraId="1832AD90" w14:textId="77777777" w:rsidR="00882B55" w:rsidRPr="00882B55" w:rsidRDefault="00882B55" w:rsidP="00190700">
      <w:pPr>
        <w:pStyle w:val="NoSpacing"/>
      </w:pPr>
    </w:p>
    <w:p w14:paraId="6B392535" w14:textId="223EC81B" w:rsidR="00882B55" w:rsidRPr="00882B55" w:rsidRDefault="00882B55" w:rsidP="00882B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882B55">
        <w:rPr>
          <w:rFonts w:ascii="Times New Roman" w:eastAsia="Calibri" w:hAnsi="Times New Roman" w:cs="Times New Roman"/>
          <w:b/>
          <w:kern w:val="0"/>
          <w14:ligatures w14:val="none"/>
        </w:rPr>
        <w:t xml:space="preserve">2024 m. </w:t>
      </w:r>
      <w:r w:rsidR="008C60F9">
        <w:rPr>
          <w:rFonts w:ascii="Times New Roman" w:eastAsia="Calibri" w:hAnsi="Times New Roman" w:cs="Times New Roman"/>
          <w:b/>
          <w:kern w:val="0"/>
          <w14:ligatures w14:val="none"/>
        </w:rPr>
        <w:t>spali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Pr="00882B55">
        <w:rPr>
          <w:rFonts w:ascii="Times New Roman" w:eastAsia="Calibri" w:hAnsi="Times New Roman" w:cs="Times New Roman"/>
          <w:b/>
          <w:kern w:val="0"/>
          <w14:ligatures w14:val="none"/>
        </w:rPr>
        <w:t xml:space="preserve"> mėn.</w:t>
      </w:r>
    </w:p>
    <w:p w14:paraId="0A554F6E" w14:textId="77777777" w:rsidR="00882B55" w:rsidRPr="00882B55" w:rsidRDefault="00882B55" w:rsidP="00882B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347"/>
        <w:gridCol w:w="1618"/>
      </w:tblGrid>
      <w:tr w:rsidR="00882B55" w:rsidRPr="00882B55" w14:paraId="5B7D63B2" w14:textId="77777777" w:rsidTr="00956F69">
        <w:trPr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5D4D51A" w14:textId="77777777" w:rsidR="00882B55" w:rsidRPr="00882B55" w:rsidRDefault="00882B55" w:rsidP="00882B55">
            <w:pPr>
              <w:keepNext/>
              <w:keepLines/>
              <w:spacing w:before="360"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Data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1000B61" w14:textId="77777777" w:rsidR="00882B55" w:rsidRPr="00882B55" w:rsidRDefault="00882B55" w:rsidP="00882B55">
            <w:pPr>
              <w:keepNext/>
              <w:keepLines/>
              <w:spacing w:before="360"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Pateikiamos informacijos apibendrinimas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9C16647" w14:textId="77777777" w:rsidR="00882B55" w:rsidRPr="00882B55" w:rsidRDefault="00882B55" w:rsidP="00882B55">
            <w:pPr>
              <w:keepNext/>
              <w:keepLines/>
              <w:spacing w:before="360"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šaltinis</w:t>
            </w:r>
          </w:p>
        </w:tc>
      </w:tr>
      <w:tr w:rsidR="00882B55" w:rsidRPr="00882B55" w14:paraId="1AC15159" w14:textId="77777777" w:rsidTr="00956F69">
        <w:trPr>
          <w:trHeight w:val="21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4667C74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Parodos (įvairūs sektoriai), renginiai, mokymai, renginių duomenų bazės, viešieji pirkimai ir kt. verslo plėtrai ir eksportuotojams aktuali informacija</w:t>
            </w:r>
          </w:p>
        </w:tc>
      </w:tr>
      <w:tr w:rsidR="00C325FB" w:rsidRPr="00882B55" w14:paraId="50EA26FE" w14:textId="77777777" w:rsidTr="00956F69">
        <w:trPr>
          <w:trHeight w:val="2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A7EFA" w14:textId="21480661" w:rsidR="00C325FB" w:rsidRDefault="00043E63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2025 m. kovo 1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d.</w:t>
            </w:r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Astana</w:t>
            </w:r>
            <w:proofErr w:type="spellEnd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26D0D0" w14:textId="77777777" w:rsidR="00043E63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AgriTek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Astana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2025</w:t>
            </w:r>
          </w:p>
          <w:p w14:paraId="0D462413" w14:textId="64312865" w:rsidR="00C325FB" w:rsidRPr="00C325FB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Tarptautinė paroda, skirta žemės ūkiui (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gyvulininkystė, grūdiniai augalai, augalininkystė, žemės ūkio technika, sėklos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2ABEA" w14:textId="00FBDFD2" w:rsidR="00C325FB" w:rsidRPr="00043E63" w:rsidRDefault="00043E63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7" w:history="1"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https://worldexpo.pro/agritekastana</w:t>
              </w:r>
            </w:hyperlink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325FB" w:rsidRPr="00882B55" w14:paraId="29619E9F" w14:textId="77777777" w:rsidTr="00956F69">
        <w:trPr>
          <w:trHeight w:val="2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27F8BE" w14:textId="23001CEB" w:rsidR="00C325FB" w:rsidRDefault="00043E63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2025 m. kovo 18-20 d.</w:t>
            </w:r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Astana</w:t>
            </w:r>
            <w:proofErr w:type="spellEnd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F8DAFD" w14:textId="77777777" w:rsidR="00043E63" w:rsidRPr="00043E63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GasTherm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Expo 2025</w:t>
            </w:r>
          </w:p>
          <w:p w14:paraId="427E5835" w14:textId="3F55DA96" w:rsidR="00C325FB" w:rsidRPr="00C325FB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</w:t>
            </w:r>
            <w:r w:rsidRPr="00C325F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arptautinė</w:t>
            </w:r>
            <w:r w:rsidR="00C325FB" w:rsidRPr="00C325F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paroda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skirta š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ildymo technika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d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ujų tiekimo sistemo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m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ir p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ramonin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ei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įranga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0AB22A" w14:textId="7346DD59" w:rsidR="00C325FB" w:rsidRPr="00043E63" w:rsidRDefault="00043E63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8" w:history="1"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https://expomap.ru/ex</w:t>
              </w:r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p</w:t>
              </w:r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o/gastherm-expo/</w:t>
              </w:r>
            </w:hyperlink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43E63" w:rsidRPr="00882B55" w14:paraId="311A71B0" w14:textId="77777777" w:rsidTr="00956F69">
        <w:trPr>
          <w:trHeight w:val="2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EAD40" w14:textId="1CDA8D28" w:rsidR="00043E63" w:rsidRDefault="00043E63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2025 m. balandžio 1-3 d.</w:t>
            </w:r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Astana</w:t>
            </w:r>
            <w:proofErr w:type="spellEnd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C4D736" w14:textId="77777777" w:rsidR="00043E63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Business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Technology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Expo 2025</w:t>
            </w:r>
          </w:p>
          <w:p w14:paraId="11993197" w14:textId="16C6E82A" w:rsidR="00043E63" w:rsidRPr="00043E63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arptautinė technologijų ir idėjų verslui paroda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03051" w14:textId="61AC6F52" w:rsidR="00043E63" w:rsidRPr="00043E63" w:rsidRDefault="00043E63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9" w:history="1"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https://expomap.ru/exp</w:t>
              </w:r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o</w:t>
              </w:r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/business-technology-expo/</w:t>
              </w:r>
            </w:hyperlink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43E63" w:rsidRPr="00882B55" w14:paraId="1B8F96D1" w14:textId="77777777" w:rsidTr="00956F69">
        <w:trPr>
          <w:trHeight w:val="2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758AFF" w14:textId="51B57A35" w:rsidR="00043E63" w:rsidRDefault="00043E63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2025 m. balandžio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  <w:r w:rsidRPr="00043E63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d.</w:t>
            </w:r>
            <w:r w:rsidR="00602D22">
              <w:t xml:space="preserve"> (</w:t>
            </w:r>
            <w:proofErr w:type="spellStart"/>
            <w:r w:rsidR="00602D22"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Almaty</w:t>
            </w:r>
            <w:proofErr w:type="spellEnd"/>
            <w:r w:rsid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BE9002" w14:textId="77777777" w:rsidR="00043E63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EnergySave</w:t>
            </w:r>
            <w:proofErr w:type="spellEnd"/>
            <w:r w:rsidRPr="00043E63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Expo 2025</w:t>
            </w:r>
          </w:p>
          <w:p w14:paraId="70622609" w14:textId="355388A4" w:rsidR="00043E63" w:rsidRPr="00687508" w:rsidRDefault="00043E63" w:rsidP="0088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Tarptautinė energijos taupymo klausimams skirta paroda (energiją taupantys</w:t>
            </w:r>
            <w:r w:rsidR="00687508"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įranga,</w:t>
            </w:r>
            <w:r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įrenginiai ir technologijos, </w:t>
            </w:r>
            <w:r w:rsidR="00687508"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sprendimai, didinantys </w:t>
            </w:r>
            <w:r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efektyvum</w:t>
            </w:r>
            <w:r w:rsidR="00687508"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ą</w:t>
            </w:r>
            <w:r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transportuojant ir gaminant energiją</w:t>
            </w:r>
            <w:r w:rsidR="00687508" w:rsidRPr="0068750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5A1977" w14:textId="565DE9A0" w:rsidR="00043E63" w:rsidRDefault="00043E63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0" w:history="1">
              <w:r w:rsidRPr="00C6083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https://expomap.ru/expo/energysave-expo/</w:t>
              </w:r>
            </w:hyperlink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02D22" w:rsidRPr="00882B55" w14:paraId="38AEDC58" w14:textId="77777777" w:rsidTr="00956F69">
        <w:trPr>
          <w:trHeight w:val="2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67C6F" w14:textId="4A8E4800" w:rsidR="00602D22" w:rsidRPr="00043E63" w:rsidRDefault="00602D22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2025 m. balandžio 2-4 d.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Almaty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2BECFE" w14:textId="44B54781" w:rsidR="00602D22" w:rsidRPr="00602D22" w:rsidRDefault="00602D22" w:rsidP="0060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02D22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RenewableEnergy</w:t>
            </w:r>
            <w:proofErr w:type="spellEnd"/>
            <w:r w:rsidRPr="00602D22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Expo 2025</w:t>
            </w:r>
          </w:p>
          <w:p w14:paraId="6FB0A8AE" w14:textId="49534C10" w:rsidR="00602D22" w:rsidRPr="00602D22" w:rsidRDefault="00602D22" w:rsidP="0060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Tarptautinė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paroda, skirta atsinaujinančiai 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energ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etikai (sa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ulės,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v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ėjo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, g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eoterminė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v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andenilio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ir geoterminė 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energija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, e</w:t>
            </w:r>
            <w:r w:rsidRPr="00602D22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lektromobiliai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440CE0" w14:textId="384530B4" w:rsidR="00602D22" w:rsidRPr="00602D22" w:rsidRDefault="00602D22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1" w:history="1">
              <w:r w:rsidRPr="00B87B15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https://expomap.ru/expo/renewableenergy-expo/</w:t>
              </w:r>
            </w:hyperlink>
            <w:r w:rsidRPr="00602D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82B55" w:rsidRPr="00882B55" w14:paraId="49794390" w14:textId="77777777" w:rsidTr="00956F69">
        <w:trPr>
          <w:trHeight w:val="21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3D7D0FD" w14:textId="1AD2284A" w:rsidR="00882B55" w:rsidRPr="00882B55" w:rsidRDefault="00D86E51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Prekyba, t</w:t>
            </w:r>
            <w:r w:rsidR="00882B55" w:rsidRPr="00882B55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ransportas, žemės ūkis, maisto gamyba</w:t>
            </w:r>
          </w:p>
        </w:tc>
      </w:tr>
      <w:tr w:rsidR="00882B55" w:rsidRPr="00882B55" w14:paraId="126709F7" w14:textId="77777777" w:rsidTr="00956F69">
        <w:trPr>
          <w:trHeight w:val="128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1DA5B" w14:textId="660EB590" w:rsidR="00882B55" w:rsidRPr="00EF37A8" w:rsidRDefault="0029094F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</w:t>
            </w:r>
            <w:r w:rsidR="0004798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E1B4AD" w14:textId="7401B7C2" w:rsidR="0029094F" w:rsidRPr="0029094F" w:rsidRDefault="0029094F" w:rsidP="002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2024 m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rugsėjį Kazachstan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o geležinkeliai (KTŽ) 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pervežė 1,1 mln. tonų naujo derliaus grūdų, iš kurių 867 tūkst. tonų išsiųsta eksportui.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457 tūkst. tonų eksportuota į Centrinės Azijos šalis, 187 tūkst. – į Kiniją, 140 tūkst. tonų – į Iraną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per </w:t>
            </w:r>
            <w:proofErr w:type="spellStart"/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Aktau</w:t>
            </w:r>
            <w:proofErr w:type="spellEnd"/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uostą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Š.m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. s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palį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KTŽ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planuoja pervežti 1,3 mln. t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onų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grūdų krovinių.</w:t>
            </w:r>
          </w:p>
          <w:p w14:paraId="4DD6328D" w14:textId="50291C40" w:rsidR="00047986" w:rsidRPr="00882B55" w:rsidRDefault="0029094F" w:rsidP="002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Iš viso 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2024 m. sausio–rugsėjo mėn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geležinkeliais 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buvo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pervežt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 6,6 mln. t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onų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grūdų, iš kurių 5,5 mln. t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onų</w:t>
            </w:r>
            <w:r w:rsidRPr="0029094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– eksportuoti.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E36BF" w14:textId="5070F3C9" w:rsidR="00047986" w:rsidRPr="0029094F" w:rsidRDefault="0029094F" w:rsidP="00AE12DF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ja-JP"/>
              </w:rPr>
            </w:pPr>
            <w:hyperlink r:id="rId12" w:history="1">
              <w:r w:rsidRPr="0029094F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https://en.inform.kz/news/ktz-transports-11mln-tons-of-grain-in-sep-358bcc/</w:t>
              </w:r>
            </w:hyperlink>
            <w:r w:rsidRPr="002909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3003B" w:rsidRPr="00882B55" w14:paraId="671F5CCC" w14:textId="77777777" w:rsidTr="00956F69">
        <w:trPr>
          <w:trHeight w:val="128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EDAD6" w14:textId="6CF07F8C" w:rsidR="0013003B" w:rsidRDefault="0013003B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10.21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8E1FAE" w14:textId="578BC35D" w:rsidR="0013003B" w:rsidRPr="0029094F" w:rsidRDefault="0013003B" w:rsidP="002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300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Kinijos įmonės pasiekė preliminarų susitarimą su Kazachstanu dėl 100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tūkst. </w:t>
            </w:r>
            <w:r w:rsidRPr="001300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tonų grūdų ir 100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tūkst.</w:t>
            </w:r>
            <w:r w:rsidRPr="001300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tonų aliejinių augalų sėklų importo artimiausiu metu,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nurodoma</w:t>
            </w:r>
            <w:r w:rsidRPr="0013003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Kazachstano žemės ūkio ministerijos pranešime spaudai.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622B2F" w14:textId="736104F0" w:rsidR="0013003B" w:rsidRPr="0013003B" w:rsidRDefault="0013003B" w:rsidP="00AE12DF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3" w:history="1">
              <w:r w:rsidRPr="0013003B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https://informburo.kz/novosti/kitaj-gotov-vozobnovit-eksport-zernovyh-iz-kazahstana</w:t>
              </w:r>
            </w:hyperlink>
            <w:r w:rsidRPr="001300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82B55" w:rsidRPr="00882B55" w14:paraId="4615938A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910C0C" w14:textId="4A4602EF" w:rsidR="00882B55" w:rsidRPr="00882B55" w:rsidRDefault="004A6591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bookmarkStart w:id="0" w:name="_Hlk155347631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10.22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882CE8" w14:textId="43723A65" w:rsidR="00882B55" w:rsidRPr="00882B55" w:rsidRDefault="0063166F" w:rsidP="004A65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</w:pPr>
            <w:r w:rsidRPr="0063166F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Naujos </w:t>
            </w:r>
            <w:proofErr w:type="spellStart"/>
            <w:r w:rsidRPr="0063166F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Kuriko</w:t>
            </w:r>
            <w:proofErr w:type="spellEnd"/>
            <w:r w:rsidRPr="0063166F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 uosto galimybės – </w:t>
            </w:r>
            <w:r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pradėjo veikti </w:t>
            </w:r>
            <w:r w:rsidRPr="0063166F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grūdų terminal</w:t>
            </w:r>
            <w:r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a</w:t>
            </w:r>
            <w:r w:rsidRPr="0063166F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. 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Iš Saržos grūdų terminalo </w:t>
            </w:r>
            <w:r w:rsid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iš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gabenta pirmoji grūdų siunta. Pirmojo terminalo etapo našumas siekia iki 240</w:t>
            </w:r>
            <w:r w:rsid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 tūkst. 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tonų per metus, o visiškai įgyvendinus projektą kasmet bus galima </w:t>
            </w:r>
            <w:r w:rsid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pa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krauti iki 1,5 mln. tonų grūdų.</w:t>
            </w:r>
            <w:r w:rsid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 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 xml:space="preserve">Įgyvendinant daugiafunkcinio jūrų terminalo „Sarža“ projektą, bus pastatyti keli terminalai, tarp jų skystųjų krovinių terminalas, universalus terminalas, transporto-logistikos kompleksas. </w:t>
            </w:r>
            <w:r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lastRenderedPageBreak/>
              <w:t>Planuojama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, kad iki 2030 m. baigus statyti visus „Sar</w:t>
            </w:r>
            <w:r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ž</w:t>
            </w:r>
            <w:r w:rsidR="004A6591" w:rsidRPr="004A6591">
              <w:rPr>
                <w:rFonts w:ascii="Times New Roman" w:eastAsia="Calibri" w:hAnsi="Times New Roman" w:cs="Times New Roman"/>
                <w:color w:val="151515"/>
                <w:kern w:val="0"/>
                <w:sz w:val="22"/>
                <w:szCs w:val="22"/>
                <w:shd w:val="clear" w:color="auto" w:fill="FFFFFF"/>
                <w:lang w:eastAsia="ja-JP"/>
                <w14:ligatures w14:val="none"/>
              </w:rPr>
              <w:t>a“ terminalus, Vidurio koridoriaus pralaidumas padidės 11 mln. tonų per metus.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32FA68F" w14:textId="686E9BBC" w:rsidR="00882B55" w:rsidRPr="00882B55" w:rsidRDefault="004A6591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hyperlink r:id="rId14" w:history="1">
              <w:r w:rsidRPr="004236B3">
                <w:rPr>
                  <w:rStyle w:val="Hyperlink"/>
                  <w:rFonts w:ascii="Times New Roman" w:eastAsia="Calibri" w:hAnsi="Times New Roman" w:cs="Times New Roman"/>
                  <w:i/>
                  <w:iCs/>
                  <w:kern w:val="0"/>
                  <w:sz w:val="22"/>
                  <w:szCs w:val="22"/>
                  <w:lang w:eastAsia="ja-JP"/>
                  <w14:ligatures w14:val="none"/>
                </w:rPr>
                <w:t>https://dknews.kz/ru/ekonomika/342230-novye-vozmozhnosti-porta-kuryk-</w:t>
              </w:r>
              <w:r w:rsidRPr="004236B3">
                <w:rPr>
                  <w:rStyle w:val="Hyperlink"/>
                  <w:rFonts w:ascii="Times New Roman" w:eastAsia="Calibri" w:hAnsi="Times New Roman" w:cs="Times New Roman"/>
                  <w:i/>
                  <w:iCs/>
                  <w:kern w:val="0"/>
                  <w:sz w:val="22"/>
                  <w:szCs w:val="22"/>
                  <w:lang w:eastAsia="ja-JP"/>
                  <w14:ligatures w14:val="none"/>
                </w:rPr>
                <w:lastRenderedPageBreak/>
                <w:t>zapusk-zernovogo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ja-JP"/>
                <w14:ligatures w14:val="none"/>
              </w:rPr>
              <w:t xml:space="preserve"> </w:t>
            </w:r>
          </w:p>
        </w:tc>
      </w:tr>
      <w:bookmarkEnd w:id="0"/>
      <w:tr w:rsidR="00882B55" w:rsidRPr="00882B55" w14:paraId="13D2E1C2" w14:textId="77777777" w:rsidTr="00956F69">
        <w:trPr>
          <w:trHeight w:val="21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4C9FBEF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proofErr w:type="spellStart"/>
            <w:r w:rsidRPr="00882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lastRenderedPageBreak/>
              <w:t>Startuoliai</w:t>
            </w:r>
            <w:proofErr w:type="spellEnd"/>
            <w:r w:rsidRPr="00882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, rizikos kapitalas, FINTECH, informacinės ir ryšių technologijos, skaitmeninimas, ,,žaliosios technologijos“</w:t>
            </w:r>
          </w:p>
        </w:tc>
      </w:tr>
      <w:tr w:rsidR="00882B55" w:rsidRPr="00882B55" w14:paraId="6B264456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2B9277" w14:textId="59FA2171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EA18B" w14:textId="1480985D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A821D2" w14:textId="2461E0CF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 w:rsidR="00882B55" w:rsidRPr="00C325FB" w14:paraId="67479DBF" w14:textId="77777777" w:rsidTr="00956F69">
        <w:trPr>
          <w:trHeight w:val="151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188949" w14:textId="77777777" w:rsidR="00882B55" w:rsidRPr="00882B55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66577AAD" w14:textId="775CE0AF" w:rsidR="00882B55" w:rsidRPr="00882B55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2024-</w:t>
            </w:r>
            <w:r w:rsidR="007E5C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</w:t>
            </w: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-01</w:t>
            </w:r>
          </w:p>
          <w:p w14:paraId="450A31CA" w14:textId="3CB3B650" w:rsidR="00882B55" w:rsidRPr="007E5C26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2024-</w:t>
            </w:r>
            <w:r w:rsidR="007E5C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</w:t>
            </w: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-3</w:t>
            </w:r>
            <w:r w:rsidR="007E5C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324DE49" w14:textId="77777777" w:rsidR="00882B55" w:rsidRPr="00882B55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Valiutos keitimo kursai:</w:t>
            </w:r>
          </w:p>
          <w:p w14:paraId="2870706F" w14:textId="3A9407AA" w:rsidR="00882B55" w:rsidRPr="007E5C26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1 EUR / KZT – </w:t>
            </w:r>
            <w:r w:rsidR="00BA3BFE" w:rsidRP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5</w:t>
            </w:r>
            <w:r w:rsidR="007E5C26" w:rsidRP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38</w:t>
            </w:r>
            <w:r w:rsid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,</w:t>
            </w:r>
            <w:r w:rsidR="007E5C26" w:rsidRP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45</w:t>
            </w:r>
            <w:r w:rsidRPr="00882B55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;</w:t>
            </w: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  1 USD / KZT </w:t>
            </w:r>
            <w:r w:rsidRPr="00882B55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 xml:space="preserve">– </w:t>
            </w:r>
            <w:r w:rsidR="00BA3BFE" w:rsidRP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4</w:t>
            </w:r>
            <w:r w:rsidR="007E5C26" w:rsidRP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81</w:t>
            </w:r>
            <w:r w:rsid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,</w:t>
            </w:r>
            <w:r w:rsidR="007E5C26" w:rsidRP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19</w:t>
            </w:r>
          </w:p>
          <w:p w14:paraId="7C962AF6" w14:textId="7F1451D6" w:rsidR="00882B55" w:rsidRPr="007E5C26" w:rsidRDefault="00882B55" w:rsidP="00882B5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1 EUR / KZT – </w:t>
            </w:r>
            <w:r w:rsidR="00BA3BFE" w:rsidRP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5</w:t>
            </w:r>
            <w:r w:rsid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ja-JP"/>
                <w14:ligatures w14:val="none"/>
              </w:rPr>
              <w:t>29</w:t>
            </w:r>
            <w:r w:rsid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,</w:t>
            </w:r>
            <w:r w:rsid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ja-JP"/>
                <w14:ligatures w14:val="none"/>
              </w:rPr>
              <w:t>19</w:t>
            </w:r>
            <w:r w:rsid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 xml:space="preserve">; </w:t>
            </w:r>
            <w:r w:rsidRPr="00882B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1 USD / KZT – </w:t>
            </w:r>
            <w:r w:rsidR="00BA3BFE" w:rsidRP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4</w:t>
            </w:r>
            <w:r w:rsidR="007E5C26" w:rsidRP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88</w:t>
            </w:r>
            <w:r w:rsidR="00BA3BFE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,</w:t>
            </w:r>
            <w:r w:rsidR="007E5C2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ja-JP"/>
                <w14:ligatures w14:val="none"/>
              </w:rPr>
              <w:t>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FB1B00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882B55" w:rsidRPr="00882B55" w14:paraId="3F72A0DD" w14:textId="77777777" w:rsidTr="00956F69">
        <w:trPr>
          <w:trHeight w:val="21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17BA4EB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Ekonominis saugumas, energetika, kita ekonominiam bendradarbiavimui aktuali informacija</w:t>
            </w:r>
          </w:p>
        </w:tc>
      </w:tr>
      <w:tr w:rsidR="00882B55" w:rsidRPr="00882B55" w14:paraId="655B676C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221CB" w14:textId="58F1D336" w:rsidR="00882B55" w:rsidRPr="00EF37A8" w:rsidRDefault="00EF37A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  <w:t>10</w:t>
            </w:r>
            <w:r w:rsidR="008B3E0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v-SE" w:eastAsia="ja-JP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0EEA" w14:textId="24D61C54" w:rsidR="00EF37A8" w:rsidRPr="00EF37A8" w:rsidRDefault="00EF37A8" w:rsidP="00EF3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F37A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Energetikos ministerija pranešė apie 56-ojo OPEC+ Jungtinio ministrų stebėsenos komiteto (JMMC) posėdžio rezultatus. Susitikime buvo analizuojami 2024 m. liepos ir </w:t>
            </w:r>
            <w:proofErr w:type="spellStart"/>
            <w:r w:rsidRPr="00EF37A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rugpjūčио</w:t>
            </w:r>
            <w:proofErr w:type="spellEnd"/>
            <w:r w:rsidRPr="00EF37A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žalios naftos gavybos duomenys bei dabartinės rinkos sąlygos.</w:t>
            </w:r>
          </w:p>
          <w:p w14:paraId="18B479E6" w14:textId="2FFC1563" w:rsidR="00882B55" w:rsidRPr="00882B55" w:rsidRDefault="00EF37A8" w:rsidP="00EF3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F37A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Kazachstanas, Irakas ir Rusija patvirtino, kad visiškai įvykdė savo įsipareigojimus pagal rugsėjį pristatytus kompensavimo planus.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51E61" w14:textId="0B8808EF" w:rsidR="00882B55" w:rsidRPr="00EF37A8" w:rsidRDefault="00EF37A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hyperlink r:id="rId15" w:history="1">
              <w:r w:rsidRPr="00DB36E7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https://en.inform.kz/news/the-results-of-the-56th-meeting-of-the-opec-joint-ministerial-monitoring-committee-d4a547/</w:t>
              </w:r>
            </w:hyperlink>
            <w:r w:rsidRPr="00EF37A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82B55" w:rsidRPr="00882B55" w14:paraId="233C7C36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9B818F" w14:textId="62FA59F1" w:rsidR="00882B55" w:rsidRPr="00EF37A8" w:rsidRDefault="00EF37A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  <w:t>10</w:t>
            </w:r>
            <w:r w:rsidR="0053379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ja-JP"/>
                <w14:ligatures w14:val="none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B2826D" w14:textId="75BEFFF1" w:rsidR="001F3B5D" w:rsidRPr="001F3B5D" w:rsidRDefault="001F3B5D" w:rsidP="001F3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2024 m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/>
                <w14:ligatures w14:val="none"/>
              </w:rPr>
              <w:t>.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Kazachstano BVP augimas sieks 3,9%, o infliacija – 8,3%, teigiama baigiamajame Tarptautinio valiutos fondo (TVF) misijos pareiškime po konsultacijų pagal IV straipsnį. Infliacija rugpjūtį sumažėjo iki 8,4%, o iki metų pabaigos turėtų pasiekti 8,3%. Išorės sektoriuje 2024 m. numatomas 1,3% BVP einamosios sąskaitos deficitas. Bankų sistema apskritai išlieka stabili, o kredita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vimo apimtys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nuolat auga.</w:t>
            </w:r>
          </w:p>
          <w:p w14:paraId="2EC6374C" w14:textId="5368FE2E" w:rsidR="00882B55" w:rsidRPr="00882B55" w:rsidRDefault="001F3B5D" w:rsidP="001F3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Tikimasi, kad 2025 m. augimas paspartės dėl tebesitęsiančio neapibrėžtumo, o BVP pasieks 4,8%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- augimą 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lems toliau didelės vyriausybės išlaidos bei pradėtas </w:t>
            </w:r>
            <w:proofErr w:type="spellStart"/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Tengizo</w:t>
            </w:r>
            <w:proofErr w:type="spellEnd"/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telkinio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plėtros projektas. Tikimasi, kad vidutinės trukmės laikotarpiu BVP, nesusijusio su naft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os ir dujų sektoriumi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, augimas stabilizuosis ties maždaug 3,5 proc., o infliacija 2027–2028 m.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laikotarpiu 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palaipsniui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su</w:t>
            </w:r>
            <w:r w:rsidRPr="001F3B5D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mažės iki 5 proc.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42B44" w14:textId="3880A64D" w:rsidR="00882B55" w:rsidRPr="00EF37A8" w:rsidRDefault="00EF37A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hyperlink r:id="rId16" w:history="1">
              <w:r w:rsidRPr="00DB36E7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https://kapital.kz/economic/130159/rost-ekonomiki-kazakhstana-v-2024-godu-sostavit-3-9-mvf.html</w:t>
              </w:r>
            </w:hyperlink>
            <w:r w:rsidRPr="00EF37A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B518B" w:rsidRPr="00882B55" w14:paraId="2B6699E3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033A02" w14:textId="55DA484B" w:rsidR="00CB518B" w:rsidRPr="00CB518B" w:rsidRDefault="00CB518B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10.14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52803" w14:textId="79F9685B" w:rsidR="00CB518B" w:rsidRPr="001F3B5D" w:rsidRDefault="00CB518B" w:rsidP="001F3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Kazachstano nacionalinė bendrovė</w:t>
            </w:r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„</w:t>
            </w:r>
            <w:proofErr w:type="spellStart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QazaqGaz</w:t>
            </w:r>
            <w:proofErr w:type="spellEnd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“ ir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Turkmėnijos </w:t>
            </w:r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valstybinis koncernas „</w:t>
            </w:r>
            <w:proofErr w:type="spellStart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Turkmengaz</w:t>
            </w:r>
            <w:proofErr w:type="spellEnd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“ bendradarbiaus dujų gavybos, transportavimo ir importo srityse. Oficialaus prezidento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Kazachstano vadovo K. Ž.</w:t>
            </w:r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Tokajevo</w:t>
            </w:r>
            <w:proofErr w:type="spellEnd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vizito Turkmėnistane metu tarp „</w:t>
            </w:r>
            <w:proofErr w:type="spellStart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QazaqGaz</w:t>
            </w:r>
            <w:proofErr w:type="spellEnd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“ ir „</w:t>
            </w:r>
            <w:proofErr w:type="spellStart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Turkmengaz</w:t>
            </w:r>
            <w:proofErr w:type="spellEnd"/>
            <w:r w:rsidRPr="00CB518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“ buvo pasirašytas strateginis susitarimas plėtoti dujų sektorių.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6CA0ED" w14:textId="589C615A" w:rsidR="00CB518B" w:rsidRPr="00CB518B" w:rsidRDefault="00CB518B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7" w:history="1">
              <w:r w:rsidRPr="00CB518B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https://kapital.kz/economic/130445/qazaqgaz-i-turkmengaz-budut-sotrudnichat-v-sfere-dobychi-transportirovki-i-importa-gaza.html</w:t>
              </w:r>
            </w:hyperlink>
            <w:r w:rsidRPr="00CB51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95328" w:rsidRPr="00882B55" w14:paraId="01DF045E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8074E9" w14:textId="5595A9FD" w:rsidR="00A95328" w:rsidRPr="00A95328" w:rsidRDefault="00A9532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10.15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1FCDE" w14:textId="092CD5D5" w:rsidR="00A95328" w:rsidRPr="001F3B5D" w:rsidRDefault="002B5BB1" w:rsidP="001F3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Kazachstano energetikos ministerija parengė ir patvirtino „Naftos chemijos pramonės plėtros 2024–2030 m.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veiksmų 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planą“, skirtą plėtoti pramonę nuo žaliavų tiekimo iki gatavų produktų gamybos. Dokumentas orientuotas į aktyvų reikšmingų projektų įgyvendinimo skatinimą ir gamybos apimčių didinimą.</w:t>
            </w:r>
            <w:r>
              <w:t xml:space="preserve"> 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Pagal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plano nuostatas iki 2030 m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numatoma padidinti naftos chemijos produktų gamybą nuo 357,8 tūkst. t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onų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2023 m.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  <w:r w:rsidRPr="002B5BB1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iki 1,8 mln. tonų. Šiam tikslui pasiekti planuojama esamus ir naujus projektus aprūpinti reikalingomis žaliavomis, taip pat pritraukti reikšmingų investicijų.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E8B9D" w14:textId="3E88DCEF" w:rsidR="00A95328" w:rsidRPr="002B5BB1" w:rsidRDefault="00A95328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8" w:history="1">
              <w:r w:rsidRPr="002B5BB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https://el.kz/en/kazakhstan-approves-roadmap-for-</w:t>
              </w:r>
              <w:r w:rsidRPr="002B5BB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lastRenderedPageBreak/>
                <w:t>development-of-petrochemical-industry-until-2030_135921/</w:t>
              </w:r>
            </w:hyperlink>
            <w:r w:rsidRPr="002B5B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95328" w:rsidRPr="00882B55" w14:paraId="6F5BA047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B7EA6" w14:textId="6252790A" w:rsidR="00A95328" w:rsidRPr="00A95328" w:rsidRDefault="00A95328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lastRenderedPageBreak/>
              <w:t>10.17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F65B94" w14:textId="2EF84433" w:rsidR="00A95328" w:rsidRPr="001F3B5D" w:rsidRDefault="00A95328" w:rsidP="001F3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„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Samruk-Energy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JSC“ ir „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China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Energy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Overseas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Investment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“ sudarė bendradarbiavimo sutartį dėl saulės ir vėjo jėgainių plėtros Kazachstane, pranešė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Samruk-Kazyna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valstybinio fondo spaudos tarnyba.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Be kita ko, planuojama</w:t>
            </w:r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500 MW vėjo jėgainės statyb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a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Karagandos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region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</w:t>
            </w:r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ir 300 MW saulės elektrin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ės</w:t>
            </w:r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Turkestano</w:t>
            </w:r>
            <w:proofErr w:type="spellEnd"/>
            <w:r w:rsidRPr="00A95328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regione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projektas.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41C39" w14:textId="17F63045" w:rsidR="00A95328" w:rsidRPr="00A95328" w:rsidRDefault="00A95328" w:rsidP="00882B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19" w:history="1">
              <w:r w:rsidRPr="00A95328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https://sk.kz/press-center/news/77345/?lang=ru</w:t>
              </w:r>
            </w:hyperlink>
            <w:r w:rsidRPr="00A953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82B55" w:rsidRPr="00882B55" w14:paraId="0D2E69ED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D695F" w14:textId="6D658467" w:rsidR="00882B55" w:rsidRPr="00882B55" w:rsidRDefault="0013003B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10.22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B41CF" w14:textId="2B0B0FBC" w:rsidR="0013003B" w:rsidRPr="0013003B" w:rsidRDefault="0013003B" w:rsidP="00130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Eurazijos plėtros bankas (EDB) pristatė šešių banko valstybių narių makroekonominę apžvalgą. Anot analitikų, 2024 m. sausio-rugsėjo mėn. Kazachstano BVP augimo tempas paspartėjo iki 4 proc. „Kazachstano BVP augimo tempas 2024 m. sausio-rugsėjo mėn. paspartėjo iki 4 proc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Verslo veiklos plėtrą skatina pagerėjusi paslaugų ir prekybos sektorių augimo dinamika,  teigiama </w:t>
            </w:r>
            <w:proofErr w:type="spellStart"/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makroapžvalgoje</w:t>
            </w:r>
            <w:proofErr w:type="spellEnd"/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EDB a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nalitikai pažymi, kad regiono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šalių 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BVP 2024 m.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š.m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sausio–rugpjūčio mėn. padidėjo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iki 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4,2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proc.</w:t>
            </w: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per metus. Kartu dalyvaujančių šalių didelis ekonomikos augimo tempas išlaikomas dėl aktyvios vidaus paklausos.</w:t>
            </w:r>
          </w:p>
          <w:p w14:paraId="1AB05055" w14:textId="45589105" w:rsidR="00882B55" w:rsidRPr="00882B55" w:rsidRDefault="0013003B" w:rsidP="00130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Infliacijos vaizdas regione išlieka nevienareikšmis, praneša EDB. Taip pat banko vyriausiasis ekonomistas Jevgenijus Vinokurovas teigė, kad Kazachstanas „</w:t>
            </w:r>
            <w:proofErr w:type="spellStart"/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super</w:t>
            </w:r>
            <w:proofErr w:type="spellEnd"/>
            <w:r w:rsidRPr="0013003B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sėkmingai“ išplatino 10 metų trukmės dolerio obligacijas, o tai rodo užsienio investuotojų susidomėjimą šalies ekonomika.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69927" w14:textId="749B9A45" w:rsidR="00882B55" w:rsidRPr="00882B55" w:rsidRDefault="0013003B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hyperlink r:id="rId20" w:history="1">
              <w:r w:rsidRPr="000C50B6">
                <w:rPr>
                  <w:rStyle w:val="Hyperlink"/>
                  <w:rFonts w:ascii="Times New Roman" w:eastAsia="Calibri" w:hAnsi="Times New Roman" w:cs="Times New Roman"/>
                  <w:i/>
                  <w:iCs/>
                  <w:kern w:val="0"/>
                  <w:sz w:val="22"/>
                  <w:szCs w:val="22"/>
                  <w14:ligatures w14:val="none"/>
                </w:rPr>
                <w:t>https://en.inform.kz/news/kazakhstans-economic-growth-rate-accelerates-edb-a28adb/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882B55" w:rsidRPr="00882B55" w14:paraId="5F3FA253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A26D35" w14:textId="24F645C6" w:rsidR="00882B55" w:rsidRPr="00882B55" w:rsidRDefault="002923E4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10.28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D4E171" w14:textId="1546F330" w:rsidR="002923E4" w:rsidRPr="002923E4" w:rsidRDefault="002923E4" w:rsidP="0029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UAB „</w:t>
            </w:r>
            <w:proofErr w:type="spellStart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KazTransOil</w:t>
            </w:r>
            <w:proofErr w:type="spellEnd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“ tikisi sumažinti į Vokietiją „</w:t>
            </w:r>
            <w:proofErr w:type="spellStart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Družba</w:t>
            </w:r>
            <w:proofErr w:type="spellEnd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“ vamzdynu tiekiamos Kazachstano naftos apimt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i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s.</w:t>
            </w:r>
          </w:p>
          <w:p w14:paraId="27026F7D" w14:textId="167561DF" w:rsidR="00882B55" w:rsidRPr="00882B55" w:rsidRDefault="002923E4" w:rsidP="002923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Numatoma, kad „</w:t>
            </w:r>
            <w:proofErr w:type="spellStart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KazTransOil</w:t>
            </w:r>
            <w:proofErr w:type="spellEnd"/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“ savo tiekimą sumažins nuo 145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tūkst.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tonų rugsėjį iki 133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tūkst.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tonų spalį.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Tačiau ministerija pastebėjo, kad Kazachstanas 2024 m. sausio–rugsėjo mėn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šia kryptimi tiekė 1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081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tūkst.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tonų Kazachstano naftos. 2023 m. tuo pačiu laikotarpiu naftos transportavimo apimtis siekė 590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tūkst.</w:t>
            </w:r>
            <w:r w:rsidRPr="002923E4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tonų.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7BCBA1" w14:textId="6560BF0B" w:rsidR="00882B55" w:rsidRPr="00882B55" w:rsidRDefault="002923E4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hyperlink r:id="rId21" w:history="1">
              <w:r w:rsidRPr="003B10AB">
                <w:rPr>
                  <w:rStyle w:val="Hyperlink"/>
                  <w:rFonts w:ascii="Times New Roman" w:eastAsia="Calibri" w:hAnsi="Times New Roman" w:cs="Times New Roman"/>
                  <w:i/>
                  <w:iCs/>
                  <w:kern w:val="0"/>
                  <w:sz w:val="22"/>
                  <w:szCs w:val="22"/>
                  <w14:ligatures w14:val="none"/>
                </w:rPr>
                <w:t>https://en.inform.kz/news/kazakhstan-to-reduce-oil-deliveries-to-germany-1b7eec/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882B55" w:rsidRPr="00882B55" w14:paraId="41B47F67" w14:textId="77777777" w:rsidTr="00956F69">
        <w:trPr>
          <w:trHeight w:val="216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80B39C7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882B55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Aktualūs Lietuvos verslui renginiai,  Lietuvos įmonių paklausimai ir įmonių pristatymai galimų verslo galimybių Kazachstane, verslo partnerių paieškos</w:t>
            </w:r>
          </w:p>
        </w:tc>
      </w:tr>
      <w:tr w:rsidR="00882B55" w:rsidRPr="00882B55" w14:paraId="32C02A88" w14:textId="77777777" w:rsidTr="00956F69">
        <w:trPr>
          <w:trHeight w:val="2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872C7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A80666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0A432E" w14:textId="77777777" w:rsidR="00882B55" w:rsidRPr="00882B55" w:rsidRDefault="00882B55" w:rsidP="00882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</w:tbl>
    <w:p w14:paraId="112C6FB0" w14:textId="77777777" w:rsidR="00882B55" w:rsidRPr="00882B55" w:rsidRDefault="00882B55" w:rsidP="00882B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B82B24F" w14:textId="77777777" w:rsidR="00190700" w:rsidRDefault="00190700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761758B" w14:textId="77777777" w:rsidR="00956F69" w:rsidRDefault="00956F69" w:rsidP="00003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14:ligatures w14:val="none"/>
        </w:rPr>
      </w:pPr>
    </w:p>
    <w:p w14:paraId="792183C7" w14:textId="5E665897" w:rsidR="00190700" w:rsidRDefault="00190700" w:rsidP="00003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14:ligatures w14:val="none"/>
        </w:rPr>
      </w:pPr>
      <w:r w:rsidRPr="00003E8F">
        <w:rPr>
          <w:rFonts w:ascii="Times New Roman" w:eastAsia="Calibri" w:hAnsi="Times New Roman" w:cs="Times New Roman"/>
          <w:b/>
          <w:caps/>
          <w:kern w:val="0"/>
          <w14:ligatures w14:val="none"/>
        </w:rPr>
        <w:t>Ekonominės naujienos iš Uzbekistano (trumpai)</w:t>
      </w:r>
    </w:p>
    <w:p w14:paraId="3ED61B13" w14:textId="77777777" w:rsidR="00003E8F" w:rsidRDefault="00003E8F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14:ligatures w14:val="none"/>
        </w:rPr>
      </w:pPr>
    </w:p>
    <w:p w14:paraId="736299B8" w14:textId="6F500AF1" w:rsidR="00956F69" w:rsidRPr="002D66BA" w:rsidRDefault="002923E4" w:rsidP="00956F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proofErr w:type="spellStart"/>
      <w:r w:rsidRPr="002D66BA">
        <w:rPr>
          <w:rFonts w:ascii="Times New Roman" w:hAnsi="Times New Roman" w:cs="Times New Roman"/>
        </w:rPr>
        <w:t>Š.m</w:t>
      </w:r>
      <w:proofErr w:type="spellEnd"/>
      <w:r w:rsidRPr="002D66BA">
        <w:rPr>
          <w:rFonts w:ascii="Times New Roman" w:hAnsi="Times New Roman" w:cs="Times New Roman"/>
        </w:rPr>
        <w:t>. s</w:t>
      </w:r>
      <w:r w:rsidRPr="002D66BA">
        <w:rPr>
          <w:rFonts w:ascii="Times New Roman" w:hAnsi="Times New Roman" w:cs="Times New Roman"/>
        </w:rPr>
        <w:t>ausio-rugsėjo mėnesiais perlaidų į Uzbekistaną apimtys išaugo 34,8</w:t>
      </w:r>
      <w:r w:rsidR="00C7471A" w:rsidRPr="002D66BA">
        <w:rPr>
          <w:rFonts w:ascii="Times New Roman" w:hAnsi="Times New Roman" w:cs="Times New Roman"/>
        </w:rPr>
        <w:t xml:space="preserve"> proc.</w:t>
      </w:r>
      <w:r w:rsidRPr="002D66BA">
        <w:rPr>
          <w:rFonts w:ascii="Times New Roman" w:hAnsi="Times New Roman" w:cs="Times New Roman"/>
        </w:rPr>
        <w:t xml:space="preserve"> iki 11,3 mlrd.</w:t>
      </w:r>
      <w:r w:rsidRPr="002D66BA">
        <w:rPr>
          <w:rFonts w:ascii="Times New Roman" w:hAnsi="Times New Roman" w:cs="Times New Roman"/>
        </w:rPr>
        <w:t xml:space="preserve"> USD</w:t>
      </w:r>
      <w:r w:rsidRPr="002D66BA">
        <w:rPr>
          <w:rFonts w:ascii="Times New Roman" w:hAnsi="Times New Roman" w:cs="Times New Roman"/>
        </w:rPr>
        <w:t xml:space="preserve"> </w:t>
      </w:r>
      <w:r w:rsidR="00C7471A" w:rsidRPr="002D66BA">
        <w:rPr>
          <w:rFonts w:ascii="Times New Roman" w:hAnsi="Times New Roman" w:cs="Times New Roman"/>
        </w:rPr>
        <w:t xml:space="preserve">Labiausiai </w:t>
      </w:r>
      <w:proofErr w:type="spellStart"/>
      <w:r w:rsidR="00C7471A" w:rsidRPr="002D66BA">
        <w:rPr>
          <w:rFonts w:ascii="Times New Roman" w:hAnsi="Times New Roman" w:cs="Times New Roman"/>
        </w:rPr>
        <w:t>išuago</w:t>
      </w:r>
      <w:proofErr w:type="spellEnd"/>
      <w:r w:rsidR="00C7471A" w:rsidRPr="002D66BA">
        <w:rPr>
          <w:rFonts w:ascii="Times New Roman" w:hAnsi="Times New Roman" w:cs="Times New Roman"/>
        </w:rPr>
        <w:t xml:space="preserve"> perlaidos i</w:t>
      </w:r>
      <w:r w:rsidRPr="002D66BA">
        <w:rPr>
          <w:rFonts w:ascii="Times New Roman" w:hAnsi="Times New Roman" w:cs="Times New Roman"/>
        </w:rPr>
        <w:t xml:space="preserve">š Pietų Korėjos, Didžiosios Britanijos, Lenkijos ir JAE, o </w:t>
      </w:r>
      <w:r w:rsidR="00C7471A" w:rsidRPr="002D66BA">
        <w:rPr>
          <w:rFonts w:ascii="Times New Roman" w:hAnsi="Times New Roman" w:cs="Times New Roman"/>
        </w:rPr>
        <w:t xml:space="preserve">iš </w:t>
      </w:r>
      <w:r w:rsidRPr="002D66BA">
        <w:rPr>
          <w:rFonts w:ascii="Times New Roman" w:hAnsi="Times New Roman" w:cs="Times New Roman"/>
        </w:rPr>
        <w:t>Rusijos</w:t>
      </w:r>
      <w:r w:rsidR="00C7471A" w:rsidRPr="002D66BA">
        <w:rPr>
          <w:rFonts w:ascii="Times New Roman" w:hAnsi="Times New Roman" w:cs="Times New Roman"/>
        </w:rPr>
        <w:t xml:space="preserve"> siunčiamų pinigų</w:t>
      </w:r>
      <w:r w:rsidRPr="002D66BA">
        <w:rPr>
          <w:rFonts w:ascii="Times New Roman" w:hAnsi="Times New Roman" w:cs="Times New Roman"/>
        </w:rPr>
        <w:t xml:space="preserve"> dalis ir toliau mažėja</w:t>
      </w:r>
      <w:r w:rsidR="00956F69" w:rsidRPr="002D66BA">
        <w:rPr>
          <w:rFonts w:ascii="Times New Roman" w:hAnsi="Times New Roman" w:cs="Times New Roman"/>
        </w:rPr>
        <w:t xml:space="preserve"> ( </w:t>
      </w:r>
      <w:hyperlink r:id="rId22" w:history="1">
        <w:r w:rsidRPr="002D66BA">
          <w:rPr>
            <w:rStyle w:val="Hyperlink"/>
            <w:rFonts w:ascii="Times New Roman" w:hAnsi="Times New Roman" w:cs="Times New Roman"/>
            <w:i/>
            <w:iCs/>
          </w:rPr>
          <w:t>https://www.gazeta.uz/ru/2024/10/31/money-transfers/</w:t>
        </w:r>
      </w:hyperlink>
      <w:r w:rsidRPr="002D66BA">
        <w:rPr>
          <w:rFonts w:ascii="Times New Roman" w:hAnsi="Times New Roman" w:cs="Times New Roman"/>
        </w:rPr>
        <w:t xml:space="preserve"> </w:t>
      </w:r>
      <w:r w:rsidR="00956F69" w:rsidRPr="002D66BA">
        <w:rPr>
          <w:rFonts w:ascii="Times New Roman" w:eastAsia="Calibri" w:hAnsi="Times New Roman" w:cs="Times New Roman"/>
          <w:bCs/>
          <w:kern w:val="0"/>
          <w14:ligatures w14:val="none"/>
        </w:rPr>
        <w:t>).</w:t>
      </w:r>
    </w:p>
    <w:p w14:paraId="19A20157" w14:textId="2A9E09D8" w:rsidR="00E15863" w:rsidRPr="002D66BA" w:rsidRDefault="00EE7C3D" w:rsidP="00956F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Uzbekistano centrinis bankas nusprendė palikti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nepakeistą bazinę palūkanų normą (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13,5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proc.)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, nes infliaciją skatinantys veiksniai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ir toliau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išlieka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aktualūs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. Artimiausiais ketvirčiais dėl rizikos, susijusios su energijos išteklių tiekimu ir jų kainų pokyčiais, tam tikrų prekių tiekimo sutrikimais, gali paspartėti infliacija</w:t>
      </w:r>
      <w:r w:rsidR="00E15863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 </w:t>
      </w:r>
      <w:hyperlink r:id="rId23" w:history="1">
        <w:r w:rsidRPr="002D66BA">
          <w:rPr>
            <w:rStyle w:val="Hyperlink"/>
            <w:rFonts w:ascii="Times New Roman" w:hAnsi="Times New Roman" w:cs="Times New Roman"/>
            <w:i/>
            <w:iCs/>
          </w:rPr>
          <w:t>https://www.gazeta.uz/ru/2024/10/31/main-rate/</w:t>
        </w:r>
      </w:hyperlink>
      <w:r w:rsidRPr="002D66BA">
        <w:rPr>
          <w:rFonts w:ascii="Times New Roman" w:hAnsi="Times New Roman" w:cs="Times New Roman"/>
        </w:rPr>
        <w:t xml:space="preserve"> </w:t>
      </w:r>
      <w:r w:rsidR="00E15863" w:rsidRPr="002D66BA">
        <w:rPr>
          <w:rFonts w:ascii="Times New Roman" w:eastAsia="Calibri" w:hAnsi="Times New Roman" w:cs="Times New Roman"/>
          <w:bCs/>
          <w:kern w:val="0"/>
          <w14:ligatures w14:val="none"/>
        </w:rPr>
        <w:t>).</w:t>
      </w:r>
    </w:p>
    <w:p w14:paraId="064322E8" w14:textId="60B98786" w:rsidR="00EE7C3D" w:rsidRPr="002D66BA" w:rsidRDefault="00EE7C3D" w:rsidP="00956F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JAV iždas įvedė sankcijas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dar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dviem įmonėms iš Uzbekistano. Anot Amerikos valdžios, „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Uzstanex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“ dalyvavo tiekiant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metalo apdirbimo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stakles, o „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The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Elite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Investment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Group“ – transformatorių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tiekime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sankcionuotoms Rusijos įmonėms (</w:t>
      </w:r>
      <w:r w:rsid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hyperlink r:id="rId24" w:history="1">
        <w:r w:rsidR="002D66BA" w:rsidRPr="003B10AB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https://www.gazeta.uz/ru/2024/10/31/sanctions-uzbekistan/</w:t>
        </w:r>
      </w:hyperlink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113616CA" w14:textId="3689E954" w:rsidR="00EE7C3D" w:rsidRPr="002D66BA" w:rsidRDefault="00EE7C3D" w:rsidP="00956F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Ekonomikos finansų ministerija pristatė 2025 metų Uzbekistano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valstybės biudžeto projektą. Prognozuojama, kad BVP augs 6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proc.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infliacija sumažės iki 7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Konsoliduoto biudžeto deficito limitą siūloma patvirtinti </w:t>
      </w:r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ties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proc.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(49,3 </w:t>
      </w:r>
      <w:proofErr w:type="spellStart"/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>trln</w:t>
      </w:r>
      <w:proofErr w:type="spellEnd"/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>. UZS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 </w:t>
      </w:r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>riba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išorinio skolinimosi limitas padidinamas iki 5,5 mlrd.</w:t>
      </w:r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USD (</w:t>
      </w:r>
      <w:r w:rsid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hyperlink r:id="rId25" w:history="1">
        <w:r w:rsidR="002D66BA" w:rsidRPr="003B10AB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https://www.gazeta.uz/ru/2024/10/29/budget-2025/</w:t>
        </w:r>
      </w:hyperlink>
      <w:r w:rsidR="00AE6A60"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).</w:t>
      </w:r>
    </w:p>
    <w:p w14:paraId="4F439308" w14:textId="5BC22CE1" w:rsidR="00AE6A60" w:rsidRPr="002D66BA" w:rsidRDefault="002D66BA" w:rsidP="002D66B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Taškento regione, dalyvaujant Kinijos investuotojams, bus sukurta speciali pramoninė zona „Du regionai – vienas parkas“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Projektą vykdo „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China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Construction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Fifth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Engineering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Division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Corp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“ ir „BSM Group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Limited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“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hyperlink r:id="rId26" w:history="1">
        <w:r w:rsidRPr="003B10AB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https://uzdaily.uz/ru/v-tashkentskoi-oblasti-budet-sozdana-spetsialnaia-promyshlennaia-zona-s-uchastiem-kitaiskikh-kompanii/</w:t>
        </w:r>
      </w:hyperlink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7813DAC5" w14:textId="112E8023" w:rsidR="002D66BA" w:rsidRPr="002D66BA" w:rsidRDefault="002D66BA" w:rsidP="002D66B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Remiantis devynių mėnesių rezultatais, vidutinis nominalus atlyginimas Uzbekistane viršijo 5,1 mln.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UZS (apie 375 EUR).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Augimo tempas sulėtėjo nuo 18,5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proc.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iki 16,4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proc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hyperlink r:id="rId27" w:history="1">
        <w:r w:rsidRPr="003B10AB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https://www.gazeta.uz/ru/2024/10/25/wages/</w:t>
        </w:r>
      </w:hyperlink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1090C5D0" w14:textId="5838FEAC" w:rsidR="002D66BA" w:rsidRDefault="002D66BA" w:rsidP="002D66B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Uzbekistano prezidentas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Shavkatas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Mirziyoyev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pasirašė įstatymą, nustatantį vyriausybinių agentūrų atsakomybę už perteklinių ataskaitų reikalavimą iš verslininkų.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Šį įstatymą </w:t>
      </w:r>
      <w:proofErr w:type="spellStart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š.m</w:t>
      </w:r>
      <w:proofErr w:type="spellEnd"/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liepą patvirtino žemieji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šalies Parlamento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rūmai, o rugsėjį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jis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sulaukė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ir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Senato paramos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hyperlink r:id="rId28" w:history="1">
        <w:r w:rsidR="003D0EF2" w:rsidRPr="003B10AB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https://uzdaily.uz/ru/v-uzbekistane-ustanovili-otvetstvennost-za-trebovanie-izlishnei-otchetnosti-ot-predprinimatelei/</w:t>
        </w:r>
      </w:hyperlink>
      <w:r w:rsidRPr="002D66B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  <w:r w:rsidRPr="002D66BA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72FAD6A1" w14:textId="7D09FE4D" w:rsidR="003D0EF2" w:rsidRDefault="003D0EF2" w:rsidP="002D66B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2024 m. spalio 22 d. </w:t>
      </w:r>
      <w:proofErr w:type="spellStart"/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>Samarkande</w:t>
      </w:r>
      <w:proofErr w:type="spellEnd"/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vykusio Uzbekistano ir Kazachstano tarpregioninio forumo metu įvyko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abiejų šalių 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>verslininkų susitikimas. Uzbekistano ir Kazachstano regionai pasirašė 33 bendradarbiavimo sutartis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 </w:t>
      </w:r>
      <w:hyperlink r:id="rId29" w:history="1">
        <w:r w:rsidRPr="003D0EF2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https://uzdaily.uz/ru/regiony-uzbekistana-i-kazakhstana-podpisali-33-soglasheniia-o-sotrudnichestve/</w:t>
        </w:r>
      </w:hyperlink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).</w:t>
      </w:r>
    </w:p>
    <w:p w14:paraId="54348902" w14:textId="4D2A25E6" w:rsidR="003D0EF2" w:rsidRDefault="003D0EF2" w:rsidP="003D0EF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Uzbekistanas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įvedė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naujas priemones darb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o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migrantams remti ir mokyti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>Iki 2026 m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sausio 1 d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Pr="003D0E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Uzbekistano piliečių atrankos, siuntimo ir įdarbinimo į užsienį funkcijos palaipsniui bus perduotos privačioms įdarbinimo agentūroms. Darbo migrantai, organizuotai keliaujantys į išsivysčiusias šalis, galės gauti lengvatines mikropaskolas iki 10 mln.</w:t>
      </w:r>
      <w:r w:rsidR="0036739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UZS (apie 750 EUR) ( </w:t>
      </w:r>
      <w:hyperlink r:id="rId30" w:history="1">
        <w:r w:rsidR="00367397" w:rsidRPr="00367397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https://www.gazeta.uz/ru/2024/10/25/labor-migration/</w:t>
        </w:r>
      </w:hyperlink>
      <w:r w:rsidR="0036739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).</w:t>
      </w:r>
    </w:p>
    <w:p w14:paraId="2DAACC11" w14:textId="65B3EA56" w:rsidR="00A95328" w:rsidRPr="003D0EF2" w:rsidRDefault="00A95328" w:rsidP="003D0EF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>Nuo 2024 m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pradžios Uzbekistano saulės ir vėjo jėgainės pagamino 4 m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lrd.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kWh elektros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Š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alies Energetikos ministerijos duomenimis, šiuo metu Uzbekistane yra 9 saulės fotovoltinės stotys, kurių bendra galia yra 2,7 GW ir viena vėjo jėgainė, esančios 7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šalies 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>regionuose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 </w:t>
      </w:r>
      <w:hyperlink r:id="rId31" w:history="1">
        <w:r w:rsidRPr="00A95328">
          <w:rPr>
            <w:rStyle w:val="Hyperlink"/>
            <w:rFonts w:ascii="Times New Roman" w:eastAsia="Calibri" w:hAnsi="Times New Roman" w:cs="Times New Roman"/>
            <w:bCs/>
            <w:i/>
            <w:iCs/>
            <w:kern w:val="0"/>
            <w14:ligatures w14:val="none"/>
          </w:rPr>
          <w:t>https://uzdaily.uz/ru/solnechnye-i-vetrovye-elektrostantsii-v-uzbekistane-proizveli-4-mlrd-kvtch-elektroenergii/</w:t>
        </w:r>
      </w:hyperlink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)</w:t>
      </w:r>
      <w:r w:rsidRPr="00A95328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05F5D8BE" w14:textId="77777777" w:rsidR="00190700" w:rsidRDefault="00190700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EC4D585" w14:textId="77777777" w:rsidR="00190700" w:rsidRDefault="00190700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0E46BC7B" w14:textId="77777777" w:rsidR="00956F69" w:rsidRDefault="00956F69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728880A" w14:textId="77777777" w:rsidR="00956F69" w:rsidRDefault="00956F69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7128AA6" w14:textId="77777777" w:rsidR="00190700" w:rsidRDefault="00190700" w:rsidP="00882B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0C562F7" w14:textId="15C95019" w:rsidR="00882B55" w:rsidRPr="00190700" w:rsidRDefault="00882B55" w:rsidP="00882B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sv-SE"/>
          <w14:ligatures w14:val="none"/>
        </w:rPr>
      </w:pPr>
      <w:r w:rsidRPr="00882B5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Parengė:</w:t>
      </w:r>
      <w:r w:rsidRPr="00882B5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pirmasis sekretorius Eduard </w:t>
      </w:r>
      <w:proofErr w:type="spellStart"/>
      <w:r w:rsidRPr="00882B5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Mažul</w:t>
      </w:r>
      <w:proofErr w:type="spellEnd"/>
      <w:r w:rsidRPr="00882B5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</w:p>
    <w:p w14:paraId="5F728821" w14:textId="77777777" w:rsidR="00882B55" w:rsidRPr="00882B55" w:rsidRDefault="00882B55" w:rsidP="00882B55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A8AE820" w14:textId="77777777" w:rsidR="006C509D" w:rsidRDefault="006C509D"/>
    <w:sectPr w:rsidR="006C509D" w:rsidSect="00003E8F">
      <w:footerReference w:type="default" r:id="rId3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A150" w14:textId="77777777" w:rsidR="00383C91" w:rsidRDefault="00383C91" w:rsidP="00383C91">
      <w:pPr>
        <w:spacing w:after="0" w:line="240" w:lineRule="auto"/>
      </w:pPr>
      <w:r>
        <w:separator/>
      </w:r>
    </w:p>
  </w:endnote>
  <w:endnote w:type="continuationSeparator" w:id="0">
    <w:p w14:paraId="51237050" w14:textId="77777777" w:rsidR="00383C91" w:rsidRDefault="00383C91" w:rsidP="0038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689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FD3D30" w14:textId="0D9D20BC" w:rsidR="00383C91" w:rsidRPr="00383C91" w:rsidRDefault="00383C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3C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3C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3C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83C91">
          <w:rPr>
            <w:rFonts w:ascii="Times New Roman" w:hAnsi="Times New Roman" w:cs="Times New Roman"/>
            <w:sz w:val="20"/>
            <w:szCs w:val="20"/>
          </w:rPr>
          <w:t>2</w:t>
        </w:r>
        <w:r w:rsidRPr="00383C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999F5A" w14:textId="77777777" w:rsidR="00383C91" w:rsidRDefault="0038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426E" w14:textId="77777777" w:rsidR="00383C91" w:rsidRDefault="00383C91" w:rsidP="00383C91">
      <w:pPr>
        <w:spacing w:after="0" w:line="240" w:lineRule="auto"/>
      </w:pPr>
      <w:r>
        <w:separator/>
      </w:r>
    </w:p>
  </w:footnote>
  <w:footnote w:type="continuationSeparator" w:id="0">
    <w:p w14:paraId="1219EE6A" w14:textId="77777777" w:rsidR="00383C91" w:rsidRDefault="00383C91" w:rsidP="0038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0858"/>
    <w:multiLevelType w:val="hybridMultilevel"/>
    <w:tmpl w:val="AA46F0A8"/>
    <w:lvl w:ilvl="0" w:tplc="5D96E1B6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7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55"/>
    <w:rsid w:val="00003E8F"/>
    <w:rsid w:val="00043E63"/>
    <w:rsid w:val="00047986"/>
    <w:rsid w:val="000535F1"/>
    <w:rsid w:val="00074D14"/>
    <w:rsid w:val="000859C0"/>
    <w:rsid w:val="000A1C48"/>
    <w:rsid w:val="000A262E"/>
    <w:rsid w:val="000B7F1C"/>
    <w:rsid w:val="0013003B"/>
    <w:rsid w:val="00190700"/>
    <w:rsid w:val="001A21D7"/>
    <w:rsid w:val="001B4418"/>
    <w:rsid w:val="001F3B5D"/>
    <w:rsid w:val="001F5F2D"/>
    <w:rsid w:val="00235CFE"/>
    <w:rsid w:val="0029094F"/>
    <w:rsid w:val="002923E4"/>
    <w:rsid w:val="002B50DB"/>
    <w:rsid w:val="002B5BB1"/>
    <w:rsid w:val="002D66BA"/>
    <w:rsid w:val="00367397"/>
    <w:rsid w:val="00383C91"/>
    <w:rsid w:val="003D0EF2"/>
    <w:rsid w:val="00437A14"/>
    <w:rsid w:val="004538E5"/>
    <w:rsid w:val="00460886"/>
    <w:rsid w:val="004A6591"/>
    <w:rsid w:val="00520C83"/>
    <w:rsid w:val="00533798"/>
    <w:rsid w:val="005A67CA"/>
    <w:rsid w:val="006011CB"/>
    <w:rsid w:val="00602D22"/>
    <w:rsid w:val="0063166F"/>
    <w:rsid w:val="00687508"/>
    <w:rsid w:val="006C509D"/>
    <w:rsid w:val="006C5AFB"/>
    <w:rsid w:val="007370E9"/>
    <w:rsid w:val="00793DC8"/>
    <w:rsid w:val="007E5C26"/>
    <w:rsid w:val="00882B55"/>
    <w:rsid w:val="008B3E00"/>
    <w:rsid w:val="008C60F9"/>
    <w:rsid w:val="009434E2"/>
    <w:rsid w:val="00956F69"/>
    <w:rsid w:val="009767C6"/>
    <w:rsid w:val="009A510A"/>
    <w:rsid w:val="009B4F18"/>
    <w:rsid w:val="009D4334"/>
    <w:rsid w:val="009E3D79"/>
    <w:rsid w:val="00A91D08"/>
    <w:rsid w:val="00A95328"/>
    <w:rsid w:val="00AD35F2"/>
    <w:rsid w:val="00AE12DF"/>
    <w:rsid w:val="00AE6A60"/>
    <w:rsid w:val="00B24BE6"/>
    <w:rsid w:val="00B60B67"/>
    <w:rsid w:val="00BA3BFE"/>
    <w:rsid w:val="00BC6858"/>
    <w:rsid w:val="00C325FB"/>
    <w:rsid w:val="00C7471A"/>
    <w:rsid w:val="00CB3B85"/>
    <w:rsid w:val="00CB518B"/>
    <w:rsid w:val="00D86E51"/>
    <w:rsid w:val="00DE3D72"/>
    <w:rsid w:val="00DF2E93"/>
    <w:rsid w:val="00E03DFC"/>
    <w:rsid w:val="00E15863"/>
    <w:rsid w:val="00E468B3"/>
    <w:rsid w:val="00E97E40"/>
    <w:rsid w:val="00EE7C3D"/>
    <w:rsid w:val="00EF37A8"/>
    <w:rsid w:val="00F26D58"/>
    <w:rsid w:val="00F41610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FC19"/>
  <w15:chartTrackingRefBased/>
  <w15:docId w15:val="{07D77982-2019-46E0-832D-3B20DC8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B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7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12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2D2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91"/>
  </w:style>
  <w:style w:type="paragraph" w:styleId="Footer">
    <w:name w:val="footer"/>
    <w:basedOn w:val="Normal"/>
    <w:link w:val="FooterChar"/>
    <w:uiPriority w:val="99"/>
    <w:unhideWhenUsed/>
    <w:rsid w:val="0038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rmburo.kz/novosti/kitaj-gotov-vozobnovit-eksport-zernovyh-iz-kazahstana" TargetMode="External"/><Relationship Id="rId18" Type="http://schemas.openxmlformats.org/officeDocument/2006/relationships/hyperlink" Target="https://el.kz/en/kazakhstan-approves-roadmap-for-development-of-petrochemical-industry-until-2030_135921/" TargetMode="External"/><Relationship Id="rId26" Type="http://schemas.openxmlformats.org/officeDocument/2006/relationships/hyperlink" Target="https://uzdaily.uz/ru/v-tashkentskoi-oblasti-budet-sozdana-spetsialnaia-promyshlennaia-zona-s-uchastiem-kitaiskikh-komp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inform.kz/news/kazakhstan-to-reduce-oil-deliveries-to-germany-1b7eec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orldexpo.pro/agritekastana" TargetMode="External"/><Relationship Id="rId12" Type="http://schemas.openxmlformats.org/officeDocument/2006/relationships/hyperlink" Target="https://en.inform.kz/news/ktz-transports-11mln-tons-of-grain-in-sep-358bcc/" TargetMode="External"/><Relationship Id="rId17" Type="http://schemas.openxmlformats.org/officeDocument/2006/relationships/hyperlink" Target="https://kapital.kz/economic/130445/qazaqgaz-i-turkmengaz-budut-sotrudnichat-v-sfere-dobychi-transportirovki-i-importa-gaza.html" TargetMode="External"/><Relationship Id="rId25" Type="http://schemas.openxmlformats.org/officeDocument/2006/relationships/hyperlink" Target="https://www.gazeta.uz/ru/2024/10/29/budget-202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pital.kz/economic/130159/rost-ekonomiki-kazakhstana-v-2024-godu-sostavit-3-9-mvf.html" TargetMode="External"/><Relationship Id="rId20" Type="http://schemas.openxmlformats.org/officeDocument/2006/relationships/hyperlink" Target="https://en.inform.kz/news/kazakhstans-economic-growth-rate-accelerates-edb-a28adb/" TargetMode="External"/><Relationship Id="rId29" Type="http://schemas.openxmlformats.org/officeDocument/2006/relationships/hyperlink" Target="https://uzdaily.uz/ru/regiony-uzbekistana-i-kazakhstana-podpisali-33-soglasheniia-o-sotrudnichestv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omap.ru/expo/renewableenergy-expo/" TargetMode="External"/><Relationship Id="rId24" Type="http://schemas.openxmlformats.org/officeDocument/2006/relationships/hyperlink" Target="https://www.gazeta.uz/ru/2024/10/31/sanctions-uzbekistan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n.inform.kz/news/the-results-of-the-56th-meeting-of-the-opec-joint-ministerial-monitoring-committee-d4a547/" TargetMode="External"/><Relationship Id="rId23" Type="http://schemas.openxmlformats.org/officeDocument/2006/relationships/hyperlink" Target="https://www.gazeta.uz/ru/2024/10/31/main-rate/" TargetMode="External"/><Relationship Id="rId28" Type="http://schemas.openxmlformats.org/officeDocument/2006/relationships/hyperlink" Target="https://uzdaily.uz/ru/v-uzbekistane-ustanovili-otvetstvennost-za-trebovanie-izlishnei-otchetnosti-ot-predprinimatelei/" TargetMode="External"/><Relationship Id="rId10" Type="http://schemas.openxmlformats.org/officeDocument/2006/relationships/hyperlink" Target="https://expomap.ru/expo/energysave-expo/" TargetMode="External"/><Relationship Id="rId19" Type="http://schemas.openxmlformats.org/officeDocument/2006/relationships/hyperlink" Target="https://sk.kz/press-center/news/77345/?lang=ru" TargetMode="External"/><Relationship Id="rId31" Type="http://schemas.openxmlformats.org/officeDocument/2006/relationships/hyperlink" Target="https://uzdaily.uz/ru/solnechnye-i-vetrovye-elektrostantsii-v-uzbekistane-proizveli-4-mlrd-kvtch-elektroener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omap.ru/expo/business-technology-expo/" TargetMode="External"/><Relationship Id="rId14" Type="http://schemas.openxmlformats.org/officeDocument/2006/relationships/hyperlink" Target="https://dknews.kz/ru/ekonomika/342230-novye-vozmozhnosti-porta-kuryk-zapusk-zernovogo" TargetMode="External"/><Relationship Id="rId22" Type="http://schemas.openxmlformats.org/officeDocument/2006/relationships/hyperlink" Target="https://www.gazeta.uz/ru/2024/10/31/money-transfers/" TargetMode="External"/><Relationship Id="rId27" Type="http://schemas.openxmlformats.org/officeDocument/2006/relationships/hyperlink" Target="https://www.gazeta.uz/ru/2024/10/25/wages/" TargetMode="External"/><Relationship Id="rId30" Type="http://schemas.openxmlformats.org/officeDocument/2006/relationships/hyperlink" Target="https://www.gazeta.uz/ru/2024/10/25/labor-migration/" TargetMode="External"/><Relationship Id="rId8" Type="http://schemas.openxmlformats.org/officeDocument/2006/relationships/hyperlink" Target="https://expomap.ru/expo/gastherm-ex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8680</Words>
  <Characters>4948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MAŽUL</dc:creator>
  <cp:keywords/>
  <dc:description/>
  <cp:lastModifiedBy>Eduard MAŽUL</cp:lastModifiedBy>
  <cp:revision>7</cp:revision>
  <dcterms:created xsi:type="dcterms:W3CDTF">2024-09-17T07:23:00Z</dcterms:created>
  <dcterms:modified xsi:type="dcterms:W3CDTF">2024-11-18T11:22:00Z</dcterms:modified>
</cp:coreProperties>
</file>