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6C1A9" w14:textId="77777777" w:rsidR="009A0F8E" w:rsidRPr="00774CD0" w:rsidRDefault="00E847BE">
      <w:pPr>
        <w:spacing w:line="360" w:lineRule="auto"/>
        <w:jc w:val="center"/>
        <w:rPr>
          <w:rFonts w:ascii="Times New Roman" w:eastAsia="Arial" w:hAnsi="Times New Roman" w:cs="Times New Roman"/>
          <w:b/>
          <w:highlight w:val="white"/>
        </w:rPr>
      </w:pPr>
      <w:r w:rsidRPr="00774CD0">
        <w:rPr>
          <w:rFonts w:ascii="Times New Roman" w:eastAsia="Arial" w:hAnsi="Times New Roman" w:cs="Times New Roman"/>
          <w:b/>
          <w:highlight w:val="white"/>
        </w:rPr>
        <w:t>Lietuvos Respublikos ambasada Švedijos Karalystėje</w:t>
      </w:r>
    </w:p>
    <w:p w14:paraId="3F5054E0" w14:textId="77777777" w:rsidR="009A0F8E" w:rsidRPr="00774CD0" w:rsidRDefault="009A0F8E">
      <w:pPr>
        <w:spacing w:line="360" w:lineRule="auto"/>
        <w:jc w:val="center"/>
        <w:rPr>
          <w:rFonts w:ascii="Times New Roman" w:eastAsia="Arial" w:hAnsi="Times New Roman" w:cs="Times New Roman"/>
          <w:b/>
          <w:highlight w:val="white"/>
        </w:rPr>
      </w:pPr>
    </w:p>
    <w:p w14:paraId="07D4DF2F" w14:textId="77777777" w:rsidR="009A0F8E" w:rsidRPr="00774CD0" w:rsidRDefault="00E847BE">
      <w:pPr>
        <w:spacing w:line="360" w:lineRule="auto"/>
        <w:jc w:val="center"/>
        <w:rPr>
          <w:rFonts w:ascii="Times New Roman" w:eastAsia="Arial" w:hAnsi="Times New Roman" w:cs="Times New Roman"/>
          <w:b/>
          <w:highlight w:val="white"/>
        </w:rPr>
      </w:pPr>
      <w:r w:rsidRPr="00774CD0">
        <w:rPr>
          <w:rFonts w:ascii="Times New Roman" w:eastAsia="Arial" w:hAnsi="Times New Roman" w:cs="Times New Roman"/>
          <w:b/>
          <w:highlight w:val="white"/>
        </w:rPr>
        <w:t>AKTUALIOS EKONOMINĖS INFORMACIJOS SUVESTINĖ</w:t>
      </w:r>
    </w:p>
    <w:p w14:paraId="0C82BE55" w14:textId="25E8A00C" w:rsidR="009A0F8E" w:rsidRPr="00774CD0" w:rsidRDefault="00E847BE">
      <w:pPr>
        <w:spacing w:line="360" w:lineRule="auto"/>
        <w:jc w:val="center"/>
        <w:rPr>
          <w:rFonts w:ascii="Times New Roman" w:eastAsia="Arial" w:hAnsi="Times New Roman" w:cs="Times New Roman"/>
          <w:highlight w:val="white"/>
        </w:rPr>
      </w:pPr>
      <w:r w:rsidRPr="00774CD0">
        <w:rPr>
          <w:rFonts w:ascii="Times New Roman" w:eastAsia="Arial" w:hAnsi="Times New Roman" w:cs="Times New Roman"/>
          <w:highlight w:val="white"/>
        </w:rPr>
        <w:t>2024</w:t>
      </w:r>
      <w:r w:rsidR="00185B51">
        <w:rPr>
          <w:rFonts w:ascii="Times New Roman" w:eastAsia="Arial" w:hAnsi="Times New Roman" w:cs="Times New Roman"/>
          <w:highlight w:val="white"/>
        </w:rPr>
        <w:t xml:space="preserve"> m.</w:t>
      </w:r>
      <w:r w:rsidRPr="00774CD0">
        <w:rPr>
          <w:rFonts w:ascii="Times New Roman" w:eastAsia="Arial" w:hAnsi="Times New Roman" w:cs="Times New Roman"/>
          <w:highlight w:val="white"/>
        </w:rPr>
        <w:t xml:space="preserve"> </w:t>
      </w:r>
      <w:r w:rsidR="00B47E2A" w:rsidRPr="00774CD0">
        <w:rPr>
          <w:rFonts w:ascii="Times New Roman" w:eastAsia="Arial" w:hAnsi="Times New Roman" w:cs="Times New Roman"/>
          <w:highlight w:val="white"/>
        </w:rPr>
        <w:t>rug</w:t>
      </w:r>
      <w:r w:rsidR="005D156E">
        <w:rPr>
          <w:rFonts w:ascii="Times New Roman" w:eastAsia="Arial" w:hAnsi="Times New Roman" w:cs="Times New Roman"/>
          <w:highlight w:val="white"/>
        </w:rPr>
        <w:t xml:space="preserve">sėjo </w:t>
      </w:r>
      <w:r w:rsidR="005D156E" w:rsidRPr="005D156E">
        <w:rPr>
          <w:rFonts w:ascii="Times New Roman" w:eastAsia="Arial" w:hAnsi="Times New Roman" w:cs="Times New Roman"/>
          <w:highlight w:val="white"/>
        </w:rPr>
        <w:t>2</w:t>
      </w:r>
      <w:r w:rsidRPr="00774CD0">
        <w:rPr>
          <w:rFonts w:ascii="Times New Roman" w:eastAsia="Arial" w:hAnsi="Times New Roman" w:cs="Times New Roman"/>
          <w:highlight w:val="white"/>
        </w:rPr>
        <w:t xml:space="preserve"> d. –  </w:t>
      </w:r>
      <w:r w:rsidR="00B47E2A" w:rsidRPr="00774CD0">
        <w:rPr>
          <w:rFonts w:ascii="Times New Roman" w:eastAsia="Arial" w:hAnsi="Times New Roman" w:cs="Times New Roman"/>
          <w:highlight w:val="white"/>
        </w:rPr>
        <w:t>rug</w:t>
      </w:r>
      <w:r w:rsidR="005D156E">
        <w:rPr>
          <w:rFonts w:ascii="Times New Roman" w:eastAsia="Arial" w:hAnsi="Times New Roman" w:cs="Times New Roman"/>
          <w:highlight w:val="white"/>
        </w:rPr>
        <w:t>sėjo</w:t>
      </w:r>
      <w:r w:rsidR="00B47E2A" w:rsidRPr="00774CD0">
        <w:rPr>
          <w:rFonts w:ascii="Times New Roman" w:eastAsia="Arial" w:hAnsi="Times New Roman" w:cs="Times New Roman"/>
          <w:highlight w:val="white"/>
        </w:rPr>
        <w:t xml:space="preserve"> </w:t>
      </w:r>
      <w:r w:rsidRPr="00774CD0">
        <w:rPr>
          <w:rFonts w:ascii="Times New Roman" w:eastAsia="Arial" w:hAnsi="Times New Roman" w:cs="Times New Roman"/>
          <w:highlight w:val="white"/>
        </w:rPr>
        <w:t xml:space="preserve"> 3</w:t>
      </w:r>
      <w:r w:rsidR="005D156E">
        <w:rPr>
          <w:rFonts w:ascii="Times New Roman" w:eastAsia="Arial" w:hAnsi="Times New Roman" w:cs="Times New Roman"/>
          <w:highlight w:val="white"/>
        </w:rPr>
        <w:t>0</w:t>
      </w:r>
      <w:r w:rsidRPr="00774CD0">
        <w:rPr>
          <w:rFonts w:ascii="Times New Roman" w:eastAsia="Arial" w:hAnsi="Times New Roman" w:cs="Times New Roman"/>
          <w:highlight w:val="white"/>
        </w:rPr>
        <w:t xml:space="preserve"> d.</w:t>
      </w:r>
    </w:p>
    <w:p w14:paraId="0ECC7575" w14:textId="77777777" w:rsidR="009A0F8E" w:rsidRPr="00774CD0" w:rsidRDefault="009A0F8E">
      <w:pPr>
        <w:spacing w:line="360" w:lineRule="auto"/>
        <w:rPr>
          <w:rFonts w:ascii="Times New Roman" w:eastAsia="Arial" w:hAnsi="Times New Roman" w:cs="Times New Roman"/>
          <w:highlight w:val="white"/>
        </w:rPr>
      </w:pPr>
    </w:p>
    <w:tbl>
      <w:tblPr>
        <w:tblStyle w:val="a1"/>
        <w:tblW w:w="15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7607"/>
        <w:gridCol w:w="4648"/>
        <w:gridCol w:w="1875"/>
      </w:tblGrid>
      <w:tr w:rsidR="009A0F8E" w:rsidRPr="00774CD0" w14:paraId="5F9F385F" w14:textId="77777777" w:rsidTr="003E0AC1">
        <w:tc>
          <w:tcPr>
            <w:tcW w:w="1035" w:type="dxa"/>
          </w:tcPr>
          <w:p w14:paraId="54C2D448" w14:textId="77777777" w:rsidR="009A0F8E" w:rsidRPr="00774CD0" w:rsidRDefault="00E847BE">
            <w:pPr>
              <w:jc w:val="center"/>
              <w:rPr>
                <w:rFonts w:ascii="Times New Roman" w:eastAsia="Arial" w:hAnsi="Times New Roman" w:cs="Times New Roman"/>
              </w:rPr>
            </w:pPr>
            <w:r w:rsidRPr="00774CD0">
              <w:rPr>
                <w:rFonts w:ascii="Times New Roman" w:eastAsia="Arial" w:hAnsi="Times New Roman" w:cs="Times New Roman"/>
              </w:rPr>
              <w:t>Data</w:t>
            </w:r>
          </w:p>
        </w:tc>
        <w:tc>
          <w:tcPr>
            <w:tcW w:w="7607" w:type="dxa"/>
          </w:tcPr>
          <w:p w14:paraId="5156B2A2" w14:textId="77777777" w:rsidR="009A0F8E" w:rsidRPr="00BA6CE4" w:rsidRDefault="00E847BE">
            <w:pPr>
              <w:jc w:val="center"/>
              <w:rPr>
                <w:rFonts w:ascii="Times New Roman" w:eastAsia="Arial" w:hAnsi="Times New Roman" w:cs="Times New Roman"/>
              </w:rPr>
            </w:pPr>
            <w:r w:rsidRPr="00BA6CE4">
              <w:rPr>
                <w:rFonts w:ascii="Times New Roman" w:eastAsia="Arial" w:hAnsi="Times New Roman" w:cs="Times New Roman"/>
              </w:rPr>
              <w:t>Pateikiamos informacijos apibendrinimas</w:t>
            </w:r>
          </w:p>
        </w:tc>
        <w:tc>
          <w:tcPr>
            <w:tcW w:w="4648" w:type="dxa"/>
          </w:tcPr>
          <w:p w14:paraId="060FE0F3" w14:textId="77777777" w:rsidR="009A0F8E" w:rsidRPr="00BA6CE4" w:rsidRDefault="00E847BE">
            <w:pPr>
              <w:jc w:val="center"/>
              <w:rPr>
                <w:rFonts w:ascii="Times New Roman" w:eastAsia="Arial" w:hAnsi="Times New Roman" w:cs="Times New Roman"/>
              </w:rPr>
            </w:pPr>
            <w:r w:rsidRPr="00BA6CE4">
              <w:rPr>
                <w:rFonts w:ascii="Times New Roman" w:eastAsia="Arial" w:hAnsi="Times New Roman" w:cs="Times New Roman"/>
              </w:rPr>
              <w:t>Informacijos šaltinis</w:t>
            </w:r>
          </w:p>
        </w:tc>
        <w:tc>
          <w:tcPr>
            <w:tcW w:w="1875" w:type="dxa"/>
          </w:tcPr>
          <w:p w14:paraId="2A357391" w14:textId="77777777" w:rsidR="009A0F8E" w:rsidRPr="00774CD0" w:rsidRDefault="00E847BE">
            <w:pPr>
              <w:jc w:val="center"/>
              <w:rPr>
                <w:rFonts w:ascii="Times New Roman" w:eastAsia="Arial" w:hAnsi="Times New Roman" w:cs="Times New Roman"/>
              </w:rPr>
            </w:pPr>
            <w:r w:rsidRPr="00774CD0">
              <w:rPr>
                <w:rFonts w:ascii="Times New Roman" w:eastAsia="Arial" w:hAnsi="Times New Roman" w:cs="Times New Roman"/>
              </w:rPr>
              <w:t>Pastabos</w:t>
            </w:r>
          </w:p>
        </w:tc>
      </w:tr>
      <w:tr w:rsidR="009A0F8E" w:rsidRPr="00774CD0" w14:paraId="64FFDCCB" w14:textId="77777777">
        <w:trPr>
          <w:trHeight w:val="424"/>
        </w:trPr>
        <w:tc>
          <w:tcPr>
            <w:tcW w:w="15165" w:type="dxa"/>
            <w:gridSpan w:val="4"/>
          </w:tcPr>
          <w:p w14:paraId="7A428547" w14:textId="77777777" w:rsidR="009A0F8E" w:rsidRPr="00BA6CE4" w:rsidRDefault="00E847BE">
            <w:pPr>
              <w:spacing w:line="360" w:lineRule="auto"/>
              <w:jc w:val="both"/>
              <w:rPr>
                <w:rFonts w:ascii="Times New Roman" w:eastAsia="Arial" w:hAnsi="Times New Roman" w:cs="Times New Roman"/>
                <w:highlight w:val="white"/>
              </w:rPr>
            </w:pPr>
            <w:r w:rsidRPr="00BA6CE4">
              <w:rPr>
                <w:rFonts w:ascii="Times New Roman" w:eastAsia="Arial" w:hAnsi="Times New Roman" w:cs="Times New Roman"/>
                <w:highlight w:val="white"/>
              </w:rPr>
              <w:t>Lietuvos eksportuotojams aktuali informacija</w:t>
            </w:r>
          </w:p>
        </w:tc>
      </w:tr>
      <w:tr w:rsidR="009A0F8E" w:rsidRPr="00774CD0" w14:paraId="6EB126DB" w14:textId="77777777" w:rsidTr="003E0AC1">
        <w:tc>
          <w:tcPr>
            <w:tcW w:w="1035" w:type="dxa"/>
          </w:tcPr>
          <w:p w14:paraId="54ADC97B" w14:textId="6034D4D3" w:rsidR="009A0F8E" w:rsidRPr="00774CD0" w:rsidRDefault="00C8641A">
            <w:pPr>
              <w:jc w:val="center"/>
              <w:rPr>
                <w:rFonts w:ascii="Times New Roman" w:eastAsia="Arial" w:hAnsi="Times New Roman" w:cs="Times New Roman"/>
              </w:rPr>
            </w:pPr>
            <w:r w:rsidRPr="00774CD0">
              <w:rPr>
                <w:rFonts w:ascii="Times New Roman" w:eastAsia="Arial" w:hAnsi="Times New Roman" w:cs="Times New Roman"/>
              </w:rPr>
              <w:t>2024-0</w:t>
            </w:r>
            <w:r w:rsidR="001216CB">
              <w:rPr>
                <w:rFonts w:ascii="Times New Roman" w:eastAsia="Arial" w:hAnsi="Times New Roman" w:cs="Times New Roman"/>
              </w:rPr>
              <w:t>9</w:t>
            </w:r>
            <w:r w:rsidRPr="00774CD0">
              <w:rPr>
                <w:rFonts w:ascii="Times New Roman" w:eastAsia="Arial" w:hAnsi="Times New Roman" w:cs="Times New Roman"/>
              </w:rPr>
              <w:t>-</w:t>
            </w:r>
            <w:r w:rsidR="001216CB">
              <w:rPr>
                <w:rFonts w:ascii="Times New Roman" w:eastAsia="Arial" w:hAnsi="Times New Roman" w:cs="Times New Roman"/>
              </w:rPr>
              <w:t>26</w:t>
            </w:r>
          </w:p>
        </w:tc>
        <w:tc>
          <w:tcPr>
            <w:tcW w:w="7607" w:type="dxa"/>
          </w:tcPr>
          <w:p w14:paraId="5E83D721" w14:textId="39847837" w:rsidR="009A0F8E" w:rsidRPr="00BA6CE4" w:rsidRDefault="001216CB" w:rsidP="00C8641A">
            <w:pPr>
              <w:shd w:val="clear" w:color="auto" w:fill="FFFFFF"/>
              <w:spacing w:line="315" w:lineRule="auto"/>
              <w:jc w:val="both"/>
              <w:rPr>
                <w:rFonts w:ascii="Times New Roman" w:eastAsia="Arial" w:hAnsi="Times New Roman" w:cs="Times New Roman"/>
              </w:rPr>
            </w:pPr>
            <w:r w:rsidRPr="004527DB">
              <w:rPr>
                <w:rFonts w:ascii="Times New Roman" w:eastAsia="Arial" w:hAnsi="Times New Roman" w:cs="Times New Roman"/>
                <w:b/>
                <w:bCs/>
              </w:rPr>
              <w:t>Švedijoje auga prekių importas.</w:t>
            </w:r>
            <w:r>
              <w:rPr>
                <w:rFonts w:ascii="Times New Roman" w:eastAsia="Arial" w:hAnsi="Times New Roman" w:cs="Times New Roman"/>
              </w:rPr>
              <w:t xml:space="preserve"> Švedijos statistikos agentūra skelbia naujausius duomenis, kurie rodo, kad palyginus su praeitais metais prekių importas į Švediją išaugo 6</w:t>
            </w:r>
            <w:r w:rsidRPr="001216CB">
              <w:rPr>
                <w:rFonts w:ascii="Times New Roman" w:eastAsia="Arial" w:hAnsi="Times New Roman" w:cs="Times New Roman"/>
              </w:rPr>
              <w:t>%</w:t>
            </w:r>
            <w:r>
              <w:rPr>
                <w:rFonts w:ascii="Times New Roman" w:eastAsia="Arial" w:hAnsi="Times New Roman" w:cs="Times New Roman"/>
              </w:rPr>
              <w:t>, prognozuojama, kad importas ir toliau didės. Labiausiai auga chemijos, energetikos sektorių prekių paslauga, taip pat trąšos.</w:t>
            </w:r>
            <w:r w:rsidR="00C8641A" w:rsidRPr="00BA6CE4">
              <w:rPr>
                <w:rFonts w:ascii="Times New Roman" w:eastAsia="Arial" w:hAnsi="Times New Roman" w:cs="Times New Roman"/>
              </w:rPr>
              <w:t xml:space="preserve"> </w:t>
            </w:r>
          </w:p>
        </w:tc>
        <w:tc>
          <w:tcPr>
            <w:tcW w:w="4648" w:type="dxa"/>
          </w:tcPr>
          <w:p w14:paraId="02E0FD16" w14:textId="38133D9F" w:rsidR="00C8641A" w:rsidRPr="00BA6CE4" w:rsidRDefault="001216CB">
            <w:pPr>
              <w:jc w:val="center"/>
              <w:rPr>
                <w:rFonts w:ascii="Times New Roman" w:eastAsia="Arial" w:hAnsi="Times New Roman" w:cs="Times New Roman"/>
              </w:rPr>
            </w:pPr>
            <w:hyperlink r:id="rId6" w:history="1">
              <w:proofErr w:type="spellStart"/>
              <w:r w:rsidRPr="001216CB">
                <w:rPr>
                  <w:rStyle w:val="Hyperlink"/>
                </w:rPr>
                <w:t>Starkare</w:t>
              </w:r>
              <w:proofErr w:type="spellEnd"/>
              <w:r w:rsidRPr="001216CB">
                <w:rPr>
                  <w:rStyle w:val="Hyperlink"/>
                </w:rPr>
                <w:t xml:space="preserve"> </w:t>
              </w:r>
              <w:proofErr w:type="spellStart"/>
              <w:r w:rsidRPr="001216CB">
                <w:rPr>
                  <w:rStyle w:val="Hyperlink"/>
                </w:rPr>
                <w:t>varuhandel</w:t>
              </w:r>
              <w:proofErr w:type="spellEnd"/>
              <w:r w:rsidRPr="001216CB">
                <w:rPr>
                  <w:rStyle w:val="Hyperlink"/>
                </w:rPr>
                <w:t xml:space="preserve"> </w:t>
              </w:r>
              <w:proofErr w:type="spellStart"/>
              <w:r w:rsidRPr="001216CB">
                <w:rPr>
                  <w:rStyle w:val="Hyperlink"/>
                </w:rPr>
                <w:t>jämfört</w:t>
              </w:r>
              <w:proofErr w:type="spellEnd"/>
              <w:r w:rsidRPr="001216CB">
                <w:rPr>
                  <w:rStyle w:val="Hyperlink"/>
                </w:rPr>
                <w:t xml:space="preserve"> </w:t>
              </w:r>
              <w:proofErr w:type="spellStart"/>
              <w:r w:rsidRPr="001216CB">
                <w:rPr>
                  <w:rStyle w:val="Hyperlink"/>
                </w:rPr>
                <w:t>med</w:t>
              </w:r>
              <w:proofErr w:type="spellEnd"/>
              <w:r w:rsidRPr="001216CB">
                <w:rPr>
                  <w:rStyle w:val="Hyperlink"/>
                </w:rPr>
                <w:t xml:space="preserve"> </w:t>
              </w:r>
              <w:proofErr w:type="spellStart"/>
              <w:r w:rsidRPr="001216CB">
                <w:rPr>
                  <w:rStyle w:val="Hyperlink"/>
                </w:rPr>
                <w:t>föregående</w:t>
              </w:r>
              <w:proofErr w:type="spellEnd"/>
              <w:r w:rsidRPr="001216CB">
                <w:rPr>
                  <w:rStyle w:val="Hyperlink"/>
                </w:rPr>
                <w:t xml:space="preserve"> </w:t>
              </w:r>
              <w:proofErr w:type="spellStart"/>
              <w:r w:rsidRPr="001216CB">
                <w:rPr>
                  <w:rStyle w:val="Hyperlink"/>
                </w:rPr>
                <w:t>år</w:t>
              </w:r>
              <w:proofErr w:type="spellEnd"/>
              <w:r w:rsidRPr="001216CB">
                <w:rPr>
                  <w:rStyle w:val="Hyperlink"/>
                </w:rPr>
                <w:t xml:space="preserve"> (scb.se)</w:t>
              </w:r>
            </w:hyperlink>
          </w:p>
        </w:tc>
        <w:tc>
          <w:tcPr>
            <w:tcW w:w="1875" w:type="dxa"/>
          </w:tcPr>
          <w:p w14:paraId="0C59DE48" w14:textId="77777777" w:rsidR="009A0F8E" w:rsidRPr="00774CD0" w:rsidRDefault="009A0F8E">
            <w:pPr>
              <w:rPr>
                <w:rFonts w:ascii="Times New Roman" w:eastAsia="Arial" w:hAnsi="Times New Roman" w:cs="Times New Roman"/>
              </w:rPr>
            </w:pPr>
          </w:p>
        </w:tc>
      </w:tr>
      <w:tr w:rsidR="0069736B" w:rsidRPr="00774CD0" w14:paraId="479F535C" w14:textId="77777777">
        <w:trPr>
          <w:trHeight w:val="200"/>
        </w:trPr>
        <w:tc>
          <w:tcPr>
            <w:tcW w:w="15165" w:type="dxa"/>
            <w:gridSpan w:val="4"/>
          </w:tcPr>
          <w:p w14:paraId="7F7BB36D" w14:textId="77777777" w:rsidR="0069736B" w:rsidRPr="00BA6CE4" w:rsidRDefault="0069736B" w:rsidP="0069736B">
            <w:pPr>
              <w:rPr>
                <w:rFonts w:ascii="Times New Roman" w:eastAsia="Arial" w:hAnsi="Times New Roman" w:cs="Times New Roman"/>
              </w:rPr>
            </w:pPr>
            <w:r w:rsidRPr="00BA6CE4">
              <w:rPr>
                <w:rFonts w:ascii="Times New Roman" w:eastAsia="Arial" w:hAnsi="Times New Roman" w:cs="Times New Roman"/>
              </w:rPr>
              <w:t>Lietuvos verslo plėtrai užsienyje aktuali informacija</w:t>
            </w:r>
          </w:p>
        </w:tc>
      </w:tr>
      <w:tr w:rsidR="0069736B" w:rsidRPr="00774CD0" w14:paraId="73C87E8A" w14:textId="77777777" w:rsidTr="003E0AC1">
        <w:tc>
          <w:tcPr>
            <w:tcW w:w="1035" w:type="dxa"/>
          </w:tcPr>
          <w:p w14:paraId="464DC684" w14:textId="01F99D28" w:rsidR="0069736B" w:rsidRPr="00CE2351" w:rsidRDefault="0069736B" w:rsidP="0069736B">
            <w:pPr>
              <w:jc w:val="center"/>
              <w:rPr>
                <w:rFonts w:ascii="Times New Roman" w:eastAsia="Arial" w:hAnsi="Times New Roman" w:cs="Times New Roman"/>
              </w:rPr>
            </w:pPr>
            <w:r>
              <w:rPr>
                <w:rFonts w:ascii="Times New Roman" w:eastAsia="Arial" w:hAnsi="Times New Roman" w:cs="Times New Roman"/>
              </w:rPr>
              <w:t>2024-0</w:t>
            </w:r>
            <w:r w:rsidR="00503E79">
              <w:rPr>
                <w:rFonts w:ascii="Times New Roman" w:eastAsia="Arial" w:hAnsi="Times New Roman" w:cs="Times New Roman"/>
              </w:rPr>
              <w:t>9</w:t>
            </w:r>
            <w:r>
              <w:rPr>
                <w:rFonts w:ascii="Times New Roman" w:eastAsia="Arial" w:hAnsi="Times New Roman" w:cs="Times New Roman"/>
              </w:rPr>
              <w:t>-</w:t>
            </w:r>
            <w:r w:rsidR="00503E79">
              <w:rPr>
                <w:rFonts w:ascii="Times New Roman" w:eastAsia="Arial" w:hAnsi="Times New Roman" w:cs="Times New Roman"/>
              </w:rPr>
              <w:t>1</w:t>
            </w:r>
            <w:r>
              <w:rPr>
                <w:rFonts w:ascii="Times New Roman" w:eastAsia="Arial" w:hAnsi="Times New Roman" w:cs="Times New Roman"/>
              </w:rPr>
              <w:t>6</w:t>
            </w:r>
          </w:p>
        </w:tc>
        <w:tc>
          <w:tcPr>
            <w:tcW w:w="7607" w:type="dxa"/>
          </w:tcPr>
          <w:p w14:paraId="6C7A57B5" w14:textId="4DC10A90" w:rsidR="0069736B" w:rsidRPr="00BA6CE4" w:rsidRDefault="00503E79" w:rsidP="0069736B">
            <w:pPr>
              <w:spacing w:line="276" w:lineRule="auto"/>
              <w:jc w:val="both"/>
              <w:rPr>
                <w:rFonts w:ascii="Times New Roman" w:eastAsia="Arial" w:hAnsi="Times New Roman" w:cs="Times New Roman"/>
              </w:rPr>
            </w:pPr>
            <w:r w:rsidRPr="001216CB">
              <w:rPr>
                <w:rFonts w:ascii="Times New Roman" w:eastAsia="Arial" w:hAnsi="Times New Roman" w:cs="Times New Roman"/>
                <w:b/>
                <w:bCs/>
              </w:rPr>
              <w:t>Stokholmo savivaldybės skaičiavimais iki 2033 m. miesto gyventojų skaičius padidės per 137 tūkst. gyventojų.</w:t>
            </w:r>
            <w:r>
              <w:rPr>
                <w:rFonts w:ascii="Times New Roman" w:eastAsia="Arial" w:hAnsi="Times New Roman" w:cs="Times New Roman"/>
              </w:rPr>
              <w:t xml:space="preserve"> Stokholme jau dabar trūksta gyvenamųjų namų, tačiau savivaldos skaičiavimais, norint atliepti būsimą poreikį reikia per metus Stokholme statyti ne mažiau negu 20 tūkst. naujų namų, iki šiol Stokholme pastatoma 15 tūkst. naujų namų per metus. Prognozuojama, kad tokia situacija anksčiau ar vėliau lems statybų mastų didėjimą, </w:t>
            </w:r>
            <w:r w:rsidR="00292AF8">
              <w:rPr>
                <w:rFonts w:ascii="Times New Roman" w:eastAsia="Arial" w:hAnsi="Times New Roman" w:cs="Times New Roman"/>
              </w:rPr>
              <w:t>leis atsigauti šiuo metu krizę išgyvenančiam statybų sektoriui.</w:t>
            </w:r>
          </w:p>
        </w:tc>
        <w:tc>
          <w:tcPr>
            <w:tcW w:w="4648" w:type="dxa"/>
          </w:tcPr>
          <w:p w14:paraId="2C83B111" w14:textId="3C8E59FC" w:rsidR="0069736B" w:rsidRPr="00BA6CE4" w:rsidRDefault="00503E79" w:rsidP="0069736B">
            <w:pPr>
              <w:jc w:val="center"/>
              <w:rPr>
                <w:rFonts w:ascii="Times New Roman" w:eastAsia="Arial" w:hAnsi="Times New Roman" w:cs="Times New Roman"/>
              </w:rPr>
            </w:pPr>
            <w:hyperlink r:id="rId7" w:history="1">
              <w:proofErr w:type="spellStart"/>
              <w:r w:rsidRPr="00503E79">
                <w:rPr>
                  <w:rStyle w:val="Hyperlink"/>
                </w:rPr>
                <w:t>Ny</w:t>
              </w:r>
              <w:proofErr w:type="spellEnd"/>
              <w:r w:rsidRPr="00503E79">
                <w:rPr>
                  <w:rStyle w:val="Hyperlink"/>
                </w:rPr>
                <w:t xml:space="preserve"> </w:t>
              </w:r>
              <w:proofErr w:type="spellStart"/>
              <w:r w:rsidRPr="00503E79">
                <w:rPr>
                  <w:rStyle w:val="Hyperlink"/>
                </w:rPr>
                <w:t>rapport</w:t>
              </w:r>
              <w:proofErr w:type="spellEnd"/>
              <w:r w:rsidRPr="00503E79">
                <w:rPr>
                  <w:rStyle w:val="Hyperlink"/>
                </w:rPr>
                <w:t xml:space="preserve">: </w:t>
              </w:r>
              <w:proofErr w:type="spellStart"/>
              <w:r w:rsidRPr="00503E79">
                <w:rPr>
                  <w:rStyle w:val="Hyperlink"/>
                </w:rPr>
                <w:t>Stockholmarna</w:t>
              </w:r>
              <w:proofErr w:type="spellEnd"/>
              <w:r w:rsidRPr="00503E79">
                <w:rPr>
                  <w:rStyle w:val="Hyperlink"/>
                </w:rPr>
                <w:t xml:space="preserve"> </w:t>
              </w:r>
              <w:proofErr w:type="spellStart"/>
              <w:r w:rsidRPr="00503E79">
                <w:rPr>
                  <w:rStyle w:val="Hyperlink"/>
                </w:rPr>
                <w:t>behöver</w:t>
              </w:r>
              <w:proofErr w:type="spellEnd"/>
              <w:r w:rsidRPr="00503E79">
                <w:rPr>
                  <w:rStyle w:val="Hyperlink"/>
                </w:rPr>
                <w:t xml:space="preserve"> bli </w:t>
              </w:r>
              <w:proofErr w:type="spellStart"/>
              <w:r w:rsidRPr="00503E79">
                <w:rPr>
                  <w:rStyle w:val="Hyperlink"/>
                </w:rPr>
                <w:t>fler</w:t>
              </w:r>
              <w:proofErr w:type="spellEnd"/>
              <w:r w:rsidRPr="00503E79">
                <w:rPr>
                  <w:rStyle w:val="Hyperlink"/>
                </w:rPr>
                <w:t xml:space="preserve"> - DN.se</w:t>
              </w:r>
            </w:hyperlink>
          </w:p>
        </w:tc>
        <w:tc>
          <w:tcPr>
            <w:tcW w:w="1875" w:type="dxa"/>
          </w:tcPr>
          <w:p w14:paraId="532CABD2" w14:textId="77777777" w:rsidR="0069736B" w:rsidRPr="00774CD0" w:rsidRDefault="0069736B" w:rsidP="0069736B">
            <w:pPr>
              <w:rPr>
                <w:rFonts w:ascii="Times New Roman" w:eastAsia="Arial" w:hAnsi="Times New Roman" w:cs="Times New Roman"/>
              </w:rPr>
            </w:pPr>
          </w:p>
        </w:tc>
      </w:tr>
      <w:tr w:rsidR="0069736B" w:rsidRPr="00774CD0" w14:paraId="17826EE8" w14:textId="77777777" w:rsidTr="003E0AC1">
        <w:tc>
          <w:tcPr>
            <w:tcW w:w="1035" w:type="dxa"/>
          </w:tcPr>
          <w:p w14:paraId="6DAB5982" w14:textId="72B39710" w:rsidR="0069736B" w:rsidRPr="00774CD0" w:rsidRDefault="0069736B" w:rsidP="0069736B">
            <w:pPr>
              <w:jc w:val="center"/>
              <w:rPr>
                <w:rFonts w:ascii="Times New Roman" w:eastAsia="Arial" w:hAnsi="Times New Roman" w:cs="Times New Roman"/>
                <w:lang w:val="en-GB"/>
              </w:rPr>
            </w:pPr>
            <w:r w:rsidRPr="00774CD0">
              <w:rPr>
                <w:rFonts w:ascii="Times New Roman" w:eastAsia="Arial" w:hAnsi="Times New Roman" w:cs="Times New Roman"/>
                <w:lang w:val="en-GB"/>
              </w:rPr>
              <w:t>2024-0</w:t>
            </w:r>
            <w:r w:rsidR="003E0AC1">
              <w:rPr>
                <w:rFonts w:ascii="Times New Roman" w:eastAsia="Arial" w:hAnsi="Times New Roman" w:cs="Times New Roman"/>
                <w:lang w:val="en-GB"/>
              </w:rPr>
              <w:t>9</w:t>
            </w:r>
            <w:r w:rsidRPr="00774CD0">
              <w:rPr>
                <w:rFonts w:ascii="Times New Roman" w:eastAsia="Arial" w:hAnsi="Times New Roman" w:cs="Times New Roman"/>
                <w:lang w:val="en-GB"/>
              </w:rPr>
              <w:t>-</w:t>
            </w:r>
            <w:r w:rsidR="003E0AC1">
              <w:rPr>
                <w:rFonts w:ascii="Times New Roman" w:eastAsia="Arial" w:hAnsi="Times New Roman" w:cs="Times New Roman"/>
                <w:lang w:val="en-GB"/>
              </w:rPr>
              <w:t>30</w:t>
            </w:r>
          </w:p>
        </w:tc>
        <w:tc>
          <w:tcPr>
            <w:tcW w:w="7607" w:type="dxa"/>
          </w:tcPr>
          <w:p w14:paraId="6195C749" w14:textId="053A299D" w:rsidR="0069736B" w:rsidRPr="003E0AC1" w:rsidRDefault="0069736B" w:rsidP="003E0AC1">
            <w:pPr>
              <w:spacing w:line="276" w:lineRule="auto"/>
              <w:jc w:val="both"/>
              <w:rPr>
                <w:rFonts w:ascii="Times New Roman" w:eastAsia="Arial" w:hAnsi="Times New Roman" w:cs="Times New Roman"/>
                <w:b/>
                <w:bCs/>
              </w:rPr>
            </w:pPr>
            <w:r>
              <w:rPr>
                <w:rFonts w:ascii="Times New Roman" w:eastAsia="Arial" w:hAnsi="Times New Roman" w:cs="Times New Roman"/>
              </w:rPr>
              <w:t xml:space="preserve"> </w:t>
            </w:r>
            <w:r w:rsidR="003E0AC1" w:rsidRPr="00F57B38">
              <w:rPr>
                <w:rFonts w:ascii="Times New Roman" w:eastAsia="Arial" w:hAnsi="Times New Roman" w:cs="Times New Roman"/>
                <w:b/>
                <w:bCs/>
              </w:rPr>
              <w:t>Lietuvos profesionalų klubas Stokholme organizuoja Lietuvos verslo forumą ,,</w:t>
            </w:r>
            <w:proofErr w:type="spellStart"/>
            <w:r w:rsidR="003E0AC1" w:rsidRPr="00F57B38">
              <w:rPr>
                <w:rFonts w:ascii="Times New Roman" w:eastAsia="Arial" w:hAnsi="Times New Roman" w:cs="Times New Roman"/>
                <w:b/>
                <w:bCs/>
              </w:rPr>
              <w:t>Innovation</w:t>
            </w:r>
            <w:proofErr w:type="spellEnd"/>
            <w:r w:rsidR="003E0AC1" w:rsidRPr="00F57B38">
              <w:rPr>
                <w:rFonts w:ascii="Times New Roman" w:eastAsia="Arial" w:hAnsi="Times New Roman" w:cs="Times New Roman"/>
                <w:b/>
                <w:bCs/>
              </w:rPr>
              <w:t xml:space="preserve"> </w:t>
            </w:r>
            <w:proofErr w:type="spellStart"/>
            <w:r w:rsidR="003E0AC1" w:rsidRPr="00F57B38">
              <w:rPr>
                <w:rFonts w:ascii="Times New Roman" w:eastAsia="Arial" w:hAnsi="Times New Roman" w:cs="Times New Roman"/>
                <w:b/>
                <w:bCs/>
              </w:rPr>
              <w:t>Bridge</w:t>
            </w:r>
            <w:proofErr w:type="spellEnd"/>
            <w:r w:rsidR="003E0AC1" w:rsidRPr="00F57B38">
              <w:rPr>
                <w:rFonts w:ascii="Times New Roman" w:eastAsia="Arial" w:hAnsi="Times New Roman" w:cs="Times New Roman"/>
                <w:b/>
                <w:bCs/>
              </w:rPr>
              <w:t>“</w:t>
            </w:r>
            <w:r w:rsidR="003E0AC1">
              <w:rPr>
                <w:rFonts w:ascii="Times New Roman" w:eastAsia="Arial" w:hAnsi="Times New Roman" w:cs="Times New Roman"/>
                <w:b/>
                <w:bCs/>
              </w:rPr>
              <w:t xml:space="preserve">. </w:t>
            </w:r>
            <w:r w:rsidR="003E0AC1">
              <w:rPr>
                <w:rFonts w:ascii="Times New Roman" w:eastAsia="Arial" w:hAnsi="Times New Roman" w:cs="Times New Roman"/>
              </w:rPr>
              <w:t xml:space="preserve">Forumas organizuojamas spalio 10 d. Stokholme. Renginys orientuosis į ICT/AI ir </w:t>
            </w:r>
            <w:proofErr w:type="spellStart"/>
            <w:r w:rsidR="003E0AC1">
              <w:rPr>
                <w:rFonts w:ascii="Times New Roman" w:eastAsia="Arial" w:hAnsi="Times New Roman" w:cs="Times New Roman"/>
              </w:rPr>
              <w:t>Smart</w:t>
            </w:r>
            <w:proofErr w:type="spellEnd"/>
            <w:r w:rsidR="003E0AC1">
              <w:rPr>
                <w:rFonts w:ascii="Times New Roman" w:eastAsia="Arial" w:hAnsi="Times New Roman" w:cs="Times New Roman"/>
              </w:rPr>
              <w:t xml:space="preserve"> </w:t>
            </w:r>
            <w:proofErr w:type="spellStart"/>
            <w:r w:rsidR="003E0AC1">
              <w:rPr>
                <w:rFonts w:ascii="Times New Roman" w:eastAsia="Arial" w:hAnsi="Times New Roman" w:cs="Times New Roman"/>
              </w:rPr>
              <w:t>Food</w:t>
            </w:r>
            <w:proofErr w:type="spellEnd"/>
            <w:r w:rsidR="003E0AC1">
              <w:rPr>
                <w:rFonts w:ascii="Times New Roman" w:eastAsia="Arial" w:hAnsi="Times New Roman" w:cs="Times New Roman"/>
              </w:rPr>
              <w:t xml:space="preserve"> temas, jame kviečiamos dalyvauti lietuviškos įmonės, ypač tos, kurios domisi Švedijos rinka. Renginyje bus galima dalyvauti tiek gyvai Stokholme, tiek renginyje </w:t>
            </w:r>
            <w:r w:rsidR="003E0AC1">
              <w:rPr>
                <w:rFonts w:ascii="Times New Roman" w:eastAsia="Arial" w:hAnsi="Times New Roman" w:cs="Times New Roman"/>
              </w:rPr>
              <w:lastRenderedPageBreak/>
              <w:t>Vilniuje, kuriame bus transliuojamos diskusijos iš Stokholmo. Renginys yra nemokamas, LR ambasada Švedijoje yra renginio partneris.</w:t>
            </w:r>
          </w:p>
        </w:tc>
        <w:tc>
          <w:tcPr>
            <w:tcW w:w="4648" w:type="dxa"/>
          </w:tcPr>
          <w:p w14:paraId="4A0B2D7C" w14:textId="3435CB1B" w:rsidR="0069736B" w:rsidRPr="00BA6CE4" w:rsidRDefault="0069736B" w:rsidP="0069736B">
            <w:pPr>
              <w:jc w:val="center"/>
              <w:rPr>
                <w:rFonts w:ascii="Times New Roman" w:eastAsia="Arial" w:hAnsi="Times New Roman" w:cs="Times New Roman"/>
              </w:rPr>
            </w:pPr>
            <w:r w:rsidRPr="00E85CA7">
              <w:rPr>
                <w:rFonts w:ascii="Times New Roman" w:eastAsia="Arial" w:hAnsi="Times New Roman" w:cs="Times New Roman"/>
                <w:b/>
                <w:bCs/>
              </w:rPr>
              <w:lastRenderedPageBreak/>
              <w:t xml:space="preserve">Registracija ir daugiau informacijos: </w:t>
            </w:r>
            <w:hyperlink r:id="rId8" w:history="1">
              <w:r w:rsidRPr="002E7E4B">
                <w:rPr>
                  <w:rStyle w:val="Hyperlink"/>
                  <w:rFonts w:ascii="Times New Roman" w:eastAsia="Arial" w:hAnsi="Times New Roman" w:cs="Times New Roman"/>
                </w:rPr>
                <w:t>https://www.eventbrite.se/e/sweden-lithuania-business-forum-innovation-bridge-tickets-1000560081137</w:t>
              </w:r>
            </w:hyperlink>
            <w:r>
              <w:rPr>
                <w:rFonts w:ascii="Times New Roman" w:eastAsia="Arial" w:hAnsi="Times New Roman" w:cs="Times New Roman"/>
              </w:rPr>
              <w:t xml:space="preserve"> </w:t>
            </w:r>
          </w:p>
        </w:tc>
        <w:tc>
          <w:tcPr>
            <w:tcW w:w="1875" w:type="dxa"/>
          </w:tcPr>
          <w:p w14:paraId="29DCD274" w14:textId="77777777" w:rsidR="0069736B" w:rsidRPr="00774CD0" w:rsidRDefault="0069736B" w:rsidP="0069736B">
            <w:pPr>
              <w:rPr>
                <w:rFonts w:ascii="Times New Roman" w:eastAsia="Arial" w:hAnsi="Times New Roman" w:cs="Times New Roman"/>
              </w:rPr>
            </w:pPr>
          </w:p>
        </w:tc>
      </w:tr>
      <w:tr w:rsidR="00466DF7" w:rsidRPr="00774CD0" w14:paraId="4E20066A" w14:textId="77777777" w:rsidTr="00C52F51">
        <w:tc>
          <w:tcPr>
            <w:tcW w:w="15165" w:type="dxa"/>
            <w:gridSpan w:val="4"/>
          </w:tcPr>
          <w:p w14:paraId="137D6F35" w14:textId="4F3EA3CB" w:rsidR="00466DF7" w:rsidRPr="00774CD0" w:rsidRDefault="00466DF7" w:rsidP="00466DF7">
            <w:pPr>
              <w:rPr>
                <w:rFonts w:ascii="Times New Roman" w:eastAsia="Arial" w:hAnsi="Times New Roman" w:cs="Times New Roman"/>
              </w:rPr>
            </w:pPr>
            <w:r w:rsidRPr="00BA6CE4">
              <w:rPr>
                <w:rFonts w:ascii="Times New Roman" w:eastAsia="Arial" w:hAnsi="Times New Roman" w:cs="Times New Roman"/>
              </w:rPr>
              <w:t>Investicijoms į Lietuvą pritraukti aktuali informacija</w:t>
            </w:r>
          </w:p>
        </w:tc>
      </w:tr>
      <w:tr w:rsidR="00466DF7" w:rsidRPr="00774CD0" w14:paraId="45A94A0E" w14:textId="77777777" w:rsidTr="003E0AC1">
        <w:tc>
          <w:tcPr>
            <w:tcW w:w="1035" w:type="dxa"/>
          </w:tcPr>
          <w:p w14:paraId="7546DAC9" w14:textId="28A86AB3" w:rsidR="00466DF7" w:rsidRPr="00774CD0" w:rsidRDefault="00466DF7" w:rsidP="00466DF7">
            <w:pPr>
              <w:jc w:val="center"/>
              <w:rPr>
                <w:rFonts w:ascii="Times New Roman" w:eastAsia="Arial" w:hAnsi="Times New Roman" w:cs="Times New Roman"/>
                <w:lang w:val="en-GB"/>
              </w:rPr>
            </w:pPr>
            <w:r>
              <w:rPr>
                <w:rFonts w:ascii="Times New Roman" w:eastAsia="Arial" w:hAnsi="Times New Roman" w:cs="Times New Roman"/>
                <w:lang w:val="en-GB"/>
              </w:rPr>
              <w:t>2024-09-04</w:t>
            </w:r>
          </w:p>
        </w:tc>
        <w:tc>
          <w:tcPr>
            <w:tcW w:w="7607" w:type="dxa"/>
          </w:tcPr>
          <w:p w14:paraId="3A4447C8" w14:textId="25721DCD" w:rsidR="00466DF7" w:rsidRDefault="006944D4" w:rsidP="00466DF7">
            <w:pPr>
              <w:spacing w:line="276" w:lineRule="auto"/>
              <w:jc w:val="both"/>
              <w:rPr>
                <w:rFonts w:ascii="Times New Roman" w:eastAsia="Arial" w:hAnsi="Times New Roman" w:cs="Times New Roman"/>
              </w:rPr>
            </w:pPr>
            <w:r w:rsidRPr="006944D4">
              <w:rPr>
                <w:rFonts w:ascii="Times New Roman" w:eastAsia="Arial" w:hAnsi="Times New Roman" w:cs="Times New Roman"/>
                <w:b/>
                <w:bCs/>
              </w:rPr>
              <w:t>Žinia, kad Švedijos telekomunikacijų milžinė Telia planuoja reikšmingas pertvarkas sulaukė daug dėmesio Švedijos žiniasklaidoje.</w:t>
            </w:r>
            <w:r w:rsidRPr="006944D4">
              <w:rPr>
                <w:rFonts w:ascii="Times New Roman" w:eastAsia="Arial" w:hAnsi="Times New Roman" w:cs="Times New Roman"/>
              </w:rPr>
              <w:t xml:space="preserve"> Per visą Telia įmonių grupę iš viso bus atleista 3 000 darbuotojų, atleidimai palies pačią Švediją, kur bus atsisveikinta su 1,4 tūkst. darbuotojų bei Norvegiją, Suomiją, Lietuvą ir Estiją. Telia sprendimą aiškina planuojama kaštų taupymo programa, kuri leis įmonei per metus sutaupyti 230 mln. EUR. Žiniasklaidoje spėliojama, kad tai gali būti ir DI pasekmė, spėjama, kad kita natūrali etatų apkarpymo auka bus finansinis sektorius, o konkrečiai – bankai ir jų paslaugų centrai.</w:t>
            </w:r>
          </w:p>
        </w:tc>
        <w:tc>
          <w:tcPr>
            <w:tcW w:w="4648" w:type="dxa"/>
          </w:tcPr>
          <w:p w14:paraId="688299BF" w14:textId="6C9CF70A" w:rsidR="00466DF7" w:rsidRPr="00E85CA7" w:rsidRDefault="00466DF7" w:rsidP="00466DF7">
            <w:pPr>
              <w:jc w:val="center"/>
              <w:rPr>
                <w:rFonts w:ascii="Times New Roman" w:eastAsia="Arial" w:hAnsi="Times New Roman" w:cs="Times New Roman"/>
                <w:b/>
                <w:bCs/>
              </w:rPr>
            </w:pPr>
            <w:hyperlink r:id="rId9" w:history="1">
              <w:r w:rsidRPr="004325C6">
                <w:rPr>
                  <w:rStyle w:val="Hyperlink"/>
                  <w:rFonts w:ascii="Times New Roman" w:eastAsia="Arial" w:hAnsi="Times New Roman" w:cs="Times New Roman"/>
                </w:rPr>
                <w:t>Telia-</w:t>
              </w:r>
              <w:proofErr w:type="spellStart"/>
              <w:r w:rsidRPr="004325C6">
                <w:rPr>
                  <w:rStyle w:val="Hyperlink"/>
                  <w:rFonts w:ascii="Times New Roman" w:eastAsia="Arial" w:hAnsi="Times New Roman" w:cs="Times New Roman"/>
                </w:rPr>
                <w:t>vd</w:t>
              </w:r>
              <w:proofErr w:type="spellEnd"/>
              <w:r w:rsidRPr="004325C6">
                <w:rPr>
                  <w:rStyle w:val="Hyperlink"/>
                  <w:rFonts w:ascii="Times New Roman" w:eastAsia="Arial" w:hAnsi="Times New Roman" w:cs="Times New Roman"/>
                </w:rPr>
                <w:t xml:space="preserve">: </w:t>
              </w:r>
              <w:proofErr w:type="spellStart"/>
              <w:r w:rsidRPr="004325C6">
                <w:rPr>
                  <w:rStyle w:val="Hyperlink"/>
                  <w:rFonts w:ascii="Times New Roman" w:eastAsia="Arial" w:hAnsi="Times New Roman" w:cs="Times New Roman"/>
                </w:rPr>
                <w:t>Svårt</w:t>
              </w:r>
              <w:proofErr w:type="spellEnd"/>
              <w:r w:rsidRPr="004325C6">
                <w:rPr>
                  <w:rStyle w:val="Hyperlink"/>
                  <w:rFonts w:ascii="Times New Roman" w:eastAsia="Arial" w:hAnsi="Times New Roman" w:cs="Times New Roman"/>
                </w:rPr>
                <w:t xml:space="preserve"> </w:t>
              </w:r>
              <w:proofErr w:type="spellStart"/>
              <w:r w:rsidRPr="004325C6">
                <w:rPr>
                  <w:rStyle w:val="Hyperlink"/>
                  <w:rFonts w:ascii="Times New Roman" w:eastAsia="Arial" w:hAnsi="Times New Roman" w:cs="Times New Roman"/>
                </w:rPr>
                <w:t>att</w:t>
              </w:r>
              <w:proofErr w:type="spellEnd"/>
              <w:r w:rsidRPr="004325C6">
                <w:rPr>
                  <w:rStyle w:val="Hyperlink"/>
                  <w:rFonts w:ascii="Times New Roman" w:eastAsia="Arial" w:hAnsi="Times New Roman" w:cs="Times New Roman"/>
                </w:rPr>
                <w:t xml:space="preserve"> </w:t>
              </w:r>
              <w:proofErr w:type="spellStart"/>
              <w:r w:rsidRPr="004325C6">
                <w:rPr>
                  <w:rStyle w:val="Hyperlink"/>
                  <w:rFonts w:ascii="Times New Roman" w:eastAsia="Arial" w:hAnsi="Times New Roman" w:cs="Times New Roman"/>
                </w:rPr>
                <w:t>se</w:t>
              </w:r>
              <w:proofErr w:type="spellEnd"/>
              <w:r w:rsidRPr="004325C6">
                <w:rPr>
                  <w:rStyle w:val="Hyperlink"/>
                  <w:rFonts w:ascii="Times New Roman" w:eastAsia="Arial" w:hAnsi="Times New Roman" w:cs="Times New Roman"/>
                </w:rPr>
                <w:t xml:space="preserve"> </w:t>
              </w:r>
              <w:proofErr w:type="spellStart"/>
              <w:r w:rsidRPr="004325C6">
                <w:rPr>
                  <w:rStyle w:val="Hyperlink"/>
                  <w:rFonts w:ascii="Times New Roman" w:eastAsia="Arial" w:hAnsi="Times New Roman" w:cs="Times New Roman"/>
                </w:rPr>
                <w:t>medarbetarna</w:t>
              </w:r>
              <w:proofErr w:type="spellEnd"/>
              <w:r w:rsidRPr="004325C6">
                <w:rPr>
                  <w:rStyle w:val="Hyperlink"/>
                  <w:rFonts w:ascii="Times New Roman" w:eastAsia="Arial" w:hAnsi="Times New Roman" w:cs="Times New Roman"/>
                </w:rPr>
                <w:t xml:space="preserve"> i </w:t>
              </w:r>
              <w:proofErr w:type="spellStart"/>
              <w:r w:rsidRPr="004325C6">
                <w:rPr>
                  <w:rStyle w:val="Hyperlink"/>
                  <w:rFonts w:ascii="Times New Roman" w:eastAsia="Arial" w:hAnsi="Times New Roman" w:cs="Times New Roman"/>
                </w:rPr>
                <w:t>ögonen</w:t>
              </w:r>
              <w:proofErr w:type="spellEnd"/>
              <w:r w:rsidRPr="004325C6">
                <w:rPr>
                  <w:rStyle w:val="Hyperlink"/>
                  <w:rFonts w:ascii="Times New Roman" w:eastAsia="Arial" w:hAnsi="Times New Roman" w:cs="Times New Roman"/>
                </w:rPr>
                <w:t xml:space="preserve"> (svd.se)</w:t>
              </w:r>
            </w:hyperlink>
          </w:p>
        </w:tc>
        <w:tc>
          <w:tcPr>
            <w:tcW w:w="1875" w:type="dxa"/>
          </w:tcPr>
          <w:p w14:paraId="75512946" w14:textId="77777777" w:rsidR="00466DF7" w:rsidRPr="00774CD0" w:rsidRDefault="00466DF7" w:rsidP="00466DF7">
            <w:pPr>
              <w:rPr>
                <w:rFonts w:ascii="Times New Roman" w:eastAsia="Arial" w:hAnsi="Times New Roman" w:cs="Times New Roman"/>
              </w:rPr>
            </w:pPr>
          </w:p>
        </w:tc>
      </w:tr>
      <w:tr w:rsidR="001860DE" w:rsidRPr="00774CD0" w14:paraId="7018633F" w14:textId="77777777" w:rsidTr="003E0AC1">
        <w:tc>
          <w:tcPr>
            <w:tcW w:w="1035" w:type="dxa"/>
          </w:tcPr>
          <w:p w14:paraId="759CE758" w14:textId="672F76A0" w:rsidR="001860DE" w:rsidRDefault="001860DE" w:rsidP="00466DF7">
            <w:pPr>
              <w:jc w:val="center"/>
              <w:rPr>
                <w:rFonts w:ascii="Times New Roman" w:eastAsia="Arial" w:hAnsi="Times New Roman" w:cs="Times New Roman"/>
                <w:lang w:val="en-GB"/>
              </w:rPr>
            </w:pPr>
            <w:r>
              <w:rPr>
                <w:rFonts w:ascii="Times New Roman" w:eastAsia="Arial" w:hAnsi="Times New Roman" w:cs="Times New Roman"/>
                <w:lang w:val="en-GB"/>
              </w:rPr>
              <w:t>2024-09-30</w:t>
            </w:r>
          </w:p>
        </w:tc>
        <w:tc>
          <w:tcPr>
            <w:tcW w:w="7607" w:type="dxa"/>
          </w:tcPr>
          <w:p w14:paraId="1F642344" w14:textId="4CD77CAC" w:rsidR="001860DE" w:rsidRPr="006944D4" w:rsidRDefault="001860DE" w:rsidP="00466DF7">
            <w:pPr>
              <w:spacing w:line="276" w:lineRule="auto"/>
              <w:jc w:val="both"/>
              <w:rPr>
                <w:rFonts w:ascii="Times New Roman" w:eastAsia="Arial" w:hAnsi="Times New Roman" w:cs="Times New Roman"/>
              </w:rPr>
            </w:pPr>
            <w:proofErr w:type="spellStart"/>
            <w:r w:rsidRPr="003E0AC1">
              <w:rPr>
                <w:rFonts w:ascii="Times New Roman" w:eastAsia="Arial" w:hAnsi="Times New Roman" w:cs="Times New Roman"/>
                <w:b/>
                <w:bCs/>
              </w:rPr>
              <w:t>Scandi</w:t>
            </w:r>
            <w:proofErr w:type="spellEnd"/>
            <w:r w:rsidRPr="003E0AC1">
              <w:rPr>
                <w:rFonts w:ascii="Times New Roman" w:eastAsia="Arial" w:hAnsi="Times New Roman" w:cs="Times New Roman"/>
                <w:b/>
                <w:bCs/>
              </w:rPr>
              <w:t xml:space="preserve"> Standard įsigijo lietuvišką vištienos produkciją gaminančią įmonę.</w:t>
            </w:r>
            <w:r>
              <w:rPr>
                <w:rFonts w:ascii="Times New Roman" w:eastAsia="Arial" w:hAnsi="Times New Roman" w:cs="Times New Roman"/>
              </w:rPr>
              <w:t xml:space="preserve"> Investicija siekia 23,5 mln. EUR, dar 7 mln. EUR investicijų planuojama vėliau. Įmonės atstovai tarp priežasčių lėmusių investicijas Lietuvoje išskiria</w:t>
            </w:r>
            <w:r w:rsidR="00890762">
              <w:rPr>
                <w:rFonts w:ascii="Times New Roman" w:eastAsia="Arial" w:hAnsi="Times New Roman" w:cs="Times New Roman"/>
              </w:rPr>
              <w:t xml:space="preserve"> mažesnius kaštus bei aukštus produkcijos kokybės standartus.</w:t>
            </w:r>
          </w:p>
        </w:tc>
        <w:tc>
          <w:tcPr>
            <w:tcW w:w="4648" w:type="dxa"/>
          </w:tcPr>
          <w:p w14:paraId="5FA9AAC3" w14:textId="3F2D58A8" w:rsidR="001860DE" w:rsidRDefault="001860DE" w:rsidP="00466DF7">
            <w:pPr>
              <w:jc w:val="center"/>
            </w:pPr>
            <w:hyperlink r:id="rId10" w:history="1">
              <w:proofErr w:type="spellStart"/>
              <w:r w:rsidRPr="001860DE">
                <w:rPr>
                  <w:rStyle w:val="Hyperlink"/>
                </w:rPr>
                <w:t>Scandi</w:t>
              </w:r>
              <w:proofErr w:type="spellEnd"/>
              <w:r w:rsidRPr="001860DE">
                <w:rPr>
                  <w:rStyle w:val="Hyperlink"/>
                </w:rPr>
                <w:t xml:space="preserve"> Standard </w:t>
              </w:r>
              <w:proofErr w:type="spellStart"/>
              <w:r w:rsidRPr="001860DE">
                <w:rPr>
                  <w:rStyle w:val="Hyperlink"/>
                </w:rPr>
                <w:t>handlar</w:t>
              </w:r>
              <w:proofErr w:type="spellEnd"/>
              <w:r w:rsidRPr="001860DE">
                <w:rPr>
                  <w:rStyle w:val="Hyperlink"/>
                </w:rPr>
                <w:t xml:space="preserve"> i </w:t>
              </w:r>
              <w:proofErr w:type="spellStart"/>
              <w:r w:rsidRPr="001860DE">
                <w:rPr>
                  <w:rStyle w:val="Hyperlink"/>
                </w:rPr>
                <w:t>Baltikum</w:t>
              </w:r>
              <w:proofErr w:type="spellEnd"/>
              <w:r w:rsidRPr="001860DE">
                <w:rPr>
                  <w:rStyle w:val="Hyperlink"/>
                </w:rPr>
                <w:t xml:space="preserve"> - </w:t>
              </w:r>
              <w:proofErr w:type="spellStart"/>
              <w:r w:rsidRPr="001860DE">
                <w:rPr>
                  <w:rStyle w:val="Hyperlink"/>
                </w:rPr>
                <w:t>Jordbruksaktuellt</w:t>
              </w:r>
              <w:proofErr w:type="spellEnd"/>
              <w:r w:rsidRPr="001860DE">
                <w:rPr>
                  <w:rStyle w:val="Hyperlink"/>
                </w:rPr>
                <w:t xml:space="preserve"> (ja.se)</w:t>
              </w:r>
            </w:hyperlink>
          </w:p>
        </w:tc>
        <w:tc>
          <w:tcPr>
            <w:tcW w:w="1875" w:type="dxa"/>
          </w:tcPr>
          <w:p w14:paraId="0B08EA7D" w14:textId="77777777" w:rsidR="001860DE" w:rsidRPr="00774CD0" w:rsidRDefault="001860DE" w:rsidP="00466DF7">
            <w:pPr>
              <w:rPr>
                <w:rFonts w:ascii="Times New Roman" w:eastAsia="Arial" w:hAnsi="Times New Roman" w:cs="Times New Roman"/>
              </w:rPr>
            </w:pPr>
          </w:p>
        </w:tc>
      </w:tr>
      <w:tr w:rsidR="00466DF7" w:rsidRPr="00774CD0" w14:paraId="0DA29F06" w14:textId="77777777">
        <w:tc>
          <w:tcPr>
            <w:tcW w:w="15165" w:type="dxa"/>
            <w:gridSpan w:val="4"/>
          </w:tcPr>
          <w:p w14:paraId="4929D141" w14:textId="77777777" w:rsidR="00466DF7" w:rsidRPr="00BA6CE4" w:rsidRDefault="00466DF7" w:rsidP="00466DF7">
            <w:pPr>
              <w:rPr>
                <w:rFonts w:ascii="Times New Roman" w:eastAsia="Arial" w:hAnsi="Times New Roman" w:cs="Times New Roman"/>
              </w:rPr>
            </w:pPr>
            <w:r w:rsidRPr="00BA6CE4">
              <w:rPr>
                <w:rFonts w:ascii="Times New Roman" w:eastAsia="Arial" w:hAnsi="Times New Roman" w:cs="Times New Roman"/>
              </w:rPr>
              <w:t>Bendradarbiavimui mokslinių tyrimų, eksperimentinės plėtros ir inovacijų (MTEPI) srityse</w:t>
            </w:r>
          </w:p>
          <w:p w14:paraId="644D898C" w14:textId="77777777" w:rsidR="00466DF7" w:rsidRPr="00BA6CE4" w:rsidRDefault="00466DF7" w:rsidP="00466DF7">
            <w:pPr>
              <w:rPr>
                <w:rFonts w:ascii="Times New Roman" w:eastAsia="Arial" w:hAnsi="Times New Roman" w:cs="Times New Roman"/>
              </w:rPr>
            </w:pPr>
            <w:r w:rsidRPr="00BA6CE4">
              <w:rPr>
                <w:rFonts w:ascii="Times New Roman" w:eastAsia="Arial" w:hAnsi="Times New Roman" w:cs="Times New Roman"/>
              </w:rPr>
              <w:t>aktuali informacija</w:t>
            </w:r>
          </w:p>
        </w:tc>
      </w:tr>
      <w:tr w:rsidR="00466DF7" w:rsidRPr="00774CD0" w14:paraId="1604E862" w14:textId="77777777" w:rsidTr="003E0AC1">
        <w:tc>
          <w:tcPr>
            <w:tcW w:w="1035" w:type="dxa"/>
          </w:tcPr>
          <w:p w14:paraId="48678A78" w14:textId="7DC00248" w:rsidR="00466DF7" w:rsidRPr="00774CD0" w:rsidRDefault="00466DF7" w:rsidP="00466DF7">
            <w:pPr>
              <w:jc w:val="center"/>
              <w:rPr>
                <w:rFonts w:ascii="Times New Roman" w:eastAsia="Arial" w:hAnsi="Times New Roman" w:cs="Times New Roman"/>
                <w:lang w:val="en-GB"/>
              </w:rPr>
            </w:pPr>
            <w:r w:rsidRPr="00774CD0">
              <w:rPr>
                <w:rFonts w:ascii="Times New Roman" w:eastAsia="Arial" w:hAnsi="Times New Roman" w:cs="Times New Roman"/>
                <w:lang w:val="en-GB"/>
              </w:rPr>
              <w:t>2024-0</w:t>
            </w:r>
            <w:r w:rsidR="00890762">
              <w:rPr>
                <w:rFonts w:ascii="Times New Roman" w:eastAsia="Arial" w:hAnsi="Times New Roman" w:cs="Times New Roman"/>
                <w:lang w:val="en-GB"/>
              </w:rPr>
              <w:t>9</w:t>
            </w:r>
            <w:r w:rsidRPr="00774CD0">
              <w:rPr>
                <w:rFonts w:ascii="Times New Roman" w:eastAsia="Arial" w:hAnsi="Times New Roman" w:cs="Times New Roman"/>
                <w:lang w:val="en-GB"/>
              </w:rPr>
              <w:t>-</w:t>
            </w:r>
            <w:r>
              <w:rPr>
                <w:rFonts w:ascii="Times New Roman" w:eastAsia="Arial" w:hAnsi="Times New Roman" w:cs="Times New Roman"/>
                <w:lang w:val="en-GB"/>
              </w:rPr>
              <w:t>30</w:t>
            </w:r>
          </w:p>
        </w:tc>
        <w:tc>
          <w:tcPr>
            <w:tcW w:w="7607" w:type="dxa"/>
          </w:tcPr>
          <w:p w14:paraId="4737FD34" w14:textId="517432F4" w:rsidR="00466DF7" w:rsidRPr="00890762" w:rsidRDefault="00890762" w:rsidP="00466DF7">
            <w:pPr>
              <w:shd w:val="clear" w:color="auto" w:fill="FFFFFF"/>
              <w:spacing w:line="315" w:lineRule="auto"/>
              <w:jc w:val="both"/>
              <w:rPr>
                <w:rFonts w:ascii="Times New Roman" w:eastAsia="Arial" w:hAnsi="Times New Roman" w:cs="Times New Roman"/>
                <w:b/>
                <w:bCs/>
              </w:rPr>
            </w:pPr>
            <w:r w:rsidRPr="003E0AC1">
              <w:rPr>
                <w:rFonts w:ascii="Times New Roman" w:eastAsia="Arial" w:hAnsi="Times New Roman" w:cs="Times New Roman"/>
                <w:b/>
                <w:bCs/>
              </w:rPr>
              <w:t xml:space="preserve">Spalio 24 d. </w:t>
            </w:r>
            <w:proofErr w:type="spellStart"/>
            <w:r w:rsidRPr="003E0AC1">
              <w:rPr>
                <w:rFonts w:ascii="Times New Roman" w:eastAsia="Arial" w:hAnsi="Times New Roman" w:cs="Times New Roman"/>
                <w:b/>
                <w:bCs/>
              </w:rPr>
              <w:t>Växjö</w:t>
            </w:r>
            <w:proofErr w:type="spellEnd"/>
            <w:r w:rsidRPr="003E0AC1">
              <w:rPr>
                <w:rFonts w:ascii="Times New Roman" w:eastAsia="Arial" w:hAnsi="Times New Roman" w:cs="Times New Roman"/>
                <w:b/>
                <w:bCs/>
              </w:rPr>
              <w:t xml:space="preserve"> mieste vyks </w:t>
            </w:r>
            <w:proofErr w:type="spellStart"/>
            <w:r w:rsidRPr="003E0AC1">
              <w:rPr>
                <w:rFonts w:ascii="Times New Roman" w:eastAsia="Arial" w:hAnsi="Times New Roman" w:cs="Times New Roman"/>
                <w:b/>
                <w:bCs/>
              </w:rPr>
              <w:t>Forest</w:t>
            </w:r>
            <w:proofErr w:type="spellEnd"/>
            <w:r w:rsidRPr="003E0AC1">
              <w:rPr>
                <w:rFonts w:ascii="Times New Roman" w:eastAsia="Arial" w:hAnsi="Times New Roman" w:cs="Times New Roman"/>
                <w:b/>
                <w:bCs/>
              </w:rPr>
              <w:t xml:space="preserve"> 4.0 konferencija.</w:t>
            </w:r>
            <w:r w:rsidRPr="00890762">
              <w:rPr>
                <w:rFonts w:ascii="Times New Roman" w:eastAsia="Arial" w:hAnsi="Times New Roman" w:cs="Times New Roman"/>
              </w:rPr>
              <w:t xml:space="preserve"> Konferencija įgyvendinama bendrame Švedijos ir Lietuvos </w:t>
            </w:r>
            <w:proofErr w:type="spellStart"/>
            <w:r w:rsidRPr="00890762">
              <w:rPr>
                <w:rFonts w:ascii="Times New Roman" w:eastAsia="Arial" w:hAnsi="Times New Roman" w:cs="Times New Roman"/>
              </w:rPr>
              <w:t>Horizont</w:t>
            </w:r>
            <w:proofErr w:type="spellEnd"/>
            <w:r w:rsidRPr="00890762">
              <w:rPr>
                <w:rFonts w:ascii="Times New Roman" w:eastAsia="Arial" w:hAnsi="Times New Roman" w:cs="Times New Roman"/>
              </w:rPr>
              <w:t xml:space="preserve"> projekte </w:t>
            </w:r>
            <w:proofErr w:type="spellStart"/>
            <w:r w:rsidRPr="00890762">
              <w:rPr>
                <w:rFonts w:ascii="Times New Roman" w:eastAsia="Arial" w:hAnsi="Times New Roman" w:cs="Times New Roman"/>
              </w:rPr>
              <w:t>Forest</w:t>
            </w:r>
            <w:proofErr w:type="spellEnd"/>
            <w:r w:rsidRPr="00890762">
              <w:rPr>
                <w:rFonts w:ascii="Times New Roman" w:eastAsia="Arial" w:hAnsi="Times New Roman" w:cs="Times New Roman"/>
              </w:rPr>
              <w:t xml:space="preserve"> 4.0, kurį vykdo Švedijos </w:t>
            </w:r>
            <w:proofErr w:type="spellStart"/>
            <w:r w:rsidRPr="00890762">
              <w:rPr>
                <w:rFonts w:ascii="Times New Roman" w:eastAsia="Arial" w:hAnsi="Times New Roman" w:cs="Times New Roman"/>
              </w:rPr>
              <w:t>Linne</w:t>
            </w:r>
            <w:proofErr w:type="spellEnd"/>
            <w:r w:rsidRPr="00890762">
              <w:rPr>
                <w:rFonts w:ascii="Times New Roman" w:eastAsia="Arial" w:hAnsi="Times New Roman" w:cs="Times New Roman"/>
              </w:rPr>
              <w:t xml:space="preserve"> universitetas kartu su VDU ir KTU.</w:t>
            </w:r>
          </w:p>
        </w:tc>
        <w:tc>
          <w:tcPr>
            <w:tcW w:w="4648" w:type="dxa"/>
          </w:tcPr>
          <w:p w14:paraId="49F9850A" w14:textId="06151F01" w:rsidR="00466DF7" w:rsidRDefault="00890762" w:rsidP="00466DF7">
            <w:pPr>
              <w:jc w:val="center"/>
            </w:pPr>
            <w:hyperlink r:id="rId11" w:history="1">
              <w:r w:rsidRPr="00AF51E8">
                <w:rPr>
                  <w:rStyle w:val="Hyperlink"/>
                </w:rPr>
                <w:t>https://lnu.se/mot-linneuniversitetet/aktuellt/kalender/2024/konferenser/forest-4.0-conference-24-oktober/</w:t>
              </w:r>
            </w:hyperlink>
            <w:r>
              <w:t xml:space="preserve"> </w:t>
            </w:r>
          </w:p>
        </w:tc>
        <w:tc>
          <w:tcPr>
            <w:tcW w:w="1875" w:type="dxa"/>
          </w:tcPr>
          <w:p w14:paraId="04719F9C" w14:textId="77777777" w:rsidR="00466DF7" w:rsidRPr="00774CD0" w:rsidRDefault="00466DF7" w:rsidP="00466DF7">
            <w:pPr>
              <w:rPr>
                <w:rFonts w:ascii="Times New Roman" w:eastAsia="Arial" w:hAnsi="Times New Roman" w:cs="Times New Roman"/>
              </w:rPr>
            </w:pPr>
          </w:p>
        </w:tc>
      </w:tr>
      <w:tr w:rsidR="00466DF7" w:rsidRPr="00774CD0" w14:paraId="62C4AD6E" w14:textId="77777777">
        <w:tc>
          <w:tcPr>
            <w:tcW w:w="15165" w:type="dxa"/>
            <w:gridSpan w:val="4"/>
          </w:tcPr>
          <w:p w14:paraId="7B8DFBA0" w14:textId="77777777" w:rsidR="00466DF7" w:rsidRPr="00BA6CE4" w:rsidRDefault="00466DF7" w:rsidP="00466DF7">
            <w:pPr>
              <w:rPr>
                <w:rFonts w:ascii="Times New Roman" w:eastAsia="Arial" w:hAnsi="Times New Roman" w:cs="Times New Roman"/>
              </w:rPr>
            </w:pPr>
          </w:p>
          <w:p w14:paraId="10FB31A6" w14:textId="77777777" w:rsidR="00466DF7" w:rsidRPr="00BA6CE4" w:rsidRDefault="00466DF7" w:rsidP="00466DF7">
            <w:pPr>
              <w:rPr>
                <w:rFonts w:ascii="Times New Roman" w:eastAsia="Arial" w:hAnsi="Times New Roman" w:cs="Times New Roman"/>
              </w:rPr>
            </w:pPr>
            <w:r w:rsidRPr="00BA6CE4">
              <w:rPr>
                <w:rFonts w:ascii="Times New Roman" w:eastAsia="Arial" w:hAnsi="Times New Roman" w:cs="Times New Roman"/>
              </w:rPr>
              <w:t>Lietuvos ekonominiam ir energetiniam saugumui aktuali informacija</w:t>
            </w:r>
          </w:p>
          <w:p w14:paraId="0FAC5EFC" w14:textId="77777777" w:rsidR="00466DF7" w:rsidRPr="00BA6CE4" w:rsidRDefault="00466DF7" w:rsidP="00466DF7">
            <w:pPr>
              <w:rPr>
                <w:rFonts w:ascii="Times New Roman" w:eastAsia="Arial" w:hAnsi="Times New Roman" w:cs="Times New Roman"/>
              </w:rPr>
            </w:pPr>
          </w:p>
        </w:tc>
      </w:tr>
      <w:tr w:rsidR="00466DF7" w:rsidRPr="00774CD0" w14:paraId="35A4F560" w14:textId="77777777" w:rsidTr="003E0AC1">
        <w:tc>
          <w:tcPr>
            <w:tcW w:w="1035" w:type="dxa"/>
          </w:tcPr>
          <w:p w14:paraId="0D0B430D" w14:textId="1334B499" w:rsidR="00466DF7" w:rsidRPr="00774CD0" w:rsidRDefault="00466DF7" w:rsidP="00466DF7">
            <w:pPr>
              <w:jc w:val="center"/>
              <w:rPr>
                <w:rFonts w:ascii="Times New Roman" w:eastAsia="Arial" w:hAnsi="Times New Roman" w:cs="Times New Roman"/>
                <w:lang w:val="en-GB"/>
              </w:rPr>
            </w:pPr>
            <w:r>
              <w:rPr>
                <w:rFonts w:ascii="Times New Roman" w:eastAsia="Arial" w:hAnsi="Times New Roman" w:cs="Times New Roman"/>
                <w:lang w:val="en-GB"/>
              </w:rPr>
              <w:t>2024-09-02</w:t>
            </w:r>
          </w:p>
        </w:tc>
        <w:tc>
          <w:tcPr>
            <w:tcW w:w="7607" w:type="dxa"/>
          </w:tcPr>
          <w:p w14:paraId="39B0D4E2" w14:textId="6B2A26B3" w:rsidR="00466DF7" w:rsidRPr="004567C9" w:rsidRDefault="00466DF7" w:rsidP="00466DF7">
            <w:pPr>
              <w:shd w:val="clear" w:color="auto" w:fill="FFFFFF"/>
              <w:spacing w:line="276" w:lineRule="auto"/>
              <w:jc w:val="both"/>
              <w:rPr>
                <w:rFonts w:ascii="Times New Roman" w:eastAsia="Arial" w:hAnsi="Times New Roman" w:cs="Times New Roman"/>
              </w:rPr>
            </w:pPr>
            <w:r w:rsidRPr="003E0AC1">
              <w:rPr>
                <w:rFonts w:ascii="Times New Roman" w:eastAsia="Arial" w:hAnsi="Times New Roman" w:cs="Times New Roman"/>
                <w:b/>
                <w:bCs/>
              </w:rPr>
              <w:t xml:space="preserve">Valstybinė energetikos įmonė </w:t>
            </w:r>
            <w:proofErr w:type="spellStart"/>
            <w:r w:rsidRPr="003E0AC1">
              <w:rPr>
                <w:rFonts w:ascii="Times New Roman" w:eastAsia="Arial" w:hAnsi="Times New Roman" w:cs="Times New Roman"/>
                <w:b/>
                <w:bCs/>
              </w:rPr>
              <w:t>Vattenfall</w:t>
            </w:r>
            <w:proofErr w:type="spellEnd"/>
            <w:r w:rsidRPr="003E0AC1">
              <w:rPr>
                <w:rFonts w:ascii="Times New Roman" w:eastAsia="Arial" w:hAnsi="Times New Roman" w:cs="Times New Roman"/>
                <w:b/>
                <w:bCs/>
              </w:rPr>
              <w:t xml:space="preserve"> sustabdė </w:t>
            </w:r>
            <w:proofErr w:type="spellStart"/>
            <w:r w:rsidRPr="003E0AC1">
              <w:rPr>
                <w:rFonts w:ascii="Times New Roman" w:eastAsia="Arial" w:hAnsi="Times New Roman" w:cs="Times New Roman"/>
                <w:b/>
                <w:bCs/>
              </w:rPr>
              <w:t>Kriegers</w:t>
            </w:r>
            <w:proofErr w:type="spellEnd"/>
            <w:r w:rsidRPr="003E0AC1">
              <w:rPr>
                <w:rFonts w:ascii="Times New Roman" w:eastAsia="Arial" w:hAnsi="Times New Roman" w:cs="Times New Roman"/>
                <w:b/>
                <w:bCs/>
              </w:rPr>
              <w:t xml:space="preserve"> </w:t>
            </w:r>
            <w:proofErr w:type="spellStart"/>
            <w:r w:rsidRPr="003E0AC1">
              <w:rPr>
                <w:rFonts w:ascii="Times New Roman" w:eastAsia="Arial" w:hAnsi="Times New Roman" w:cs="Times New Roman"/>
                <w:b/>
                <w:bCs/>
              </w:rPr>
              <w:t>Flak</w:t>
            </w:r>
            <w:proofErr w:type="spellEnd"/>
            <w:r w:rsidRPr="003E0AC1">
              <w:rPr>
                <w:rFonts w:ascii="Times New Roman" w:eastAsia="Arial" w:hAnsi="Times New Roman" w:cs="Times New Roman"/>
                <w:b/>
                <w:bCs/>
              </w:rPr>
              <w:t xml:space="preserve"> jūrinio vėjo parko projekto vystymo darbus.</w:t>
            </w:r>
            <w:r w:rsidRPr="004567C9">
              <w:rPr>
                <w:rFonts w:ascii="Times New Roman" w:eastAsia="Arial" w:hAnsi="Times New Roman" w:cs="Times New Roman"/>
              </w:rPr>
              <w:t xml:space="preserve"> Sprendimas priimtas atsižvelgiant į neseniai Vyriausybės paskelbtą sprendimą nefinansuoti jūrinio vėjo parkų </w:t>
            </w:r>
            <w:r w:rsidRPr="004567C9">
              <w:rPr>
                <w:rFonts w:ascii="Times New Roman" w:eastAsia="Arial" w:hAnsi="Times New Roman" w:cs="Times New Roman"/>
              </w:rPr>
              <w:lastRenderedPageBreak/>
              <w:t xml:space="preserve">jungčių su žemyninių elektros tinklu. </w:t>
            </w:r>
            <w:proofErr w:type="spellStart"/>
            <w:r w:rsidRPr="004567C9">
              <w:rPr>
                <w:rFonts w:ascii="Times New Roman" w:eastAsia="Arial" w:hAnsi="Times New Roman" w:cs="Times New Roman"/>
              </w:rPr>
              <w:t>Vattenfall</w:t>
            </w:r>
            <w:proofErr w:type="spellEnd"/>
            <w:r w:rsidRPr="004567C9">
              <w:rPr>
                <w:rFonts w:ascii="Times New Roman" w:eastAsia="Arial" w:hAnsi="Times New Roman" w:cs="Times New Roman"/>
              </w:rPr>
              <w:t xml:space="preserve"> atstovų teigimu, toks Vyriausybės sprendimas Europos kontekste nėra būdingas ir lemia, kad panašūs projektai galimai bus nepelningi. Todėl, nuo šiol </w:t>
            </w:r>
            <w:proofErr w:type="spellStart"/>
            <w:r w:rsidRPr="004567C9">
              <w:rPr>
                <w:rFonts w:ascii="Times New Roman" w:eastAsia="Arial" w:hAnsi="Times New Roman" w:cs="Times New Roman"/>
              </w:rPr>
              <w:t>Vattenfall</w:t>
            </w:r>
            <w:proofErr w:type="spellEnd"/>
            <w:r w:rsidRPr="004567C9">
              <w:rPr>
                <w:rFonts w:ascii="Times New Roman" w:eastAsia="Arial" w:hAnsi="Times New Roman" w:cs="Times New Roman"/>
              </w:rPr>
              <w:t xml:space="preserve"> dar atsargiau vystys jūrinio vėjo parkų projektus, pažangą juose siejant su konkretaus finansavimo užsitikrinimu. </w:t>
            </w:r>
            <w:proofErr w:type="spellStart"/>
            <w:r w:rsidRPr="004567C9">
              <w:rPr>
                <w:rFonts w:ascii="Times New Roman" w:eastAsia="Arial" w:hAnsi="Times New Roman" w:cs="Times New Roman"/>
              </w:rPr>
              <w:t>Kriegers</w:t>
            </w:r>
            <w:proofErr w:type="spellEnd"/>
            <w:r w:rsidRPr="004567C9">
              <w:rPr>
                <w:rFonts w:ascii="Times New Roman" w:eastAsia="Arial" w:hAnsi="Times New Roman" w:cs="Times New Roman"/>
              </w:rPr>
              <w:t xml:space="preserve"> </w:t>
            </w:r>
            <w:proofErr w:type="spellStart"/>
            <w:r w:rsidRPr="004567C9">
              <w:rPr>
                <w:rFonts w:ascii="Times New Roman" w:eastAsia="Arial" w:hAnsi="Times New Roman" w:cs="Times New Roman"/>
              </w:rPr>
              <w:t>Flak</w:t>
            </w:r>
            <w:proofErr w:type="spellEnd"/>
            <w:r w:rsidRPr="004567C9">
              <w:rPr>
                <w:rFonts w:ascii="Times New Roman" w:eastAsia="Arial" w:hAnsi="Times New Roman" w:cs="Times New Roman"/>
              </w:rPr>
              <w:t xml:space="preserve"> jūrinio vėjo parko projektas buvo laikomas pažangiausiu Švedijoje, jį turėjo sudaryti 35-50 vėjo turbinų, kurios generuotų per 2,7 </w:t>
            </w:r>
            <w:proofErr w:type="spellStart"/>
            <w:r w:rsidRPr="004567C9">
              <w:rPr>
                <w:rFonts w:ascii="Times New Roman" w:eastAsia="Arial" w:hAnsi="Times New Roman" w:cs="Times New Roman"/>
              </w:rPr>
              <w:t>TWh</w:t>
            </w:r>
            <w:proofErr w:type="spellEnd"/>
            <w:r w:rsidRPr="004567C9">
              <w:rPr>
                <w:rFonts w:ascii="Times New Roman" w:eastAsia="Arial" w:hAnsi="Times New Roman" w:cs="Times New Roman"/>
              </w:rPr>
              <w:t xml:space="preserve"> per metus. </w:t>
            </w:r>
          </w:p>
          <w:p w14:paraId="0417F735" w14:textId="3205E6D5" w:rsidR="00466DF7" w:rsidRPr="009D551E" w:rsidRDefault="00466DF7" w:rsidP="00466DF7">
            <w:pPr>
              <w:shd w:val="clear" w:color="auto" w:fill="FFFFFF"/>
              <w:spacing w:line="276" w:lineRule="auto"/>
              <w:jc w:val="both"/>
              <w:rPr>
                <w:rFonts w:ascii="Times New Roman" w:eastAsia="Arial" w:hAnsi="Times New Roman" w:cs="Times New Roman"/>
              </w:rPr>
            </w:pPr>
          </w:p>
        </w:tc>
        <w:tc>
          <w:tcPr>
            <w:tcW w:w="4648" w:type="dxa"/>
          </w:tcPr>
          <w:p w14:paraId="2673698C" w14:textId="58A990BF" w:rsidR="00466DF7" w:rsidRDefault="00466DF7" w:rsidP="00466DF7">
            <w:pPr>
              <w:jc w:val="center"/>
            </w:pPr>
            <w:hyperlink r:id="rId12" w:history="1">
              <w:proofErr w:type="spellStart"/>
              <w:r w:rsidRPr="004567C9">
                <w:rPr>
                  <w:rStyle w:val="Hyperlink"/>
                </w:rPr>
                <w:t>Vattenfall</w:t>
              </w:r>
              <w:proofErr w:type="spellEnd"/>
              <w:r w:rsidRPr="004567C9">
                <w:rPr>
                  <w:rStyle w:val="Hyperlink"/>
                </w:rPr>
                <w:t xml:space="preserve"> </w:t>
              </w:r>
              <w:proofErr w:type="spellStart"/>
              <w:r w:rsidRPr="004567C9">
                <w:rPr>
                  <w:rStyle w:val="Hyperlink"/>
                </w:rPr>
                <w:t>pausar</w:t>
              </w:r>
              <w:proofErr w:type="spellEnd"/>
              <w:r w:rsidRPr="004567C9">
                <w:rPr>
                  <w:rStyle w:val="Hyperlink"/>
                </w:rPr>
                <w:t xml:space="preserve"> </w:t>
              </w:r>
              <w:proofErr w:type="spellStart"/>
              <w:r w:rsidRPr="004567C9">
                <w:rPr>
                  <w:rStyle w:val="Hyperlink"/>
                </w:rPr>
                <w:t>vindkraftpark</w:t>
              </w:r>
              <w:proofErr w:type="spellEnd"/>
              <w:r w:rsidRPr="004567C9">
                <w:rPr>
                  <w:rStyle w:val="Hyperlink"/>
                </w:rPr>
                <w:t xml:space="preserve"> - "</w:t>
              </w:r>
              <w:proofErr w:type="spellStart"/>
              <w:r w:rsidRPr="004567C9">
                <w:rPr>
                  <w:rStyle w:val="Hyperlink"/>
                </w:rPr>
                <w:t>inte</w:t>
              </w:r>
              <w:proofErr w:type="spellEnd"/>
              <w:r w:rsidRPr="004567C9">
                <w:rPr>
                  <w:rStyle w:val="Hyperlink"/>
                </w:rPr>
                <w:t xml:space="preserve"> </w:t>
              </w:r>
              <w:proofErr w:type="spellStart"/>
              <w:r w:rsidRPr="004567C9">
                <w:rPr>
                  <w:rStyle w:val="Hyperlink"/>
                </w:rPr>
                <w:t>lönsamt</w:t>
              </w:r>
              <w:proofErr w:type="spellEnd"/>
              <w:r w:rsidRPr="004567C9">
                <w:rPr>
                  <w:rStyle w:val="Hyperlink"/>
                </w:rPr>
                <w:t>" - TT (omni.se)</w:t>
              </w:r>
            </w:hyperlink>
          </w:p>
        </w:tc>
        <w:tc>
          <w:tcPr>
            <w:tcW w:w="1875" w:type="dxa"/>
          </w:tcPr>
          <w:p w14:paraId="34A4E9AA" w14:textId="77777777" w:rsidR="00466DF7" w:rsidRPr="00774CD0" w:rsidRDefault="00466DF7" w:rsidP="00466DF7">
            <w:pPr>
              <w:rPr>
                <w:rFonts w:ascii="Times New Roman" w:eastAsia="Arial" w:hAnsi="Times New Roman" w:cs="Times New Roman"/>
              </w:rPr>
            </w:pPr>
          </w:p>
        </w:tc>
      </w:tr>
      <w:tr w:rsidR="00466DF7" w:rsidRPr="00774CD0" w14:paraId="7D7D8BC7" w14:textId="77777777" w:rsidTr="003E0AC1">
        <w:tc>
          <w:tcPr>
            <w:tcW w:w="1035" w:type="dxa"/>
          </w:tcPr>
          <w:p w14:paraId="47A1E157" w14:textId="5B9C3972" w:rsidR="00466DF7" w:rsidRPr="00774CD0" w:rsidRDefault="00466DF7" w:rsidP="00466DF7">
            <w:pPr>
              <w:jc w:val="center"/>
              <w:rPr>
                <w:rFonts w:ascii="Times New Roman" w:eastAsia="Arial" w:hAnsi="Times New Roman" w:cs="Times New Roman"/>
                <w:lang w:val="en-GB"/>
              </w:rPr>
            </w:pPr>
            <w:r>
              <w:rPr>
                <w:rFonts w:ascii="Times New Roman" w:eastAsia="Arial" w:hAnsi="Times New Roman" w:cs="Times New Roman"/>
                <w:lang w:val="en-GB"/>
              </w:rPr>
              <w:t>2024-09-02</w:t>
            </w:r>
          </w:p>
        </w:tc>
        <w:tc>
          <w:tcPr>
            <w:tcW w:w="7607" w:type="dxa"/>
          </w:tcPr>
          <w:p w14:paraId="6CDD08F3" w14:textId="77777777" w:rsidR="00466DF7" w:rsidRPr="004567C9" w:rsidRDefault="00466DF7" w:rsidP="00466DF7">
            <w:pPr>
              <w:shd w:val="clear" w:color="auto" w:fill="FFFFFF"/>
              <w:spacing w:line="276" w:lineRule="auto"/>
              <w:jc w:val="both"/>
              <w:rPr>
                <w:rFonts w:ascii="Times New Roman" w:eastAsia="Arial" w:hAnsi="Times New Roman" w:cs="Times New Roman"/>
              </w:rPr>
            </w:pPr>
            <w:r w:rsidRPr="003E0AC1">
              <w:rPr>
                <w:rFonts w:ascii="Times New Roman" w:eastAsia="Arial" w:hAnsi="Times New Roman" w:cs="Times New Roman"/>
                <w:b/>
                <w:bCs/>
              </w:rPr>
              <w:t>SEB prašė, kad investuos į atsinaujinančios energijos saugyklas.</w:t>
            </w:r>
            <w:r w:rsidRPr="004567C9">
              <w:rPr>
                <w:rFonts w:ascii="Times New Roman" w:eastAsia="Arial" w:hAnsi="Times New Roman" w:cs="Times New Roman"/>
              </w:rPr>
              <w:t xml:space="preserve"> Vienas lyderiaujančių Švedijos bankų kartu su Švedijos energetikos technologijų įmone </w:t>
            </w:r>
            <w:proofErr w:type="spellStart"/>
            <w:r w:rsidRPr="004567C9">
              <w:rPr>
                <w:rFonts w:ascii="Times New Roman" w:eastAsia="Arial" w:hAnsi="Times New Roman" w:cs="Times New Roman"/>
              </w:rPr>
              <w:t>Ingrid</w:t>
            </w:r>
            <w:proofErr w:type="spellEnd"/>
            <w:r w:rsidRPr="004567C9">
              <w:rPr>
                <w:rFonts w:ascii="Times New Roman" w:eastAsia="Arial" w:hAnsi="Times New Roman" w:cs="Times New Roman"/>
              </w:rPr>
              <w:t xml:space="preserve"> </w:t>
            </w:r>
            <w:proofErr w:type="spellStart"/>
            <w:r w:rsidRPr="004567C9">
              <w:rPr>
                <w:rFonts w:ascii="Times New Roman" w:eastAsia="Arial" w:hAnsi="Times New Roman" w:cs="Times New Roman"/>
              </w:rPr>
              <w:t>Capacity</w:t>
            </w:r>
            <w:proofErr w:type="spellEnd"/>
            <w:r w:rsidRPr="004567C9">
              <w:rPr>
                <w:rFonts w:ascii="Times New Roman" w:eastAsia="Arial" w:hAnsi="Times New Roman" w:cs="Times New Roman"/>
              </w:rPr>
              <w:t xml:space="preserve"> ketina pastatyti 13 didelių baterijų saugyklų Švedijoje. Saugyklose būtų kaupiame elektra gaunama iš vėjo ir saulės jėgainių, ji būtų laikoma tol, kol produkcijos lygis yra aukštas ir naudojama tada, kuomet rinkoje yra trūkumas.</w:t>
            </w:r>
          </w:p>
          <w:p w14:paraId="284E99C7" w14:textId="77777777" w:rsidR="00466DF7" w:rsidRPr="00BA6CE4" w:rsidRDefault="00466DF7" w:rsidP="00466DF7">
            <w:pPr>
              <w:shd w:val="clear" w:color="auto" w:fill="FFFFFF"/>
              <w:spacing w:line="276" w:lineRule="auto"/>
              <w:jc w:val="both"/>
              <w:rPr>
                <w:rFonts w:ascii="Times New Roman" w:eastAsia="Arial" w:hAnsi="Times New Roman" w:cs="Times New Roman"/>
                <w:b/>
                <w:bCs/>
              </w:rPr>
            </w:pPr>
          </w:p>
        </w:tc>
        <w:tc>
          <w:tcPr>
            <w:tcW w:w="4648" w:type="dxa"/>
          </w:tcPr>
          <w:p w14:paraId="6A6E3298" w14:textId="4E1E9E4E" w:rsidR="00466DF7" w:rsidRDefault="00466DF7" w:rsidP="00466DF7">
            <w:pPr>
              <w:jc w:val="center"/>
            </w:pPr>
            <w:hyperlink r:id="rId13" w:history="1">
              <w:r w:rsidRPr="004567C9">
                <w:rPr>
                  <w:rStyle w:val="Hyperlink"/>
                </w:rPr>
                <w:t xml:space="preserve">SEB </w:t>
              </w:r>
              <w:proofErr w:type="spellStart"/>
              <w:r w:rsidRPr="004567C9">
                <w:rPr>
                  <w:rStyle w:val="Hyperlink"/>
                </w:rPr>
                <w:t>satsar</w:t>
              </w:r>
              <w:proofErr w:type="spellEnd"/>
              <w:r w:rsidRPr="004567C9">
                <w:rPr>
                  <w:rStyle w:val="Hyperlink"/>
                </w:rPr>
                <w:t xml:space="preserve"> </w:t>
              </w:r>
              <w:proofErr w:type="spellStart"/>
              <w:r w:rsidRPr="004567C9">
                <w:rPr>
                  <w:rStyle w:val="Hyperlink"/>
                </w:rPr>
                <w:t>miljarder</w:t>
              </w:r>
              <w:proofErr w:type="spellEnd"/>
              <w:r w:rsidRPr="004567C9">
                <w:rPr>
                  <w:rStyle w:val="Hyperlink"/>
                </w:rPr>
                <w:t xml:space="preserve"> </w:t>
              </w:r>
              <w:proofErr w:type="spellStart"/>
              <w:r w:rsidRPr="004567C9">
                <w:rPr>
                  <w:rStyle w:val="Hyperlink"/>
                </w:rPr>
                <w:t>på</w:t>
              </w:r>
              <w:proofErr w:type="spellEnd"/>
              <w:r w:rsidRPr="004567C9">
                <w:rPr>
                  <w:rStyle w:val="Hyperlink"/>
                </w:rPr>
                <w:t xml:space="preserve"> 13 stora </w:t>
              </w:r>
              <w:proofErr w:type="spellStart"/>
              <w:r w:rsidRPr="004567C9">
                <w:rPr>
                  <w:rStyle w:val="Hyperlink"/>
                </w:rPr>
                <w:t>energilager</w:t>
              </w:r>
              <w:proofErr w:type="spellEnd"/>
              <w:r w:rsidRPr="004567C9">
                <w:rPr>
                  <w:rStyle w:val="Hyperlink"/>
                </w:rPr>
                <w:t xml:space="preserve"> i Sverige (svd.se)</w:t>
              </w:r>
            </w:hyperlink>
          </w:p>
        </w:tc>
        <w:tc>
          <w:tcPr>
            <w:tcW w:w="1875" w:type="dxa"/>
          </w:tcPr>
          <w:p w14:paraId="2097E01D" w14:textId="77777777" w:rsidR="00466DF7" w:rsidRPr="00774CD0" w:rsidRDefault="00466DF7" w:rsidP="00466DF7">
            <w:pPr>
              <w:rPr>
                <w:rFonts w:ascii="Times New Roman" w:eastAsia="Arial" w:hAnsi="Times New Roman" w:cs="Times New Roman"/>
              </w:rPr>
            </w:pPr>
          </w:p>
        </w:tc>
      </w:tr>
      <w:tr w:rsidR="00466DF7" w:rsidRPr="00774CD0" w14:paraId="6A7C9296" w14:textId="77777777" w:rsidTr="003E0AC1">
        <w:tc>
          <w:tcPr>
            <w:tcW w:w="1035" w:type="dxa"/>
          </w:tcPr>
          <w:p w14:paraId="78F81696" w14:textId="0A3857DB" w:rsidR="00466DF7" w:rsidRDefault="00466DF7" w:rsidP="00466DF7">
            <w:pPr>
              <w:jc w:val="center"/>
              <w:rPr>
                <w:rFonts w:ascii="Times New Roman" w:eastAsia="Arial" w:hAnsi="Times New Roman" w:cs="Times New Roman"/>
                <w:lang w:val="en-GB"/>
              </w:rPr>
            </w:pPr>
            <w:r>
              <w:rPr>
                <w:rFonts w:ascii="Times New Roman" w:eastAsia="Arial" w:hAnsi="Times New Roman" w:cs="Times New Roman"/>
                <w:lang w:val="en-GB"/>
              </w:rPr>
              <w:t>2024-09-09</w:t>
            </w:r>
          </w:p>
        </w:tc>
        <w:tc>
          <w:tcPr>
            <w:tcW w:w="7607" w:type="dxa"/>
          </w:tcPr>
          <w:p w14:paraId="2A26D939" w14:textId="2E8F3012" w:rsidR="00466DF7" w:rsidRPr="00876ABB" w:rsidRDefault="00466DF7" w:rsidP="00466DF7">
            <w:pPr>
              <w:shd w:val="clear" w:color="auto" w:fill="FFFFFF"/>
              <w:spacing w:line="276" w:lineRule="auto"/>
              <w:jc w:val="both"/>
              <w:rPr>
                <w:rFonts w:ascii="Times New Roman" w:eastAsia="Arial" w:hAnsi="Times New Roman" w:cs="Times New Roman"/>
              </w:rPr>
            </w:pPr>
            <w:r w:rsidRPr="003E0AC1">
              <w:rPr>
                <w:rFonts w:ascii="Times New Roman" w:eastAsia="Arial" w:hAnsi="Times New Roman" w:cs="Times New Roman"/>
                <w:b/>
                <w:bCs/>
              </w:rPr>
              <w:t>Vyriausybė pristatė finansinių priemonių paketą 2025 m. biudžetui, kuriuo bus siekiama didinti Švedijos elektrifikaciją ir spartinti žaliąjį perėjimą.</w:t>
            </w:r>
            <w:r w:rsidRPr="00876ABB">
              <w:rPr>
                <w:rFonts w:ascii="Times New Roman" w:eastAsia="Arial" w:hAnsi="Times New Roman" w:cs="Times New Roman"/>
              </w:rPr>
              <w:t xml:space="preserve"> Bendra siūlomų finansinių priemonių vertė sieks 87 mln. EUR, jos bus paskirstytos investicijos į Švedijos elektros energijos tinklo pajėgumų didinimą, kompensacijas savivaldybėms už vėjo energetikos plėtra, investicijoms į pilotinius AE projektus ir kitoms priemonėmis, kuriomis būtų skatinamas žaliasis perėjimas. Investicijos į Švedijos elektros energijos tinklą numatomos iki pat 2035 m., planuojama, kad 2025 m. bus investuota 8,73 mln. EUR, 2026 m. 17,46 mln. EUR, o nuo 2027 m. iki 2035 m. kasmet po 34,91 mln. EUR. Papildomai, kasmet bus skiriama 800 tūkst. EUR investicijų į elektros tinklą koordinavimui, bus siekiama, kad priimami sprendimai būtų pagrįsti, o investicijos skirtos ten, kur labiausiai reikia. Ketinama didinti ir investicijas į energetikos srities mokslinius tyrimus, kitais metais tam bus </w:t>
            </w:r>
            <w:r w:rsidRPr="00876ABB">
              <w:rPr>
                <w:rFonts w:ascii="Times New Roman" w:eastAsia="Arial" w:hAnsi="Times New Roman" w:cs="Times New Roman"/>
              </w:rPr>
              <w:lastRenderedPageBreak/>
              <w:t xml:space="preserve">skiriama   8,73 mln. EUR, 2026 m. ši suma padvigubės, o nuo 2027 m. bus siekiama kasmet tam skirti 21,82 mln. EUR. Kita sritis, kur bus kreipiami finansai yra AE bandomieji projektai. 2025 m. tam bus skiriama 8,73 mln. EUR. Numatoma greitinti ir leidimų, skirtų AE projektams, išdavimą. Šiam tikslui Aplinkosaugos agentūrai nuo 2025 m. bus skiriamas 220 tūkst. EUR didesnis finansavimas, kuris turėtų užtikrinti greitesnį projektų paraiškų vertinimo procesą. </w:t>
            </w:r>
          </w:p>
          <w:p w14:paraId="6087794B" w14:textId="2F682E29" w:rsidR="00466DF7" w:rsidRPr="00876ABB" w:rsidRDefault="00466DF7" w:rsidP="00466DF7">
            <w:pPr>
              <w:shd w:val="clear" w:color="auto" w:fill="FFFFFF"/>
              <w:spacing w:line="276" w:lineRule="auto"/>
              <w:jc w:val="both"/>
              <w:rPr>
                <w:rFonts w:ascii="Times New Roman" w:eastAsia="Arial" w:hAnsi="Times New Roman" w:cs="Times New Roman"/>
              </w:rPr>
            </w:pPr>
            <w:r w:rsidRPr="00876ABB">
              <w:rPr>
                <w:rFonts w:ascii="Times New Roman" w:eastAsia="Arial" w:hAnsi="Times New Roman" w:cs="Times New Roman"/>
              </w:rPr>
              <w:t>Vyriausybė taip pat priėmė sprendimą taikyti finansines paskatas savivaldybėms, kuriose bus vystomi dideli vėjo energetikos projektai. Iki šiol nemažai savivaldybių blokavo vėjo parkų projektus, todėl Vyriausybė ketina 2025 m. skirti 30 mln. EUR išmokoms toms savivaldybėms, kurios jau patvirtino siūlomus projektus.</w:t>
            </w:r>
          </w:p>
        </w:tc>
        <w:tc>
          <w:tcPr>
            <w:tcW w:w="4648" w:type="dxa"/>
          </w:tcPr>
          <w:p w14:paraId="48451560" w14:textId="0D9DE4AE" w:rsidR="00466DF7" w:rsidRDefault="00466DF7" w:rsidP="00466DF7">
            <w:pPr>
              <w:jc w:val="center"/>
            </w:pPr>
            <w:hyperlink r:id="rId14" w:history="1">
              <w:r w:rsidRPr="00E31AFF">
                <w:rPr>
                  <w:rStyle w:val="Hyperlink"/>
                </w:rPr>
                <w:t xml:space="preserve">https://www.regeringen.se/pressmeddelanden/2024/09/satsningar-pa-elektrifiering-och- </w:t>
              </w:r>
              <w:proofErr w:type="spellStart"/>
              <w:r w:rsidRPr="00E31AFF">
                <w:rPr>
                  <w:rStyle w:val="Hyperlink"/>
                </w:rPr>
                <w:t>gron-omstallning</w:t>
              </w:r>
              <w:proofErr w:type="spellEnd"/>
              <w:r w:rsidRPr="00E31AFF">
                <w:rPr>
                  <w:rStyle w:val="Hyperlink"/>
                </w:rPr>
                <w:t>/</w:t>
              </w:r>
            </w:hyperlink>
            <w:r>
              <w:t xml:space="preserve"> </w:t>
            </w:r>
          </w:p>
        </w:tc>
        <w:tc>
          <w:tcPr>
            <w:tcW w:w="1875" w:type="dxa"/>
          </w:tcPr>
          <w:p w14:paraId="1D51E9A1" w14:textId="77777777" w:rsidR="00466DF7" w:rsidRPr="00774CD0" w:rsidRDefault="00466DF7" w:rsidP="00466DF7">
            <w:pPr>
              <w:rPr>
                <w:rFonts w:ascii="Times New Roman" w:eastAsia="Arial" w:hAnsi="Times New Roman" w:cs="Times New Roman"/>
              </w:rPr>
            </w:pPr>
          </w:p>
        </w:tc>
      </w:tr>
      <w:tr w:rsidR="00466DF7" w:rsidRPr="00774CD0" w14:paraId="1615EF0C" w14:textId="77777777" w:rsidTr="003E0AC1">
        <w:tc>
          <w:tcPr>
            <w:tcW w:w="1035" w:type="dxa"/>
          </w:tcPr>
          <w:p w14:paraId="7E5512A3" w14:textId="1F464674" w:rsidR="00466DF7" w:rsidRPr="00876ABB" w:rsidRDefault="00466DF7" w:rsidP="00466DF7">
            <w:pPr>
              <w:jc w:val="center"/>
              <w:rPr>
                <w:rFonts w:ascii="Times New Roman" w:eastAsia="Arial" w:hAnsi="Times New Roman" w:cs="Times New Roman"/>
                <w:lang w:val="sv-SE"/>
              </w:rPr>
            </w:pPr>
            <w:r>
              <w:rPr>
                <w:rFonts w:ascii="Times New Roman" w:eastAsia="Arial" w:hAnsi="Times New Roman" w:cs="Times New Roman"/>
                <w:lang w:val="en-GB"/>
              </w:rPr>
              <w:t>2024-09-</w:t>
            </w:r>
            <w:r>
              <w:rPr>
                <w:rFonts w:ascii="Times New Roman" w:eastAsia="Arial" w:hAnsi="Times New Roman" w:cs="Times New Roman"/>
                <w:lang w:val="sv-SE"/>
              </w:rPr>
              <w:t>16</w:t>
            </w:r>
          </w:p>
        </w:tc>
        <w:tc>
          <w:tcPr>
            <w:tcW w:w="7607" w:type="dxa"/>
          </w:tcPr>
          <w:p w14:paraId="20B8EA3B" w14:textId="32375AE6" w:rsidR="00466DF7" w:rsidRPr="00876ABB" w:rsidRDefault="00466DF7" w:rsidP="00466DF7">
            <w:pPr>
              <w:shd w:val="clear" w:color="auto" w:fill="FFFFFF"/>
              <w:spacing w:line="276" w:lineRule="auto"/>
              <w:jc w:val="both"/>
              <w:rPr>
                <w:rFonts w:ascii="Times New Roman" w:eastAsia="Arial" w:hAnsi="Times New Roman" w:cs="Times New Roman"/>
              </w:rPr>
            </w:pPr>
            <w:r w:rsidRPr="003E0AC1">
              <w:rPr>
                <w:rFonts w:ascii="Times New Roman" w:eastAsia="Arial" w:hAnsi="Times New Roman" w:cs="Times New Roman"/>
                <w:b/>
                <w:bCs/>
              </w:rPr>
              <w:t xml:space="preserve">Valstybinė energetikos įmonės </w:t>
            </w:r>
            <w:proofErr w:type="spellStart"/>
            <w:r w:rsidRPr="003E0AC1">
              <w:rPr>
                <w:rFonts w:ascii="Times New Roman" w:eastAsia="Arial" w:hAnsi="Times New Roman" w:cs="Times New Roman"/>
                <w:b/>
                <w:bCs/>
              </w:rPr>
              <w:t>Vattenfall</w:t>
            </w:r>
            <w:proofErr w:type="spellEnd"/>
            <w:r w:rsidRPr="003E0AC1">
              <w:rPr>
                <w:rFonts w:ascii="Times New Roman" w:eastAsia="Arial" w:hAnsi="Times New Roman" w:cs="Times New Roman"/>
                <w:b/>
                <w:bCs/>
              </w:rPr>
              <w:t xml:space="preserve"> planuoja hidroakumuliacinės elektrinės projektą šiaurės Švedijoje.</w:t>
            </w:r>
            <w:r w:rsidRPr="00876ABB">
              <w:rPr>
                <w:rFonts w:ascii="Times New Roman" w:eastAsia="Arial" w:hAnsi="Times New Roman" w:cs="Times New Roman"/>
              </w:rPr>
              <w:t xml:space="preserve"> Žiniasklaidoje šis projektas įvardijamas kaip būsima didžiausia Švedijos energijos ,,baterija“. Hidroakumuliacinė elektrinė bus statoma ant </w:t>
            </w:r>
            <w:proofErr w:type="spellStart"/>
            <w:r w:rsidRPr="00876ABB">
              <w:rPr>
                <w:rFonts w:ascii="Times New Roman" w:eastAsia="Arial" w:hAnsi="Times New Roman" w:cs="Times New Roman"/>
              </w:rPr>
              <w:t>Juktan</w:t>
            </w:r>
            <w:proofErr w:type="spellEnd"/>
            <w:r w:rsidRPr="00876ABB">
              <w:rPr>
                <w:rFonts w:ascii="Times New Roman" w:eastAsia="Arial" w:hAnsi="Times New Roman" w:cs="Times New Roman"/>
              </w:rPr>
              <w:t xml:space="preserve"> upės, perdarant čia jau nuo 1973 m. pastatytą hidroelektrinę. Tikimąsi, kad ši elektrinė galės pagaminti 315 MW energijos per dieną, taip pat pasižymės elektros energijos kaupimo galimybėmis.</w:t>
            </w:r>
          </w:p>
        </w:tc>
        <w:tc>
          <w:tcPr>
            <w:tcW w:w="4648" w:type="dxa"/>
          </w:tcPr>
          <w:p w14:paraId="70FEAC60" w14:textId="1FC1FBAD" w:rsidR="00466DF7" w:rsidRDefault="00466DF7" w:rsidP="00466DF7">
            <w:pPr>
              <w:jc w:val="center"/>
            </w:pPr>
            <w:hyperlink r:id="rId15" w:history="1">
              <w:proofErr w:type="spellStart"/>
              <w:r w:rsidRPr="00876ABB">
                <w:rPr>
                  <w:rStyle w:val="Hyperlink"/>
                </w:rPr>
                <w:t>Vattenfall</w:t>
              </w:r>
              <w:proofErr w:type="spellEnd"/>
              <w:r w:rsidRPr="00876ABB">
                <w:rPr>
                  <w:rStyle w:val="Hyperlink"/>
                </w:rPr>
                <w:t xml:space="preserve"> </w:t>
              </w:r>
              <w:proofErr w:type="spellStart"/>
              <w:r w:rsidRPr="00876ABB">
                <w:rPr>
                  <w:rStyle w:val="Hyperlink"/>
                </w:rPr>
                <w:t>vill</w:t>
              </w:r>
              <w:proofErr w:type="spellEnd"/>
              <w:r w:rsidRPr="00876ABB">
                <w:rPr>
                  <w:rStyle w:val="Hyperlink"/>
                </w:rPr>
                <w:t xml:space="preserve"> </w:t>
              </w:r>
              <w:proofErr w:type="spellStart"/>
              <w:r w:rsidRPr="00876ABB">
                <w:rPr>
                  <w:rStyle w:val="Hyperlink"/>
                </w:rPr>
                <w:t>bygga</w:t>
              </w:r>
              <w:proofErr w:type="spellEnd"/>
              <w:r w:rsidRPr="00876ABB">
                <w:rPr>
                  <w:rStyle w:val="Hyperlink"/>
                </w:rPr>
                <w:t xml:space="preserve"> ”</w:t>
              </w:r>
              <w:proofErr w:type="spellStart"/>
              <w:r w:rsidRPr="00876ABB">
                <w:rPr>
                  <w:rStyle w:val="Hyperlink"/>
                </w:rPr>
                <w:t>Sveriges</w:t>
              </w:r>
              <w:proofErr w:type="spellEnd"/>
              <w:r w:rsidRPr="00876ABB">
                <w:rPr>
                  <w:rStyle w:val="Hyperlink"/>
                </w:rPr>
                <w:t xml:space="preserve"> </w:t>
              </w:r>
              <w:proofErr w:type="spellStart"/>
              <w:r w:rsidRPr="00876ABB">
                <w:rPr>
                  <w:rStyle w:val="Hyperlink"/>
                </w:rPr>
                <w:t>största</w:t>
              </w:r>
              <w:proofErr w:type="spellEnd"/>
              <w:r w:rsidRPr="00876ABB">
                <w:rPr>
                  <w:rStyle w:val="Hyperlink"/>
                </w:rPr>
                <w:t xml:space="preserve"> </w:t>
              </w:r>
              <w:proofErr w:type="spellStart"/>
              <w:r w:rsidRPr="00876ABB">
                <w:rPr>
                  <w:rStyle w:val="Hyperlink"/>
                </w:rPr>
                <w:t>batteri</w:t>
              </w:r>
              <w:proofErr w:type="spellEnd"/>
              <w:r w:rsidRPr="00876ABB">
                <w:rPr>
                  <w:rStyle w:val="Hyperlink"/>
                </w:rPr>
                <w:t xml:space="preserve">” i </w:t>
              </w:r>
              <w:proofErr w:type="spellStart"/>
              <w:r w:rsidRPr="00876ABB">
                <w:rPr>
                  <w:rStyle w:val="Hyperlink"/>
                </w:rPr>
                <w:t>Juktan</w:t>
              </w:r>
              <w:proofErr w:type="spellEnd"/>
              <w:r w:rsidRPr="00876ABB">
                <w:rPr>
                  <w:rStyle w:val="Hyperlink"/>
                </w:rPr>
                <w:t xml:space="preserve"> - DN.se</w:t>
              </w:r>
            </w:hyperlink>
          </w:p>
        </w:tc>
        <w:tc>
          <w:tcPr>
            <w:tcW w:w="1875" w:type="dxa"/>
          </w:tcPr>
          <w:p w14:paraId="7527E1FF" w14:textId="77777777" w:rsidR="00466DF7" w:rsidRPr="00774CD0" w:rsidRDefault="00466DF7" w:rsidP="00466DF7">
            <w:pPr>
              <w:rPr>
                <w:rFonts w:ascii="Times New Roman" w:eastAsia="Arial" w:hAnsi="Times New Roman" w:cs="Times New Roman"/>
              </w:rPr>
            </w:pPr>
          </w:p>
        </w:tc>
      </w:tr>
      <w:tr w:rsidR="00466DF7" w:rsidRPr="00774CD0" w14:paraId="1D3684F4" w14:textId="77777777" w:rsidTr="003E0AC1">
        <w:tc>
          <w:tcPr>
            <w:tcW w:w="1035" w:type="dxa"/>
          </w:tcPr>
          <w:p w14:paraId="2B82BEA8" w14:textId="4733D070" w:rsidR="00466DF7" w:rsidRPr="00DE3144" w:rsidRDefault="00466DF7" w:rsidP="00466DF7">
            <w:pPr>
              <w:jc w:val="center"/>
              <w:rPr>
                <w:rFonts w:ascii="Times New Roman" w:eastAsia="Arial" w:hAnsi="Times New Roman" w:cs="Times New Roman"/>
                <w:lang w:val="en-US"/>
              </w:rPr>
            </w:pPr>
            <w:r>
              <w:rPr>
                <w:rFonts w:ascii="Times New Roman" w:eastAsia="Arial" w:hAnsi="Times New Roman" w:cs="Times New Roman"/>
                <w:lang w:val="en-GB"/>
              </w:rPr>
              <w:t>2024-09-</w:t>
            </w:r>
            <w:r>
              <w:rPr>
                <w:rFonts w:ascii="Times New Roman" w:eastAsia="Arial" w:hAnsi="Times New Roman" w:cs="Times New Roman"/>
                <w:lang w:val="sv-SE"/>
              </w:rPr>
              <w:t>23</w:t>
            </w:r>
          </w:p>
        </w:tc>
        <w:tc>
          <w:tcPr>
            <w:tcW w:w="7607" w:type="dxa"/>
          </w:tcPr>
          <w:p w14:paraId="0C1387A4" w14:textId="06A269C3" w:rsidR="00466DF7" w:rsidRPr="001A4E78" w:rsidRDefault="00466DF7" w:rsidP="00466DF7">
            <w:pPr>
              <w:shd w:val="clear" w:color="auto" w:fill="FFFFFF"/>
              <w:spacing w:line="276" w:lineRule="auto"/>
              <w:jc w:val="both"/>
              <w:rPr>
                <w:rFonts w:ascii="Times New Roman" w:eastAsia="Arial" w:hAnsi="Times New Roman" w:cs="Times New Roman"/>
              </w:rPr>
            </w:pPr>
            <w:r w:rsidRPr="003E0AC1">
              <w:rPr>
                <w:rFonts w:ascii="Times New Roman" w:eastAsia="Arial" w:hAnsi="Times New Roman" w:cs="Times New Roman"/>
                <w:b/>
                <w:bCs/>
              </w:rPr>
              <w:t xml:space="preserve">Besikartojanti aktualija rugsėjo mėnesį buvo naujienos apie baterijų gamintojos </w:t>
            </w:r>
            <w:proofErr w:type="spellStart"/>
            <w:r w:rsidRPr="003E0AC1">
              <w:rPr>
                <w:rFonts w:ascii="Times New Roman" w:eastAsia="Arial" w:hAnsi="Times New Roman" w:cs="Times New Roman"/>
                <w:b/>
                <w:bCs/>
              </w:rPr>
              <w:t>Northvolt</w:t>
            </w:r>
            <w:proofErr w:type="spellEnd"/>
            <w:r w:rsidRPr="003E0AC1">
              <w:rPr>
                <w:rFonts w:ascii="Times New Roman" w:eastAsia="Arial" w:hAnsi="Times New Roman" w:cs="Times New Roman"/>
                <w:b/>
                <w:bCs/>
              </w:rPr>
              <w:t xml:space="preserve"> finansinius sunkumus.</w:t>
            </w:r>
            <w:r>
              <w:rPr>
                <w:rFonts w:ascii="Times New Roman" w:eastAsia="Arial" w:hAnsi="Times New Roman" w:cs="Times New Roman"/>
              </w:rPr>
              <w:t xml:space="preserve"> Ž</w:t>
            </w:r>
            <w:r w:rsidRPr="001A4E78">
              <w:rPr>
                <w:rFonts w:ascii="Times New Roman" w:eastAsia="Arial" w:hAnsi="Times New Roman" w:cs="Times New Roman"/>
              </w:rPr>
              <w:t xml:space="preserve">iniasklaidoje skelbiama, kad įmonė ketina atleisti 25% darbuotojų, </w:t>
            </w:r>
            <w:proofErr w:type="spellStart"/>
            <w:r w:rsidRPr="001A4E78">
              <w:rPr>
                <w:rFonts w:ascii="Times New Roman" w:eastAsia="Arial" w:hAnsi="Times New Roman" w:cs="Times New Roman"/>
              </w:rPr>
              <w:t>t.y</w:t>
            </w:r>
            <w:proofErr w:type="spellEnd"/>
            <w:r w:rsidRPr="001A4E78">
              <w:rPr>
                <w:rFonts w:ascii="Times New Roman" w:eastAsia="Arial" w:hAnsi="Times New Roman" w:cs="Times New Roman"/>
              </w:rPr>
              <w:t xml:space="preserve">. apie 1,6 tūkst. Tuo pačiu </w:t>
            </w:r>
            <w:proofErr w:type="spellStart"/>
            <w:r w:rsidRPr="001A4E78">
              <w:rPr>
                <w:rFonts w:ascii="Times New Roman" w:eastAsia="Arial" w:hAnsi="Times New Roman" w:cs="Times New Roman"/>
              </w:rPr>
              <w:t>Northvolt</w:t>
            </w:r>
            <w:proofErr w:type="spellEnd"/>
            <w:r w:rsidRPr="001A4E78">
              <w:rPr>
                <w:rFonts w:ascii="Times New Roman" w:eastAsia="Arial" w:hAnsi="Times New Roman" w:cs="Times New Roman"/>
              </w:rPr>
              <w:t xml:space="preserve"> kreipėsi į 23 bankus su prašymu bendrai pasiskolinti 4,4 mlrd. EUR. Žiniasklaidoje įvairūs ekspertai abejoja </w:t>
            </w:r>
            <w:proofErr w:type="spellStart"/>
            <w:r w:rsidRPr="001A4E78">
              <w:rPr>
                <w:rFonts w:ascii="Times New Roman" w:eastAsia="Arial" w:hAnsi="Times New Roman" w:cs="Times New Roman"/>
              </w:rPr>
              <w:t>Northvolt</w:t>
            </w:r>
            <w:proofErr w:type="spellEnd"/>
            <w:r w:rsidRPr="001A4E78">
              <w:rPr>
                <w:rFonts w:ascii="Times New Roman" w:eastAsia="Arial" w:hAnsi="Times New Roman" w:cs="Times New Roman"/>
              </w:rPr>
              <w:t xml:space="preserve"> galimybe išsilaikyti be valstybinės pagalbos. Tačiau energetikos, verslo ir pramonės ministrė E. </w:t>
            </w:r>
            <w:proofErr w:type="spellStart"/>
            <w:r w:rsidRPr="001A4E78">
              <w:rPr>
                <w:rFonts w:ascii="Times New Roman" w:eastAsia="Arial" w:hAnsi="Times New Roman" w:cs="Times New Roman"/>
              </w:rPr>
              <w:t>Busch</w:t>
            </w:r>
            <w:proofErr w:type="spellEnd"/>
            <w:r w:rsidRPr="001A4E78">
              <w:rPr>
                <w:rFonts w:ascii="Times New Roman" w:eastAsia="Arial" w:hAnsi="Times New Roman" w:cs="Times New Roman"/>
              </w:rPr>
              <w:t xml:space="preserve"> tokį scenarijų atmetė ir </w:t>
            </w:r>
            <w:r>
              <w:rPr>
                <w:rFonts w:ascii="Times New Roman" w:eastAsia="Arial" w:hAnsi="Times New Roman" w:cs="Times New Roman"/>
              </w:rPr>
              <w:t>akcentuoja</w:t>
            </w:r>
            <w:r w:rsidRPr="001A4E78">
              <w:rPr>
                <w:rFonts w:ascii="Times New Roman" w:eastAsia="Arial" w:hAnsi="Times New Roman" w:cs="Times New Roman"/>
              </w:rPr>
              <w:t>, kad privati įmonė nebus gelbėjama mokesčių mokėtojų pinigais.</w:t>
            </w:r>
          </w:p>
          <w:p w14:paraId="51D90753" w14:textId="77777777" w:rsidR="00466DF7" w:rsidRPr="00876ABB" w:rsidRDefault="00466DF7" w:rsidP="00466DF7">
            <w:pPr>
              <w:shd w:val="clear" w:color="auto" w:fill="FFFFFF"/>
              <w:spacing w:line="276" w:lineRule="auto"/>
              <w:jc w:val="both"/>
              <w:rPr>
                <w:rFonts w:ascii="Times New Roman" w:eastAsia="Arial" w:hAnsi="Times New Roman" w:cs="Times New Roman"/>
              </w:rPr>
            </w:pPr>
          </w:p>
        </w:tc>
        <w:tc>
          <w:tcPr>
            <w:tcW w:w="4648" w:type="dxa"/>
          </w:tcPr>
          <w:p w14:paraId="0DFAE242" w14:textId="273EC3A6" w:rsidR="00466DF7" w:rsidRPr="00876ABB" w:rsidRDefault="00466DF7" w:rsidP="00466DF7">
            <w:pPr>
              <w:jc w:val="center"/>
            </w:pPr>
            <w:hyperlink r:id="rId16" w:history="1">
              <w:proofErr w:type="spellStart"/>
              <w:r w:rsidRPr="001A4E78">
                <w:rPr>
                  <w:rStyle w:val="Hyperlink"/>
                </w:rPr>
                <w:t>Northvolts</w:t>
              </w:r>
              <w:proofErr w:type="spellEnd"/>
              <w:r w:rsidRPr="001A4E78">
                <w:rPr>
                  <w:rStyle w:val="Hyperlink"/>
                </w:rPr>
                <w:t xml:space="preserve"> </w:t>
              </w:r>
              <w:proofErr w:type="spellStart"/>
              <w:r w:rsidRPr="001A4E78">
                <w:rPr>
                  <w:rStyle w:val="Hyperlink"/>
                </w:rPr>
                <w:t>vd</w:t>
              </w:r>
              <w:proofErr w:type="spellEnd"/>
              <w:r w:rsidRPr="001A4E78">
                <w:rPr>
                  <w:rStyle w:val="Hyperlink"/>
                </w:rPr>
                <w:t xml:space="preserve"> </w:t>
              </w:r>
              <w:proofErr w:type="spellStart"/>
              <w:r w:rsidRPr="001A4E78">
                <w:rPr>
                  <w:rStyle w:val="Hyperlink"/>
                </w:rPr>
                <w:t>kallar</w:t>
              </w:r>
              <w:proofErr w:type="spellEnd"/>
              <w:r w:rsidRPr="001A4E78">
                <w:rPr>
                  <w:rStyle w:val="Hyperlink"/>
                </w:rPr>
                <w:t xml:space="preserve"> </w:t>
              </w:r>
              <w:proofErr w:type="spellStart"/>
              <w:r w:rsidRPr="001A4E78">
                <w:rPr>
                  <w:rStyle w:val="Hyperlink"/>
                </w:rPr>
                <w:t>personalen</w:t>
              </w:r>
              <w:proofErr w:type="spellEnd"/>
              <w:r w:rsidRPr="001A4E78">
                <w:rPr>
                  <w:rStyle w:val="Hyperlink"/>
                </w:rPr>
                <w:t xml:space="preserve"> </w:t>
              </w:r>
              <w:proofErr w:type="spellStart"/>
              <w:r w:rsidRPr="001A4E78">
                <w:rPr>
                  <w:rStyle w:val="Hyperlink"/>
                </w:rPr>
                <w:t>till</w:t>
              </w:r>
              <w:proofErr w:type="spellEnd"/>
              <w:r w:rsidRPr="001A4E78">
                <w:rPr>
                  <w:rStyle w:val="Hyperlink"/>
                </w:rPr>
                <w:t xml:space="preserve"> </w:t>
              </w:r>
              <w:proofErr w:type="spellStart"/>
              <w:r w:rsidRPr="001A4E78">
                <w:rPr>
                  <w:rStyle w:val="Hyperlink"/>
                </w:rPr>
                <w:t>möte</w:t>
              </w:r>
              <w:proofErr w:type="spellEnd"/>
              <w:r w:rsidRPr="001A4E78">
                <w:rPr>
                  <w:rStyle w:val="Hyperlink"/>
                </w:rPr>
                <w:t xml:space="preserve"> - DN.se</w:t>
              </w:r>
            </w:hyperlink>
          </w:p>
        </w:tc>
        <w:tc>
          <w:tcPr>
            <w:tcW w:w="1875" w:type="dxa"/>
          </w:tcPr>
          <w:p w14:paraId="6CC6AF0D" w14:textId="77777777" w:rsidR="00466DF7" w:rsidRPr="00774CD0" w:rsidRDefault="00466DF7" w:rsidP="00466DF7">
            <w:pPr>
              <w:rPr>
                <w:rFonts w:ascii="Times New Roman" w:eastAsia="Arial" w:hAnsi="Times New Roman" w:cs="Times New Roman"/>
              </w:rPr>
            </w:pPr>
          </w:p>
        </w:tc>
      </w:tr>
      <w:tr w:rsidR="006944D4" w:rsidRPr="00774CD0" w14:paraId="06323508" w14:textId="77777777" w:rsidTr="003E0AC1">
        <w:tc>
          <w:tcPr>
            <w:tcW w:w="1035" w:type="dxa"/>
          </w:tcPr>
          <w:p w14:paraId="44D21E78" w14:textId="5C64929F" w:rsidR="006944D4" w:rsidRDefault="00292AF8" w:rsidP="00466DF7">
            <w:pPr>
              <w:jc w:val="center"/>
              <w:rPr>
                <w:rFonts w:ascii="Times New Roman" w:eastAsia="Arial" w:hAnsi="Times New Roman" w:cs="Times New Roman"/>
                <w:lang w:val="en-GB"/>
              </w:rPr>
            </w:pPr>
            <w:r>
              <w:rPr>
                <w:rFonts w:ascii="Times New Roman" w:eastAsia="Arial" w:hAnsi="Times New Roman" w:cs="Times New Roman"/>
                <w:lang w:val="en-GB"/>
              </w:rPr>
              <w:lastRenderedPageBreak/>
              <w:t>2024-09-15</w:t>
            </w:r>
          </w:p>
        </w:tc>
        <w:tc>
          <w:tcPr>
            <w:tcW w:w="7607" w:type="dxa"/>
          </w:tcPr>
          <w:p w14:paraId="25EFD6A4" w14:textId="070EA469" w:rsidR="006944D4" w:rsidRPr="006944D4" w:rsidRDefault="006944D4" w:rsidP="006944D4">
            <w:pPr>
              <w:shd w:val="clear" w:color="auto" w:fill="FFFFFF"/>
              <w:spacing w:line="276" w:lineRule="auto"/>
              <w:jc w:val="both"/>
              <w:rPr>
                <w:rFonts w:ascii="Times New Roman" w:eastAsia="Arial" w:hAnsi="Times New Roman" w:cs="Times New Roman"/>
              </w:rPr>
            </w:pPr>
            <w:r w:rsidRPr="006944D4">
              <w:rPr>
                <w:rFonts w:ascii="Times New Roman" w:eastAsia="Arial" w:hAnsi="Times New Roman" w:cs="Times New Roman"/>
                <w:b/>
                <w:bCs/>
              </w:rPr>
              <w:t>Dalis Švedijos įmonių vis dar veikia Rusijoje</w:t>
            </w:r>
            <w:r w:rsidR="00292AF8" w:rsidRPr="005A46BB">
              <w:rPr>
                <w:rFonts w:ascii="Times New Roman" w:eastAsia="Arial" w:hAnsi="Times New Roman" w:cs="Times New Roman"/>
                <w:b/>
                <w:bCs/>
              </w:rPr>
              <w:t>.</w:t>
            </w:r>
            <w:r w:rsidR="00292AF8">
              <w:rPr>
                <w:rFonts w:ascii="Times New Roman" w:eastAsia="Arial" w:hAnsi="Times New Roman" w:cs="Times New Roman"/>
              </w:rPr>
              <w:t xml:space="preserve"> </w:t>
            </w:r>
            <w:r w:rsidRPr="006944D4">
              <w:rPr>
                <w:rFonts w:ascii="Times New Roman" w:eastAsia="Arial" w:hAnsi="Times New Roman" w:cs="Times New Roman"/>
              </w:rPr>
              <w:t xml:space="preserve">Švedijos dienraščio </w:t>
            </w:r>
            <w:proofErr w:type="spellStart"/>
            <w:r w:rsidRPr="006944D4">
              <w:rPr>
                <w:rFonts w:ascii="Times New Roman" w:eastAsia="Arial" w:hAnsi="Times New Roman" w:cs="Times New Roman"/>
              </w:rPr>
              <w:t>Dagens</w:t>
            </w:r>
            <w:proofErr w:type="spellEnd"/>
            <w:r w:rsidRPr="006944D4">
              <w:rPr>
                <w:rFonts w:ascii="Times New Roman" w:eastAsia="Arial" w:hAnsi="Times New Roman" w:cs="Times New Roman"/>
              </w:rPr>
              <w:t xml:space="preserve"> </w:t>
            </w:r>
            <w:proofErr w:type="spellStart"/>
            <w:r w:rsidRPr="006944D4">
              <w:rPr>
                <w:rFonts w:ascii="Times New Roman" w:eastAsia="Arial" w:hAnsi="Times New Roman" w:cs="Times New Roman"/>
              </w:rPr>
              <w:t>Nyheter</w:t>
            </w:r>
            <w:proofErr w:type="spellEnd"/>
            <w:r w:rsidRPr="006944D4">
              <w:rPr>
                <w:rFonts w:ascii="Times New Roman" w:eastAsia="Arial" w:hAnsi="Times New Roman" w:cs="Times New Roman"/>
              </w:rPr>
              <w:t xml:space="preserve"> atliktas tyrimas rodo, kad Rusijoje dar veikia nemažai švediškų įmonių. Tokia išvada daroma susipažinus su Švedijos prekybos valdybos duomenimis, kuriuo rodo, kad per šiuos metus net 65 švediškos įmonės kreipėsi į Valdybą su prašymu netaikyti joms sankcijų. Dažniausiai prašymai susiję su poreikiu teikti tam tikras paslaugas įmonės padalinių pirkėjams, kaip pavyzdžiai minimos švediškos įmonės </w:t>
            </w:r>
            <w:proofErr w:type="spellStart"/>
            <w:r w:rsidRPr="006944D4">
              <w:rPr>
                <w:rFonts w:ascii="Times New Roman" w:eastAsia="Arial" w:hAnsi="Times New Roman" w:cs="Times New Roman"/>
              </w:rPr>
              <w:t>Oriflame</w:t>
            </w:r>
            <w:proofErr w:type="spellEnd"/>
            <w:r w:rsidRPr="006944D4">
              <w:rPr>
                <w:rFonts w:ascii="Times New Roman" w:eastAsia="Arial" w:hAnsi="Times New Roman" w:cs="Times New Roman"/>
              </w:rPr>
              <w:t xml:space="preserve"> ir Alfa Laval, kurioms leista jų nuosavybę įsigijusiam subjektams suteikti tam tikra paslaugas susijusias su informacinėmis technologijomis. Pabrėžiama, kad aktyviai veikiančių Švedijos įmonių nėra, tos kur dar veikia, vykdo pasitraukimo iš Rusijos rinkos procedūras.</w:t>
            </w:r>
          </w:p>
          <w:p w14:paraId="4BE7ACBF" w14:textId="77777777" w:rsidR="006944D4" w:rsidRPr="006944D4" w:rsidRDefault="006944D4" w:rsidP="00466DF7">
            <w:pPr>
              <w:shd w:val="clear" w:color="auto" w:fill="FFFFFF"/>
              <w:spacing w:line="276" w:lineRule="auto"/>
              <w:jc w:val="both"/>
              <w:rPr>
                <w:rFonts w:ascii="Times New Roman" w:eastAsia="Arial" w:hAnsi="Times New Roman" w:cs="Times New Roman"/>
              </w:rPr>
            </w:pPr>
          </w:p>
        </w:tc>
        <w:tc>
          <w:tcPr>
            <w:tcW w:w="4648" w:type="dxa"/>
          </w:tcPr>
          <w:p w14:paraId="11DAFC59" w14:textId="25D10BAC" w:rsidR="006944D4" w:rsidRDefault="00292AF8" w:rsidP="00466DF7">
            <w:pPr>
              <w:jc w:val="center"/>
            </w:pPr>
            <w:hyperlink r:id="rId17" w:history="1">
              <w:proofErr w:type="spellStart"/>
              <w:r w:rsidRPr="00292AF8">
                <w:rPr>
                  <w:rStyle w:val="Hyperlink"/>
                </w:rPr>
                <w:t>Svenska</w:t>
              </w:r>
              <w:proofErr w:type="spellEnd"/>
              <w:r w:rsidRPr="00292AF8">
                <w:rPr>
                  <w:rStyle w:val="Hyperlink"/>
                </w:rPr>
                <w:t xml:space="preserve"> </w:t>
              </w:r>
              <w:proofErr w:type="spellStart"/>
              <w:r w:rsidRPr="00292AF8">
                <w:rPr>
                  <w:rStyle w:val="Hyperlink"/>
                </w:rPr>
                <w:t>bolag</w:t>
              </w:r>
              <w:proofErr w:type="spellEnd"/>
              <w:r w:rsidRPr="00292AF8">
                <w:rPr>
                  <w:rStyle w:val="Hyperlink"/>
                </w:rPr>
                <w:t xml:space="preserve"> </w:t>
              </w:r>
              <w:proofErr w:type="spellStart"/>
              <w:r w:rsidRPr="00292AF8">
                <w:rPr>
                  <w:rStyle w:val="Hyperlink"/>
                </w:rPr>
                <w:t>är</w:t>
              </w:r>
              <w:proofErr w:type="spellEnd"/>
              <w:r w:rsidRPr="00292AF8">
                <w:rPr>
                  <w:rStyle w:val="Hyperlink"/>
                </w:rPr>
                <w:t xml:space="preserve"> </w:t>
              </w:r>
              <w:proofErr w:type="spellStart"/>
              <w:r w:rsidRPr="00292AF8">
                <w:rPr>
                  <w:rStyle w:val="Hyperlink"/>
                </w:rPr>
                <w:t>kvar</w:t>
              </w:r>
              <w:proofErr w:type="spellEnd"/>
              <w:r w:rsidRPr="00292AF8">
                <w:rPr>
                  <w:rStyle w:val="Hyperlink"/>
                </w:rPr>
                <w:t xml:space="preserve"> i </w:t>
              </w:r>
              <w:proofErr w:type="spellStart"/>
              <w:r w:rsidRPr="00292AF8">
                <w:rPr>
                  <w:rStyle w:val="Hyperlink"/>
                </w:rPr>
                <w:t>Ryssland</w:t>
              </w:r>
              <w:proofErr w:type="spellEnd"/>
              <w:r w:rsidRPr="00292AF8">
                <w:rPr>
                  <w:rStyle w:val="Hyperlink"/>
                </w:rPr>
                <w:t xml:space="preserve"> </w:t>
              </w:r>
              <w:proofErr w:type="spellStart"/>
              <w:r w:rsidRPr="00292AF8">
                <w:rPr>
                  <w:rStyle w:val="Hyperlink"/>
                </w:rPr>
                <w:t>trots</w:t>
              </w:r>
              <w:proofErr w:type="spellEnd"/>
              <w:r w:rsidRPr="00292AF8">
                <w:rPr>
                  <w:rStyle w:val="Hyperlink"/>
                </w:rPr>
                <w:t xml:space="preserve"> </w:t>
              </w:r>
              <w:proofErr w:type="spellStart"/>
              <w:r w:rsidRPr="00292AF8">
                <w:rPr>
                  <w:rStyle w:val="Hyperlink"/>
                </w:rPr>
                <w:t>sanktionerna</w:t>
              </w:r>
              <w:proofErr w:type="spellEnd"/>
              <w:r w:rsidRPr="00292AF8">
                <w:rPr>
                  <w:rStyle w:val="Hyperlink"/>
                </w:rPr>
                <w:t xml:space="preserve"> - DN.se</w:t>
              </w:r>
            </w:hyperlink>
          </w:p>
        </w:tc>
        <w:tc>
          <w:tcPr>
            <w:tcW w:w="1875" w:type="dxa"/>
          </w:tcPr>
          <w:p w14:paraId="190F9775" w14:textId="77777777" w:rsidR="006944D4" w:rsidRPr="00774CD0" w:rsidRDefault="006944D4" w:rsidP="00466DF7">
            <w:pPr>
              <w:rPr>
                <w:rFonts w:ascii="Times New Roman" w:eastAsia="Arial" w:hAnsi="Times New Roman" w:cs="Times New Roman"/>
              </w:rPr>
            </w:pPr>
          </w:p>
        </w:tc>
      </w:tr>
      <w:tr w:rsidR="00466DF7" w:rsidRPr="00774CD0" w14:paraId="22C64E77" w14:textId="77777777">
        <w:tc>
          <w:tcPr>
            <w:tcW w:w="15165" w:type="dxa"/>
            <w:gridSpan w:val="4"/>
          </w:tcPr>
          <w:p w14:paraId="5ED6740B" w14:textId="77777777" w:rsidR="00466DF7" w:rsidRPr="00BA6CE4" w:rsidRDefault="00466DF7" w:rsidP="00466DF7">
            <w:pPr>
              <w:spacing w:line="276" w:lineRule="auto"/>
              <w:rPr>
                <w:rFonts w:ascii="Times New Roman" w:eastAsia="Arial" w:hAnsi="Times New Roman" w:cs="Times New Roman"/>
              </w:rPr>
            </w:pPr>
          </w:p>
          <w:p w14:paraId="642EA8EE" w14:textId="77777777" w:rsidR="00466DF7" w:rsidRPr="00BA6CE4" w:rsidRDefault="00466DF7" w:rsidP="00466DF7">
            <w:pPr>
              <w:spacing w:line="276" w:lineRule="auto"/>
              <w:rPr>
                <w:rFonts w:ascii="Times New Roman" w:eastAsia="Arial" w:hAnsi="Times New Roman" w:cs="Times New Roman"/>
              </w:rPr>
            </w:pPr>
            <w:r w:rsidRPr="00BA6CE4">
              <w:rPr>
                <w:rFonts w:ascii="Times New Roman" w:eastAsia="Arial" w:hAnsi="Times New Roman" w:cs="Times New Roman"/>
              </w:rPr>
              <w:t>Bendra Švedijos ekonominė informacija</w:t>
            </w:r>
          </w:p>
          <w:p w14:paraId="6D13919E" w14:textId="77777777" w:rsidR="00466DF7" w:rsidRPr="00BA6CE4" w:rsidRDefault="00466DF7" w:rsidP="00466DF7">
            <w:pPr>
              <w:spacing w:line="276" w:lineRule="auto"/>
              <w:rPr>
                <w:rFonts w:ascii="Times New Roman" w:eastAsia="Arial" w:hAnsi="Times New Roman" w:cs="Times New Roman"/>
              </w:rPr>
            </w:pPr>
          </w:p>
        </w:tc>
      </w:tr>
      <w:tr w:rsidR="00466DF7" w:rsidRPr="00774CD0" w14:paraId="2F0BF0F4" w14:textId="77777777" w:rsidTr="003E0AC1">
        <w:tc>
          <w:tcPr>
            <w:tcW w:w="1035" w:type="dxa"/>
          </w:tcPr>
          <w:p w14:paraId="2CBCECA5" w14:textId="6486B918" w:rsidR="00466DF7" w:rsidRPr="00774CD0" w:rsidRDefault="00466DF7" w:rsidP="00466DF7">
            <w:pPr>
              <w:jc w:val="center"/>
              <w:rPr>
                <w:rFonts w:ascii="Times New Roman" w:eastAsia="Arial" w:hAnsi="Times New Roman" w:cs="Times New Roman"/>
              </w:rPr>
            </w:pPr>
            <w:r w:rsidRPr="00774CD0">
              <w:rPr>
                <w:rFonts w:ascii="Times New Roman" w:eastAsia="Arial" w:hAnsi="Times New Roman" w:cs="Times New Roman"/>
              </w:rPr>
              <w:t>2024-0</w:t>
            </w:r>
            <w:r>
              <w:rPr>
                <w:rFonts w:ascii="Times New Roman" w:eastAsia="Arial" w:hAnsi="Times New Roman" w:cs="Times New Roman"/>
              </w:rPr>
              <w:t>9</w:t>
            </w:r>
            <w:r w:rsidRPr="00774CD0">
              <w:rPr>
                <w:rFonts w:ascii="Times New Roman" w:eastAsia="Arial" w:hAnsi="Times New Roman" w:cs="Times New Roman"/>
              </w:rPr>
              <w:t>-0</w:t>
            </w:r>
            <w:r>
              <w:rPr>
                <w:rFonts w:ascii="Times New Roman" w:eastAsia="Arial" w:hAnsi="Times New Roman" w:cs="Times New Roman"/>
              </w:rPr>
              <w:t>4</w:t>
            </w:r>
          </w:p>
        </w:tc>
        <w:tc>
          <w:tcPr>
            <w:tcW w:w="7607" w:type="dxa"/>
          </w:tcPr>
          <w:p w14:paraId="37BEF9A7" w14:textId="27178226" w:rsidR="00466DF7" w:rsidRPr="00DE3144" w:rsidRDefault="00466DF7" w:rsidP="00466DF7">
            <w:pPr>
              <w:shd w:val="clear" w:color="auto" w:fill="FFFFFF"/>
              <w:spacing w:line="276" w:lineRule="auto"/>
              <w:jc w:val="both"/>
              <w:rPr>
                <w:rFonts w:ascii="Times New Roman" w:eastAsia="Arial" w:hAnsi="Times New Roman" w:cs="Times New Roman"/>
                <w:highlight w:val="white"/>
              </w:rPr>
            </w:pPr>
            <w:r w:rsidRPr="005A46BB">
              <w:rPr>
                <w:rFonts w:ascii="Times New Roman" w:eastAsia="Arial" w:hAnsi="Times New Roman" w:cs="Times New Roman"/>
                <w:b/>
                <w:bCs/>
                <w:highlight w:val="white"/>
              </w:rPr>
              <w:t>Atliktas viešosios nuomonės tyrimas rodo, kad rugpjūčio mėn. buvo fiksuojamas mažėjantis švedų susirūpinimas ekonomine situacija.</w:t>
            </w:r>
            <w:r>
              <w:rPr>
                <w:rFonts w:ascii="Times New Roman" w:eastAsia="Arial" w:hAnsi="Times New Roman" w:cs="Times New Roman"/>
                <w:highlight w:val="white"/>
              </w:rPr>
              <w:t xml:space="preserve"> Tik </w:t>
            </w:r>
            <w:r w:rsidRPr="00DE3144">
              <w:rPr>
                <w:rFonts w:ascii="Times New Roman" w:eastAsia="Arial" w:hAnsi="Times New Roman" w:cs="Times New Roman"/>
                <w:highlight w:val="white"/>
              </w:rPr>
              <w:t>28% apklaust</w:t>
            </w:r>
            <w:r>
              <w:rPr>
                <w:rFonts w:ascii="Times New Roman" w:eastAsia="Arial" w:hAnsi="Times New Roman" w:cs="Times New Roman"/>
                <w:highlight w:val="white"/>
              </w:rPr>
              <w:t xml:space="preserve">ųjų nerimauja dėl savo finansinės situacijos ir tai yra žemiausias procentas nuo </w:t>
            </w:r>
            <w:r w:rsidRPr="00DE3144">
              <w:rPr>
                <w:rFonts w:ascii="Times New Roman" w:eastAsia="Arial" w:hAnsi="Times New Roman" w:cs="Times New Roman"/>
                <w:highlight w:val="white"/>
              </w:rPr>
              <w:t>2</w:t>
            </w:r>
            <w:r>
              <w:rPr>
                <w:rFonts w:ascii="Times New Roman" w:eastAsia="Arial" w:hAnsi="Times New Roman" w:cs="Times New Roman"/>
                <w:highlight w:val="white"/>
              </w:rPr>
              <w:t>022 m. lapkričio mėn. Ekspertai tikisi, kad pozityvesnis finansinės situacijos vertinimas lems didesnį vartojimą.</w:t>
            </w:r>
          </w:p>
        </w:tc>
        <w:tc>
          <w:tcPr>
            <w:tcW w:w="4648" w:type="dxa"/>
          </w:tcPr>
          <w:p w14:paraId="6A15AB2B" w14:textId="33B52493" w:rsidR="00466DF7" w:rsidRPr="00BA6CE4" w:rsidRDefault="00466DF7" w:rsidP="00466DF7">
            <w:pPr>
              <w:rPr>
                <w:rFonts w:ascii="Times New Roman" w:eastAsia="Arial" w:hAnsi="Times New Roman" w:cs="Times New Roman"/>
              </w:rPr>
            </w:pPr>
            <w:hyperlink r:id="rId18" w:history="1">
              <w:proofErr w:type="spellStart"/>
              <w:r w:rsidRPr="00DE3144">
                <w:rPr>
                  <w:rStyle w:val="Hyperlink"/>
                </w:rPr>
                <w:t>Färre</w:t>
              </w:r>
              <w:proofErr w:type="spellEnd"/>
              <w:r w:rsidRPr="00DE3144">
                <w:rPr>
                  <w:rStyle w:val="Hyperlink"/>
                </w:rPr>
                <w:t xml:space="preserve"> </w:t>
              </w:r>
              <w:proofErr w:type="spellStart"/>
              <w:r w:rsidRPr="00DE3144">
                <w:rPr>
                  <w:rStyle w:val="Hyperlink"/>
                </w:rPr>
                <w:t>väljare</w:t>
              </w:r>
              <w:proofErr w:type="spellEnd"/>
              <w:r w:rsidRPr="00DE3144">
                <w:rPr>
                  <w:rStyle w:val="Hyperlink"/>
                </w:rPr>
                <w:t xml:space="preserve"> </w:t>
              </w:r>
              <w:proofErr w:type="spellStart"/>
              <w:r w:rsidRPr="00DE3144">
                <w:rPr>
                  <w:rStyle w:val="Hyperlink"/>
                </w:rPr>
                <w:t>underkänner</w:t>
              </w:r>
              <w:proofErr w:type="spellEnd"/>
              <w:r w:rsidRPr="00DE3144">
                <w:rPr>
                  <w:rStyle w:val="Hyperlink"/>
                </w:rPr>
                <w:t xml:space="preserve"> </w:t>
              </w:r>
              <w:proofErr w:type="spellStart"/>
              <w:r w:rsidRPr="00DE3144">
                <w:rPr>
                  <w:rStyle w:val="Hyperlink"/>
                </w:rPr>
                <w:t>Elisabeth</w:t>
              </w:r>
              <w:proofErr w:type="spellEnd"/>
              <w:r w:rsidRPr="00DE3144">
                <w:rPr>
                  <w:rStyle w:val="Hyperlink"/>
                </w:rPr>
                <w:t xml:space="preserve"> </w:t>
              </w:r>
              <w:proofErr w:type="spellStart"/>
              <w:r w:rsidRPr="00DE3144">
                <w:rPr>
                  <w:rStyle w:val="Hyperlink"/>
                </w:rPr>
                <w:t>Svantessons</w:t>
              </w:r>
              <w:proofErr w:type="spellEnd"/>
              <w:r w:rsidRPr="00DE3144">
                <w:rPr>
                  <w:rStyle w:val="Hyperlink"/>
                </w:rPr>
                <w:t xml:space="preserve"> </w:t>
              </w:r>
              <w:proofErr w:type="spellStart"/>
              <w:r w:rsidRPr="00DE3144">
                <w:rPr>
                  <w:rStyle w:val="Hyperlink"/>
                </w:rPr>
                <w:t>politik</w:t>
              </w:r>
              <w:proofErr w:type="spellEnd"/>
              <w:r w:rsidRPr="00DE3144">
                <w:rPr>
                  <w:rStyle w:val="Hyperlink"/>
                </w:rPr>
                <w:t xml:space="preserve"> - DN.se</w:t>
              </w:r>
            </w:hyperlink>
          </w:p>
        </w:tc>
        <w:tc>
          <w:tcPr>
            <w:tcW w:w="1875" w:type="dxa"/>
          </w:tcPr>
          <w:p w14:paraId="5C5474A6" w14:textId="77777777" w:rsidR="00466DF7" w:rsidRPr="00774CD0" w:rsidRDefault="00466DF7" w:rsidP="00466DF7">
            <w:pPr>
              <w:rPr>
                <w:rFonts w:ascii="Times New Roman" w:eastAsia="Arial" w:hAnsi="Times New Roman" w:cs="Times New Roman"/>
              </w:rPr>
            </w:pPr>
          </w:p>
        </w:tc>
      </w:tr>
      <w:tr w:rsidR="00466DF7" w:rsidRPr="00774CD0" w14:paraId="7B0B30A0" w14:textId="77777777" w:rsidTr="003E0AC1">
        <w:tc>
          <w:tcPr>
            <w:tcW w:w="1035" w:type="dxa"/>
          </w:tcPr>
          <w:p w14:paraId="782782A6" w14:textId="1E49B598" w:rsidR="00466DF7" w:rsidRPr="00F5324E" w:rsidRDefault="00466DF7" w:rsidP="00466DF7">
            <w:pPr>
              <w:jc w:val="center"/>
              <w:rPr>
                <w:rFonts w:ascii="Times New Roman" w:eastAsia="Arial" w:hAnsi="Times New Roman" w:cs="Times New Roman"/>
                <w:lang w:val="sv-SE"/>
              </w:rPr>
            </w:pPr>
            <w:r w:rsidRPr="00774CD0">
              <w:rPr>
                <w:rFonts w:ascii="Times New Roman" w:eastAsia="Arial" w:hAnsi="Times New Roman" w:cs="Times New Roman"/>
              </w:rPr>
              <w:t>2024-0</w:t>
            </w:r>
            <w:r w:rsidR="00F5324E">
              <w:rPr>
                <w:rFonts w:ascii="Times New Roman" w:eastAsia="Arial" w:hAnsi="Times New Roman" w:cs="Times New Roman"/>
              </w:rPr>
              <w:t>9</w:t>
            </w:r>
            <w:r w:rsidRPr="00774CD0">
              <w:rPr>
                <w:rFonts w:ascii="Times New Roman" w:eastAsia="Arial" w:hAnsi="Times New Roman" w:cs="Times New Roman"/>
              </w:rPr>
              <w:t>-</w:t>
            </w:r>
            <w:r w:rsidR="00F5324E">
              <w:rPr>
                <w:rFonts w:ascii="Times New Roman" w:eastAsia="Arial" w:hAnsi="Times New Roman" w:cs="Times New Roman"/>
                <w:lang w:val="sv-SE"/>
              </w:rPr>
              <w:t>19</w:t>
            </w:r>
          </w:p>
        </w:tc>
        <w:tc>
          <w:tcPr>
            <w:tcW w:w="7607" w:type="dxa"/>
          </w:tcPr>
          <w:p w14:paraId="0F0EF3B0" w14:textId="13DE0312" w:rsidR="00F5324E" w:rsidRPr="005A46BB" w:rsidRDefault="00F5324E" w:rsidP="00F5324E">
            <w:pPr>
              <w:shd w:val="clear" w:color="auto" w:fill="FFFFFF"/>
              <w:spacing w:line="276" w:lineRule="auto"/>
              <w:jc w:val="both"/>
              <w:rPr>
                <w:rFonts w:ascii="Times New Roman" w:eastAsia="Arial" w:hAnsi="Times New Roman" w:cs="Times New Roman"/>
                <w:b/>
                <w:bCs/>
                <w:highlight w:val="white"/>
              </w:rPr>
            </w:pPr>
            <w:r w:rsidRPr="005A46BB">
              <w:rPr>
                <w:rFonts w:ascii="Times New Roman" w:eastAsia="Arial" w:hAnsi="Times New Roman" w:cs="Times New Roman"/>
                <w:b/>
                <w:bCs/>
                <w:highlight w:val="white"/>
              </w:rPr>
              <w:t>Švedijos Vyriausybė pristatė 2025 m. nacionalinio biudžeto projektą.</w:t>
            </w:r>
          </w:p>
          <w:p w14:paraId="70F92702" w14:textId="544EE5FB" w:rsidR="00F5324E" w:rsidRPr="00F5324E" w:rsidRDefault="00F5324E" w:rsidP="00F5324E">
            <w:pPr>
              <w:shd w:val="clear" w:color="auto" w:fill="FFFFFF"/>
              <w:spacing w:line="276" w:lineRule="auto"/>
              <w:jc w:val="both"/>
              <w:rPr>
                <w:rFonts w:ascii="Times New Roman" w:eastAsia="Arial" w:hAnsi="Times New Roman" w:cs="Times New Roman"/>
                <w:highlight w:val="white"/>
              </w:rPr>
            </w:pPr>
            <w:r w:rsidRPr="00F5324E">
              <w:rPr>
                <w:rFonts w:ascii="Times New Roman" w:eastAsia="Arial" w:hAnsi="Times New Roman" w:cs="Times New Roman"/>
                <w:highlight w:val="white"/>
              </w:rPr>
              <w:t xml:space="preserve">Biudžetą pristačiusi finansų ministrė E. </w:t>
            </w:r>
            <w:proofErr w:type="spellStart"/>
            <w:r w:rsidRPr="00F5324E">
              <w:rPr>
                <w:rFonts w:ascii="Times New Roman" w:eastAsia="Arial" w:hAnsi="Times New Roman" w:cs="Times New Roman"/>
                <w:highlight w:val="white"/>
              </w:rPr>
              <w:t>Svantesson</w:t>
            </w:r>
            <w:proofErr w:type="spellEnd"/>
            <w:r w:rsidRPr="00F5324E">
              <w:rPr>
                <w:rFonts w:ascii="Times New Roman" w:eastAsia="Arial" w:hAnsi="Times New Roman" w:cs="Times New Roman"/>
                <w:highlight w:val="white"/>
              </w:rPr>
              <w:t xml:space="preserve"> paskelbė, kad kova prieš infliaciją laimėta, todėl Švedija su būsimu biudžetu keičia vykdomos ekonominės politikos tikslą – nuo siekio suvaržyti infliaciją dėmesys bus telkiamas į investicijas ir pagalbą namų ūkiams, mažinant mokesčius.</w:t>
            </w:r>
          </w:p>
          <w:p w14:paraId="215A7BC1" w14:textId="77777777" w:rsidR="00F5324E" w:rsidRPr="00F5324E" w:rsidRDefault="00F5324E" w:rsidP="00F5324E">
            <w:pPr>
              <w:shd w:val="clear" w:color="auto" w:fill="FFFFFF"/>
              <w:spacing w:line="276" w:lineRule="auto"/>
              <w:jc w:val="both"/>
              <w:rPr>
                <w:rFonts w:ascii="Times New Roman" w:eastAsia="Arial" w:hAnsi="Times New Roman" w:cs="Times New Roman"/>
                <w:b/>
                <w:bCs/>
                <w:highlight w:val="white"/>
                <w:u w:val="single"/>
              </w:rPr>
            </w:pPr>
            <w:r w:rsidRPr="00F5324E">
              <w:rPr>
                <w:rFonts w:ascii="Times New Roman" w:eastAsia="Arial" w:hAnsi="Times New Roman" w:cs="Times New Roman"/>
                <w:b/>
                <w:bCs/>
                <w:highlight w:val="white"/>
                <w:u w:val="single"/>
              </w:rPr>
              <w:t>Pagrindiniai 2025 m. biudžeto elementai:</w:t>
            </w:r>
          </w:p>
          <w:p w14:paraId="274A50B0" w14:textId="77777777" w:rsidR="00F5324E" w:rsidRPr="00F5324E" w:rsidRDefault="00F5324E" w:rsidP="00F5324E">
            <w:pPr>
              <w:shd w:val="clear" w:color="auto" w:fill="FFFFFF"/>
              <w:spacing w:line="276" w:lineRule="auto"/>
              <w:jc w:val="both"/>
              <w:rPr>
                <w:rFonts w:ascii="Times New Roman" w:eastAsia="Arial" w:hAnsi="Times New Roman" w:cs="Times New Roman"/>
                <w:highlight w:val="white"/>
              </w:rPr>
            </w:pPr>
          </w:p>
          <w:p w14:paraId="690644E7" w14:textId="77777777" w:rsidR="00F5324E" w:rsidRPr="00F5324E" w:rsidRDefault="00F5324E" w:rsidP="00F5324E">
            <w:pPr>
              <w:numPr>
                <w:ilvl w:val="0"/>
                <w:numId w:val="1"/>
              </w:numPr>
              <w:shd w:val="clear" w:color="auto" w:fill="FFFFFF"/>
              <w:spacing w:line="276" w:lineRule="auto"/>
              <w:jc w:val="both"/>
              <w:rPr>
                <w:rFonts w:ascii="Times New Roman" w:eastAsia="Arial" w:hAnsi="Times New Roman" w:cs="Times New Roman"/>
                <w:highlight w:val="white"/>
              </w:rPr>
            </w:pPr>
            <w:r w:rsidRPr="00F5324E">
              <w:rPr>
                <w:rFonts w:ascii="Times New Roman" w:eastAsia="Arial" w:hAnsi="Times New Roman" w:cs="Times New Roman"/>
                <w:b/>
                <w:bCs/>
                <w:highlight w:val="white"/>
              </w:rPr>
              <w:lastRenderedPageBreak/>
              <w:t>Biudžetas bus deficitinis</w:t>
            </w:r>
            <w:r w:rsidRPr="00F5324E">
              <w:rPr>
                <w:rFonts w:ascii="Times New Roman" w:eastAsia="Arial" w:hAnsi="Times New Roman" w:cs="Times New Roman"/>
                <w:highlight w:val="white"/>
              </w:rPr>
              <w:t xml:space="preserve">, planuojamas deficitas sieks 4,86 mlrd. EUR (biudžeto išlaidos 126,22 mlrd. EUR, o pajamos 121,45 mlrd. EUR). </w:t>
            </w:r>
          </w:p>
          <w:p w14:paraId="308E515F" w14:textId="77777777" w:rsidR="00F5324E" w:rsidRPr="00F5324E" w:rsidRDefault="00F5324E" w:rsidP="00F5324E">
            <w:pPr>
              <w:numPr>
                <w:ilvl w:val="0"/>
                <w:numId w:val="1"/>
              </w:numPr>
              <w:shd w:val="clear" w:color="auto" w:fill="FFFFFF"/>
              <w:spacing w:line="276" w:lineRule="auto"/>
              <w:jc w:val="both"/>
              <w:rPr>
                <w:rFonts w:ascii="Times New Roman" w:eastAsia="Arial" w:hAnsi="Times New Roman" w:cs="Times New Roman"/>
                <w:highlight w:val="white"/>
              </w:rPr>
            </w:pPr>
            <w:r w:rsidRPr="00F5324E">
              <w:rPr>
                <w:rFonts w:ascii="Times New Roman" w:eastAsia="Arial" w:hAnsi="Times New Roman" w:cs="Times New Roman"/>
                <w:highlight w:val="white"/>
              </w:rPr>
              <w:t xml:space="preserve">Lyginant su 2024 m. biudžetu, 2025 m. </w:t>
            </w:r>
            <w:r w:rsidRPr="00F5324E">
              <w:rPr>
                <w:rFonts w:ascii="Times New Roman" w:eastAsia="Arial" w:hAnsi="Times New Roman" w:cs="Times New Roman"/>
                <w:b/>
                <w:bCs/>
                <w:highlight w:val="white"/>
              </w:rPr>
              <w:t>biudžete didės finansavimas šioms sritimis</w:t>
            </w:r>
            <w:r w:rsidRPr="00F5324E">
              <w:rPr>
                <w:rFonts w:ascii="Times New Roman" w:eastAsia="Arial" w:hAnsi="Times New Roman" w:cs="Times New Roman"/>
                <w:highlight w:val="white"/>
              </w:rPr>
              <w:t>: 1) Gynyba (nuo 11,4 mlrd. EUR didės iki 15,02 mlrd. EUR); 2) Sveikatos apsaugai (nuo 10,34 mlrd. EUR iki 10,6 mlrd. EUR); 3) Transporto infrastruktūrai ( nuo 7,33 mlrd. EUR iki 8,31 mlrd. EUR); 4) Švietimui (nuo 8,66 mlrd. EUR iki 9,19 mlrd. EUR); 5) Darbo politikai (nuo 7,95  mlrd. EUR iki 8,31 mlrd. EUR); 6) Teisėtvarkai (nuo 7,07 mlrd. EUR iki 7,69 mlrd. EUR).</w:t>
            </w:r>
          </w:p>
          <w:p w14:paraId="5ED4823A" w14:textId="77777777" w:rsidR="00F5324E" w:rsidRPr="00F5324E" w:rsidRDefault="00F5324E" w:rsidP="00F5324E">
            <w:pPr>
              <w:numPr>
                <w:ilvl w:val="0"/>
                <w:numId w:val="1"/>
              </w:numPr>
              <w:shd w:val="clear" w:color="auto" w:fill="FFFFFF"/>
              <w:spacing w:line="276" w:lineRule="auto"/>
              <w:jc w:val="both"/>
              <w:rPr>
                <w:rFonts w:ascii="Times New Roman" w:eastAsia="Arial" w:hAnsi="Times New Roman" w:cs="Times New Roman"/>
                <w:highlight w:val="white"/>
              </w:rPr>
            </w:pPr>
            <w:r w:rsidRPr="00F5324E">
              <w:rPr>
                <w:rFonts w:ascii="Times New Roman" w:eastAsia="Arial" w:hAnsi="Times New Roman" w:cs="Times New Roman"/>
                <w:highlight w:val="white"/>
              </w:rPr>
              <w:t xml:space="preserve">2025 m. </w:t>
            </w:r>
            <w:r w:rsidRPr="00F5324E">
              <w:rPr>
                <w:rFonts w:ascii="Times New Roman" w:eastAsia="Arial" w:hAnsi="Times New Roman" w:cs="Times New Roman"/>
                <w:b/>
                <w:bCs/>
                <w:highlight w:val="white"/>
              </w:rPr>
              <w:t>finansavimas mažės šioms sritimis:</w:t>
            </w:r>
            <w:r w:rsidRPr="00F5324E">
              <w:rPr>
                <w:rFonts w:ascii="Times New Roman" w:eastAsia="Arial" w:hAnsi="Times New Roman" w:cs="Times New Roman"/>
                <w:highlight w:val="white"/>
              </w:rPr>
              <w:t xml:space="preserve"> 1) Klimato politikai ir aplinkosaugai (nuo 1,59 mlrd. EUR iki 1,41 mlrd. EUR); 2) Vystomojo bendradarbiavimo programoms (nuo 4,42 mlrd. EUR iki 3,89 mlrd. EUR); </w:t>
            </w:r>
          </w:p>
          <w:p w14:paraId="1994C74F" w14:textId="77777777" w:rsidR="00F5324E" w:rsidRPr="00F5324E" w:rsidRDefault="00F5324E" w:rsidP="00F5324E">
            <w:pPr>
              <w:numPr>
                <w:ilvl w:val="0"/>
                <w:numId w:val="1"/>
              </w:numPr>
              <w:shd w:val="clear" w:color="auto" w:fill="FFFFFF"/>
              <w:spacing w:line="276" w:lineRule="auto"/>
              <w:jc w:val="both"/>
              <w:rPr>
                <w:rFonts w:ascii="Times New Roman" w:eastAsia="Arial" w:hAnsi="Times New Roman" w:cs="Times New Roman"/>
                <w:highlight w:val="white"/>
              </w:rPr>
            </w:pPr>
            <w:r w:rsidRPr="00F5324E">
              <w:rPr>
                <w:rFonts w:ascii="Times New Roman" w:eastAsia="Arial" w:hAnsi="Times New Roman" w:cs="Times New Roman"/>
                <w:b/>
                <w:bCs/>
                <w:highlight w:val="white"/>
              </w:rPr>
              <w:t>Numatyta 2,06 mlrd. EUR</w:t>
            </w:r>
            <w:r w:rsidRPr="00F5324E">
              <w:rPr>
                <w:rFonts w:ascii="Times New Roman" w:eastAsia="Arial" w:hAnsi="Times New Roman" w:cs="Times New Roman"/>
                <w:highlight w:val="white"/>
              </w:rPr>
              <w:t xml:space="preserve"> </w:t>
            </w:r>
            <w:r w:rsidRPr="00F5324E">
              <w:rPr>
                <w:rFonts w:ascii="Times New Roman" w:eastAsia="Arial" w:hAnsi="Times New Roman" w:cs="Times New Roman"/>
                <w:b/>
                <w:bCs/>
                <w:highlight w:val="white"/>
              </w:rPr>
              <w:t>karinė parama Ukrainai</w:t>
            </w:r>
            <w:r w:rsidRPr="00F5324E">
              <w:rPr>
                <w:rFonts w:ascii="Times New Roman" w:eastAsia="Arial" w:hAnsi="Times New Roman" w:cs="Times New Roman"/>
                <w:highlight w:val="white"/>
              </w:rPr>
              <w:t>;</w:t>
            </w:r>
          </w:p>
          <w:p w14:paraId="7BAEEC2D" w14:textId="77777777" w:rsidR="00F5324E" w:rsidRPr="00F5324E" w:rsidRDefault="00F5324E" w:rsidP="00F5324E">
            <w:pPr>
              <w:numPr>
                <w:ilvl w:val="0"/>
                <w:numId w:val="1"/>
              </w:numPr>
              <w:shd w:val="clear" w:color="auto" w:fill="FFFFFF"/>
              <w:spacing w:line="276" w:lineRule="auto"/>
              <w:jc w:val="both"/>
              <w:rPr>
                <w:rFonts w:ascii="Times New Roman" w:eastAsia="Arial" w:hAnsi="Times New Roman" w:cs="Times New Roman"/>
                <w:highlight w:val="white"/>
              </w:rPr>
            </w:pPr>
            <w:r w:rsidRPr="00F5324E">
              <w:rPr>
                <w:rFonts w:ascii="Times New Roman" w:eastAsia="Arial" w:hAnsi="Times New Roman" w:cs="Times New Roman"/>
                <w:highlight w:val="white"/>
              </w:rPr>
              <w:t xml:space="preserve">Atskirai </w:t>
            </w:r>
            <w:r w:rsidRPr="00F5324E">
              <w:rPr>
                <w:rFonts w:ascii="Times New Roman" w:eastAsia="Arial" w:hAnsi="Times New Roman" w:cs="Times New Roman"/>
                <w:b/>
                <w:bCs/>
                <w:highlight w:val="white"/>
              </w:rPr>
              <w:t>numatyta 5,3 mlrd. EUR įvairioms reformoms</w:t>
            </w:r>
            <w:r w:rsidRPr="00F5324E">
              <w:rPr>
                <w:rFonts w:ascii="Times New Roman" w:eastAsia="Arial" w:hAnsi="Times New Roman" w:cs="Times New Roman"/>
                <w:highlight w:val="white"/>
              </w:rPr>
              <w:t xml:space="preserve">. Daugiausiai iš šių lėšų (2,47 mlrd. EUR) bus skiriama mokesčių mažinimui. Vyriausybės teigimu, 2025 m. biudžeto pagrindinis tikslas yra didinti namų ūkių vartojimą, todėl mokestinėmis reformomis bus siekiama užtikrinti, kad namų ūkių perkamoji galia didėtų. Daugiausiai finansų bus skiriama vidutines pajamas uždirbantiems, jie kas mėnesį mokės vidutiniškai 22,1 EUR mažesnius mokesčius. </w:t>
            </w:r>
          </w:p>
          <w:p w14:paraId="17471D38" w14:textId="34B65865" w:rsidR="00466DF7" w:rsidRPr="00F5324E" w:rsidRDefault="00466DF7" w:rsidP="00466DF7">
            <w:pPr>
              <w:shd w:val="clear" w:color="auto" w:fill="FFFFFF"/>
              <w:spacing w:line="276" w:lineRule="auto"/>
              <w:jc w:val="both"/>
              <w:rPr>
                <w:rFonts w:ascii="Times New Roman" w:eastAsia="Arial" w:hAnsi="Times New Roman" w:cs="Times New Roman"/>
                <w:highlight w:val="white"/>
              </w:rPr>
            </w:pPr>
          </w:p>
        </w:tc>
        <w:tc>
          <w:tcPr>
            <w:tcW w:w="4648" w:type="dxa"/>
          </w:tcPr>
          <w:p w14:paraId="546816AC" w14:textId="77777777" w:rsidR="00F5324E" w:rsidRPr="00F5324E" w:rsidRDefault="00F5324E" w:rsidP="00F5324E">
            <w:pPr>
              <w:shd w:val="clear" w:color="auto" w:fill="FFFFFF"/>
              <w:spacing w:line="276" w:lineRule="auto"/>
              <w:jc w:val="both"/>
            </w:pPr>
            <w:hyperlink r:id="rId19" w:history="1">
              <w:r w:rsidRPr="00F5324E">
                <w:rPr>
                  <w:rStyle w:val="Hyperlink"/>
                </w:rPr>
                <w:t>https://www.government.se/press-releases/2024/09/a-budget-for-a-more-prosperous-and-safer-sweden/</w:t>
              </w:r>
            </w:hyperlink>
          </w:p>
          <w:p w14:paraId="1E38B786" w14:textId="4FDD4FDF" w:rsidR="00466DF7" w:rsidRPr="00BA6CE4" w:rsidRDefault="00466DF7" w:rsidP="00466DF7">
            <w:pPr>
              <w:jc w:val="center"/>
              <w:rPr>
                <w:rFonts w:ascii="Times New Roman" w:eastAsia="Arial" w:hAnsi="Times New Roman" w:cs="Times New Roman"/>
              </w:rPr>
            </w:pPr>
          </w:p>
        </w:tc>
        <w:tc>
          <w:tcPr>
            <w:tcW w:w="1875" w:type="dxa"/>
          </w:tcPr>
          <w:p w14:paraId="00E562C8" w14:textId="77777777" w:rsidR="00466DF7" w:rsidRPr="00774CD0" w:rsidRDefault="00466DF7" w:rsidP="00466DF7">
            <w:pPr>
              <w:rPr>
                <w:rFonts w:ascii="Times New Roman" w:eastAsia="Arial" w:hAnsi="Times New Roman" w:cs="Times New Roman"/>
              </w:rPr>
            </w:pPr>
          </w:p>
        </w:tc>
      </w:tr>
      <w:tr w:rsidR="00466DF7" w:rsidRPr="00774CD0" w14:paraId="257CC901" w14:textId="77777777" w:rsidTr="003E0AC1">
        <w:tc>
          <w:tcPr>
            <w:tcW w:w="1035" w:type="dxa"/>
          </w:tcPr>
          <w:p w14:paraId="77555D23" w14:textId="34FD643D" w:rsidR="00466DF7" w:rsidRPr="00F5324E" w:rsidRDefault="00466DF7" w:rsidP="00466DF7">
            <w:pPr>
              <w:jc w:val="center"/>
              <w:rPr>
                <w:rFonts w:ascii="Times New Roman" w:eastAsia="Arial" w:hAnsi="Times New Roman" w:cs="Times New Roman"/>
                <w:lang w:val="en-US"/>
              </w:rPr>
            </w:pPr>
            <w:r w:rsidRPr="00774CD0">
              <w:rPr>
                <w:rFonts w:ascii="Times New Roman" w:eastAsia="Arial" w:hAnsi="Times New Roman" w:cs="Times New Roman"/>
                <w:lang w:val="en-GB"/>
              </w:rPr>
              <w:t>2024-0</w:t>
            </w:r>
            <w:r w:rsidR="00F5324E">
              <w:rPr>
                <w:rFonts w:ascii="Times New Roman" w:eastAsia="Arial" w:hAnsi="Times New Roman" w:cs="Times New Roman"/>
                <w:lang w:val="en-GB"/>
              </w:rPr>
              <w:t>9</w:t>
            </w:r>
            <w:r w:rsidR="00F5324E">
              <w:rPr>
                <w:rFonts w:ascii="Times New Roman" w:eastAsia="Arial" w:hAnsi="Times New Roman" w:cs="Times New Roman"/>
                <w:lang w:val="en-US"/>
              </w:rPr>
              <w:t>-19</w:t>
            </w:r>
          </w:p>
        </w:tc>
        <w:tc>
          <w:tcPr>
            <w:tcW w:w="7607" w:type="dxa"/>
          </w:tcPr>
          <w:p w14:paraId="7162D845" w14:textId="77777777" w:rsidR="00F5324E" w:rsidRPr="00F5324E" w:rsidRDefault="00F5324E" w:rsidP="00F5324E">
            <w:pPr>
              <w:shd w:val="clear" w:color="auto" w:fill="FFFFFF"/>
              <w:spacing w:line="276" w:lineRule="auto"/>
              <w:jc w:val="both"/>
              <w:rPr>
                <w:rFonts w:ascii="Times New Roman" w:eastAsia="Arial" w:hAnsi="Times New Roman" w:cs="Times New Roman"/>
                <w:b/>
                <w:bCs/>
              </w:rPr>
            </w:pPr>
            <w:r w:rsidRPr="005A46BB">
              <w:rPr>
                <w:rFonts w:ascii="Times New Roman" w:eastAsia="Arial" w:hAnsi="Times New Roman" w:cs="Times New Roman"/>
                <w:b/>
                <w:bCs/>
              </w:rPr>
              <w:t>Kartu su biudžeto projekto pristatyta ir Švedijos ekonominė situacija bei jos prognozės</w:t>
            </w:r>
            <w:r>
              <w:rPr>
                <w:rFonts w:ascii="Times New Roman" w:eastAsia="Arial" w:hAnsi="Times New Roman" w:cs="Times New Roman"/>
              </w:rPr>
              <w:t xml:space="preserve">. Konstatuota, kad </w:t>
            </w:r>
            <w:r w:rsidRPr="00F5324E">
              <w:rPr>
                <w:rFonts w:ascii="Times New Roman" w:eastAsia="Arial" w:hAnsi="Times New Roman" w:cs="Times New Roman"/>
              </w:rPr>
              <w:t>20</w:t>
            </w:r>
            <w:r>
              <w:rPr>
                <w:rFonts w:ascii="Times New Roman" w:eastAsia="Arial" w:hAnsi="Times New Roman" w:cs="Times New Roman"/>
              </w:rPr>
              <w:t>23 m. buvo recesijos metai.</w:t>
            </w:r>
            <w:r w:rsidRPr="00F5324E">
              <w:rPr>
                <w:rFonts w:ascii="Times New Roman" w:eastAsia="Arial" w:hAnsi="Times New Roman" w:cs="Times New Roman"/>
              </w:rPr>
              <w:t xml:space="preserve"> Tikimąsi, kad blogiausia jau praeityje ir nuo kitų metų Švedijos ekonomikos augs, o nedarbas mažės. Ekonomika jau rodo silpnus atsigavimo ženklus ir tikimąsi, kad kitąmet ji jau augs sparčiau (BVP turėtų augti 2,5%).</w:t>
            </w:r>
            <w:r>
              <w:rPr>
                <w:rFonts w:ascii="Times New Roman" w:eastAsia="Arial" w:hAnsi="Times New Roman" w:cs="Times New Roman"/>
              </w:rPr>
              <w:t xml:space="preserve"> </w:t>
            </w:r>
            <w:r w:rsidRPr="00F5324E">
              <w:rPr>
                <w:rFonts w:ascii="Times New Roman" w:eastAsia="Arial" w:hAnsi="Times New Roman" w:cs="Times New Roman"/>
              </w:rPr>
              <w:t xml:space="preserve">Dėl deficitinio 2025 </w:t>
            </w:r>
            <w:r w:rsidRPr="00F5324E">
              <w:rPr>
                <w:rFonts w:ascii="Times New Roman" w:eastAsia="Arial" w:hAnsi="Times New Roman" w:cs="Times New Roman"/>
              </w:rPr>
              <w:lastRenderedPageBreak/>
              <w:t xml:space="preserve">m. biudžeto augs valstybės skola, ji sieks 33% Švedijos </w:t>
            </w:r>
            <w:proofErr w:type="spellStart"/>
            <w:r w:rsidRPr="00F5324E">
              <w:rPr>
                <w:rFonts w:ascii="Times New Roman" w:eastAsia="Arial" w:hAnsi="Times New Roman" w:cs="Times New Roman"/>
              </w:rPr>
              <w:t>BVP.Nors</w:t>
            </w:r>
            <w:proofErr w:type="spellEnd"/>
            <w:r w:rsidRPr="00F5324E">
              <w:rPr>
                <w:rFonts w:ascii="Times New Roman" w:eastAsia="Arial" w:hAnsi="Times New Roman" w:cs="Times New Roman"/>
              </w:rPr>
              <w:t xml:space="preserve"> infliacija jau suvaldyta, planuojama, kad 2025 m. ji turėtų sumažėti dar labiau ir nesieks 2%. To priežastys – silpna paklausa ekonomikoje ir mažos energijos kainos.</w:t>
            </w:r>
            <w:r>
              <w:rPr>
                <w:rFonts w:ascii="Times New Roman" w:eastAsia="Arial" w:hAnsi="Times New Roman" w:cs="Times New Roman"/>
              </w:rPr>
              <w:t xml:space="preserve"> </w:t>
            </w:r>
            <w:r w:rsidRPr="00F5324E">
              <w:rPr>
                <w:rFonts w:ascii="Times New Roman" w:eastAsia="Arial" w:hAnsi="Times New Roman" w:cs="Times New Roman"/>
                <w:b/>
                <w:bCs/>
                <w:i/>
                <w:iCs/>
              </w:rPr>
              <w:t xml:space="preserve">Švedijos ekonomikos augimo rodikliai 2023-2027 m. </w:t>
            </w:r>
          </w:p>
          <w:p w14:paraId="4E84FCF7" w14:textId="780FD5EF" w:rsidR="00F5324E" w:rsidRDefault="00F5324E" w:rsidP="00F5324E">
            <w:pPr>
              <w:shd w:val="clear" w:color="auto" w:fill="FFFFFF"/>
              <w:spacing w:line="276" w:lineRule="auto"/>
              <w:jc w:val="both"/>
              <w:rPr>
                <w:rFonts w:ascii="Times New Roman" w:eastAsia="Arial" w:hAnsi="Times New Roman" w:cs="Times New Roman"/>
              </w:rPr>
            </w:pPr>
          </w:p>
          <w:p w14:paraId="65027FE7" w14:textId="77777777" w:rsidR="00F5324E" w:rsidRPr="00F5324E" w:rsidRDefault="00F5324E" w:rsidP="00F5324E">
            <w:pPr>
              <w:shd w:val="clear" w:color="auto" w:fill="FFFFFF"/>
              <w:spacing w:line="276" w:lineRule="auto"/>
              <w:jc w:val="both"/>
              <w:rPr>
                <w:rFonts w:ascii="Times New Roman" w:eastAsia="Arial" w:hAnsi="Times New Roman" w:cs="Times New Roman"/>
              </w:rPr>
            </w:pPr>
          </w:p>
          <w:p w14:paraId="3BEE32ED" w14:textId="6E939E95" w:rsidR="00F5324E" w:rsidRPr="00F5324E" w:rsidRDefault="00F5324E" w:rsidP="00F5324E">
            <w:pPr>
              <w:shd w:val="clear" w:color="auto" w:fill="FFFFFF"/>
              <w:spacing w:line="276" w:lineRule="auto"/>
              <w:jc w:val="both"/>
              <w:rPr>
                <w:rFonts w:ascii="Times New Roman" w:eastAsia="Arial" w:hAnsi="Times New Roman" w:cs="Times New Roman"/>
                <w:b/>
                <w:bCs/>
              </w:rPr>
            </w:pPr>
          </w:p>
          <w:tbl>
            <w:tblPr>
              <w:tblpPr w:leftFromText="180" w:rightFromText="180" w:vertAnchor="page" w:horzAnchor="margin" w:tblpY="831"/>
              <w:tblOverlap w:val="never"/>
              <w:tblW w:w="9443" w:type="dxa"/>
              <w:tblCellMar>
                <w:left w:w="0" w:type="dxa"/>
                <w:right w:w="0" w:type="dxa"/>
              </w:tblCellMar>
              <w:tblLook w:val="04A0" w:firstRow="1" w:lastRow="0" w:firstColumn="1" w:lastColumn="0" w:noHBand="0" w:noVBand="1"/>
            </w:tblPr>
            <w:tblGrid>
              <w:gridCol w:w="1573"/>
              <w:gridCol w:w="1574"/>
              <w:gridCol w:w="1574"/>
              <w:gridCol w:w="1574"/>
              <w:gridCol w:w="1574"/>
              <w:gridCol w:w="1574"/>
            </w:tblGrid>
            <w:tr w:rsidR="00F5324E" w:rsidRPr="00F5324E" w14:paraId="771E4F81" w14:textId="77777777" w:rsidTr="00F5324E">
              <w:tc>
                <w:tcPr>
                  <w:tcW w:w="15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248876"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 </w:t>
                  </w:r>
                </w:p>
              </w:tc>
              <w:tc>
                <w:tcPr>
                  <w:tcW w:w="15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93F2F4" w14:textId="77777777" w:rsidR="00F5324E" w:rsidRPr="00F5324E" w:rsidRDefault="00F5324E" w:rsidP="00F5324E">
                  <w:pPr>
                    <w:shd w:val="clear" w:color="auto" w:fill="FFFFFF"/>
                    <w:spacing w:line="276" w:lineRule="auto"/>
                    <w:jc w:val="both"/>
                    <w:rPr>
                      <w:rFonts w:ascii="Times New Roman" w:eastAsia="Arial" w:hAnsi="Times New Roman" w:cs="Times New Roman"/>
                      <w:b/>
                      <w:bCs/>
                    </w:rPr>
                  </w:pPr>
                  <w:r w:rsidRPr="00F5324E">
                    <w:rPr>
                      <w:rFonts w:ascii="Times New Roman" w:eastAsia="Arial" w:hAnsi="Times New Roman" w:cs="Times New Roman"/>
                      <w:b/>
                      <w:bCs/>
                    </w:rPr>
                    <w:t>202</w:t>
                  </w:r>
                  <w:r w:rsidRPr="00F5324E">
                    <w:rPr>
                      <w:rFonts w:ascii="Times New Roman" w:eastAsia="Arial" w:hAnsi="Times New Roman" w:cs="Times New Roman"/>
                      <w:b/>
                      <w:bCs/>
                      <w:lang w:val="sv-SE"/>
                    </w:rPr>
                    <w:t>3</w:t>
                  </w:r>
                  <w:r w:rsidRPr="00F5324E">
                    <w:rPr>
                      <w:rFonts w:ascii="Times New Roman" w:eastAsia="Arial" w:hAnsi="Times New Roman" w:cs="Times New Roman"/>
                      <w:b/>
                      <w:bCs/>
                    </w:rPr>
                    <w:t xml:space="preserve"> m. proc.</w:t>
                  </w:r>
                </w:p>
              </w:tc>
              <w:tc>
                <w:tcPr>
                  <w:tcW w:w="15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DC5D8C" w14:textId="77777777" w:rsidR="00F5324E" w:rsidRPr="00F5324E" w:rsidRDefault="00F5324E" w:rsidP="00F5324E">
                  <w:pPr>
                    <w:shd w:val="clear" w:color="auto" w:fill="FFFFFF"/>
                    <w:spacing w:line="276" w:lineRule="auto"/>
                    <w:jc w:val="both"/>
                    <w:rPr>
                      <w:rFonts w:ascii="Times New Roman" w:eastAsia="Arial" w:hAnsi="Times New Roman" w:cs="Times New Roman"/>
                      <w:b/>
                      <w:bCs/>
                    </w:rPr>
                  </w:pPr>
                  <w:r w:rsidRPr="00F5324E">
                    <w:rPr>
                      <w:rFonts w:ascii="Times New Roman" w:eastAsia="Arial" w:hAnsi="Times New Roman" w:cs="Times New Roman"/>
                      <w:b/>
                      <w:bCs/>
                    </w:rPr>
                    <w:t>2024 m. proc.</w:t>
                  </w:r>
                </w:p>
              </w:tc>
              <w:tc>
                <w:tcPr>
                  <w:tcW w:w="15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FD94B4" w14:textId="77777777" w:rsidR="00F5324E" w:rsidRPr="00F5324E" w:rsidRDefault="00F5324E" w:rsidP="00F5324E">
                  <w:pPr>
                    <w:shd w:val="clear" w:color="auto" w:fill="FFFFFF"/>
                    <w:spacing w:line="276" w:lineRule="auto"/>
                    <w:jc w:val="both"/>
                    <w:rPr>
                      <w:rFonts w:ascii="Times New Roman" w:eastAsia="Arial" w:hAnsi="Times New Roman" w:cs="Times New Roman"/>
                      <w:b/>
                      <w:bCs/>
                    </w:rPr>
                  </w:pPr>
                  <w:r w:rsidRPr="00F5324E">
                    <w:rPr>
                      <w:rFonts w:ascii="Times New Roman" w:eastAsia="Arial" w:hAnsi="Times New Roman" w:cs="Times New Roman"/>
                      <w:b/>
                      <w:bCs/>
                    </w:rPr>
                    <w:t>2025 m. proc.</w:t>
                  </w:r>
                </w:p>
              </w:tc>
              <w:tc>
                <w:tcPr>
                  <w:tcW w:w="15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BD39" w14:textId="77777777" w:rsidR="00F5324E" w:rsidRPr="00F5324E" w:rsidRDefault="00F5324E" w:rsidP="00F5324E">
                  <w:pPr>
                    <w:shd w:val="clear" w:color="auto" w:fill="FFFFFF"/>
                    <w:spacing w:line="276" w:lineRule="auto"/>
                    <w:jc w:val="both"/>
                    <w:rPr>
                      <w:rFonts w:ascii="Times New Roman" w:eastAsia="Arial" w:hAnsi="Times New Roman" w:cs="Times New Roman"/>
                      <w:b/>
                      <w:bCs/>
                    </w:rPr>
                  </w:pPr>
                  <w:r w:rsidRPr="00F5324E">
                    <w:rPr>
                      <w:rFonts w:ascii="Times New Roman" w:eastAsia="Arial" w:hAnsi="Times New Roman" w:cs="Times New Roman"/>
                      <w:b/>
                      <w:bCs/>
                    </w:rPr>
                    <w:t>2026 m. proc.</w:t>
                  </w:r>
                </w:p>
              </w:tc>
              <w:tc>
                <w:tcPr>
                  <w:tcW w:w="1574" w:type="dxa"/>
                  <w:tcBorders>
                    <w:top w:val="single" w:sz="8" w:space="0" w:color="auto"/>
                    <w:left w:val="nil"/>
                    <w:bottom w:val="single" w:sz="8" w:space="0" w:color="auto"/>
                    <w:right w:val="single" w:sz="8" w:space="0" w:color="auto"/>
                  </w:tcBorders>
                  <w:hideMark/>
                </w:tcPr>
                <w:p w14:paraId="2EEDE2B0" w14:textId="77777777" w:rsidR="00F5324E" w:rsidRPr="00F5324E" w:rsidRDefault="00F5324E" w:rsidP="00F5324E">
                  <w:pPr>
                    <w:shd w:val="clear" w:color="auto" w:fill="FFFFFF"/>
                    <w:spacing w:line="276" w:lineRule="auto"/>
                    <w:jc w:val="both"/>
                    <w:rPr>
                      <w:rFonts w:ascii="Times New Roman" w:eastAsia="Arial" w:hAnsi="Times New Roman" w:cs="Times New Roman"/>
                      <w:b/>
                      <w:bCs/>
                    </w:rPr>
                  </w:pPr>
                  <w:r w:rsidRPr="00F5324E">
                    <w:rPr>
                      <w:rFonts w:ascii="Times New Roman" w:eastAsia="Arial" w:hAnsi="Times New Roman" w:cs="Times New Roman"/>
                      <w:b/>
                      <w:bCs/>
                    </w:rPr>
                    <w:t>2027 m. proc.</w:t>
                  </w:r>
                </w:p>
              </w:tc>
            </w:tr>
            <w:tr w:rsidR="00F5324E" w:rsidRPr="00F5324E" w14:paraId="51D7C32D" w14:textId="77777777" w:rsidTr="00F5324E">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CF256" w14:textId="77777777" w:rsidR="00F5324E" w:rsidRPr="00F5324E" w:rsidRDefault="00F5324E" w:rsidP="00F5324E">
                  <w:pPr>
                    <w:shd w:val="clear" w:color="auto" w:fill="FFFFFF"/>
                    <w:spacing w:line="276" w:lineRule="auto"/>
                    <w:jc w:val="both"/>
                    <w:rPr>
                      <w:rFonts w:ascii="Times New Roman" w:eastAsia="Arial" w:hAnsi="Times New Roman" w:cs="Times New Roman"/>
                      <w:b/>
                      <w:bCs/>
                    </w:rPr>
                  </w:pPr>
                  <w:r w:rsidRPr="00F5324E">
                    <w:rPr>
                      <w:rFonts w:ascii="Times New Roman" w:eastAsia="Arial" w:hAnsi="Times New Roman" w:cs="Times New Roman"/>
                      <w:b/>
                      <w:bCs/>
                    </w:rPr>
                    <w:t>BVP augimas</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1749AB6E"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-0,2</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00425ACE"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0,8</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0CA23B06"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2,5</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46BF12C6"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3,2</w:t>
                  </w:r>
                </w:p>
              </w:tc>
              <w:tc>
                <w:tcPr>
                  <w:tcW w:w="1574" w:type="dxa"/>
                  <w:tcBorders>
                    <w:top w:val="nil"/>
                    <w:left w:val="nil"/>
                    <w:bottom w:val="single" w:sz="8" w:space="0" w:color="auto"/>
                    <w:right w:val="single" w:sz="8" w:space="0" w:color="auto"/>
                  </w:tcBorders>
                  <w:hideMark/>
                </w:tcPr>
                <w:p w14:paraId="2B40039F"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2,4</w:t>
                  </w:r>
                </w:p>
              </w:tc>
            </w:tr>
            <w:tr w:rsidR="00F5324E" w:rsidRPr="00F5324E" w14:paraId="0B24FEA7" w14:textId="77777777" w:rsidTr="00F5324E">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77C13" w14:textId="77777777" w:rsidR="00F5324E" w:rsidRPr="00F5324E" w:rsidRDefault="00F5324E" w:rsidP="00F5324E">
                  <w:pPr>
                    <w:shd w:val="clear" w:color="auto" w:fill="FFFFFF"/>
                    <w:spacing w:line="276" w:lineRule="auto"/>
                    <w:jc w:val="both"/>
                    <w:rPr>
                      <w:rFonts w:ascii="Times New Roman" w:eastAsia="Arial" w:hAnsi="Times New Roman" w:cs="Times New Roman"/>
                      <w:b/>
                      <w:bCs/>
                    </w:rPr>
                  </w:pPr>
                  <w:r w:rsidRPr="00F5324E">
                    <w:rPr>
                      <w:rFonts w:ascii="Times New Roman" w:eastAsia="Arial" w:hAnsi="Times New Roman" w:cs="Times New Roman"/>
                      <w:b/>
                      <w:bCs/>
                    </w:rPr>
                    <w:t>Infliacija</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660FBFDD"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6</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05406EC2"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1,9</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13E5CA6B"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1,7</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7193185A"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2,0</w:t>
                  </w:r>
                </w:p>
              </w:tc>
              <w:tc>
                <w:tcPr>
                  <w:tcW w:w="1574" w:type="dxa"/>
                  <w:tcBorders>
                    <w:top w:val="nil"/>
                    <w:left w:val="nil"/>
                    <w:bottom w:val="single" w:sz="8" w:space="0" w:color="auto"/>
                    <w:right w:val="single" w:sz="8" w:space="0" w:color="auto"/>
                  </w:tcBorders>
                  <w:hideMark/>
                </w:tcPr>
                <w:p w14:paraId="331A185A"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2,0</w:t>
                  </w:r>
                </w:p>
              </w:tc>
            </w:tr>
            <w:tr w:rsidR="00F5324E" w:rsidRPr="00F5324E" w14:paraId="3FFB71F2" w14:textId="77777777" w:rsidTr="00F5324E">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A0ADC" w14:textId="77777777" w:rsidR="00F5324E" w:rsidRPr="00F5324E" w:rsidRDefault="00F5324E" w:rsidP="00F5324E">
                  <w:pPr>
                    <w:shd w:val="clear" w:color="auto" w:fill="FFFFFF"/>
                    <w:spacing w:line="276" w:lineRule="auto"/>
                    <w:jc w:val="both"/>
                    <w:rPr>
                      <w:rFonts w:ascii="Times New Roman" w:eastAsia="Arial" w:hAnsi="Times New Roman" w:cs="Times New Roman"/>
                      <w:b/>
                      <w:bCs/>
                    </w:rPr>
                  </w:pPr>
                  <w:r w:rsidRPr="00F5324E">
                    <w:rPr>
                      <w:rFonts w:ascii="Times New Roman" w:eastAsia="Arial" w:hAnsi="Times New Roman" w:cs="Times New Roman"/>
                      <w:b/>
                      <w:bCs/>
                    </w:rPr>
                    <w:t>Eksportas</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248F6A9F"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3,3</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2CFA214A"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2,2</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12DBF152"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2,8</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1AC59DAC"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3,8</w:t>
                  </w:r>
                </w:p>
              </w:tc>
              <w:tc>
                <w:tcPr>
                  <w:tcW w:w="1574" w:type="dxa"/>
                  <w:tcBorders>
                    <w:top w:val="nil"/>
                    <w:left w:val="nil"/>
                    <w:bottom w:val="single" w:sz="8" w:space="0" w:color="auto"/>
                    <w:right w:val="single" w:sz="8" w:space="0" w:color="auto"/>
                  </w:tcBorders>
                  <w:hideMark/>
                </w:tcPr>
                <w:p w14:paraId="2A3EA2E2"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3,7</w:t>
                  </w:r>
                </w:p>
              </w:tc>
            </w:tr>
            <w:tr w:rsidR="00F5324E" w:rsidRPr="00F5324E" w14:paraId="1D43674A" w14:textId="77777777" w:rsidTr="00F5324E">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F3372" w14:textId="77777777" w:rsidR="00F5324E" w:rsidRPr="00F5324E" w:rsidRDefault="00F5324E" w:rsidP="00F5324E">
                  <w:pPr>
                    <w:shd w:val="clear" w:color="auto" w:fill="FFFFFF"/>
                    <w:spacing w:line="276" w:lineRule="auto"/>
                    <w:jc w:val="both"/>
                    <w:rPr>
                      <w:rFonts w:ascii="Times New Roman" w:eastAsia="Arial" w:hAnsi="Times New Roman" w:cs="Times New Roman"/>
                      <w:b/>
                      <w:bCs/>
                    </w:rPr>
                  </w:pPr>
                  <w:r w:rsidRPr="00F5324E">
                    <w:rPr>
                      <w:rFonts w:ascii="Times New Roman" w:eastAsia="Arial" w:hAnsi="Times New Roman" w:cs="Times New Roman"/>
                      <w:b/>
                      <w:bCs/>
                    </w:rPr>
                    <w:t>Importas</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757570C8"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       -1,0</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357496BA"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0,4</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54C730F7"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2,8</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78AE53EF"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3,9</w:t>
                  </w:r>
                </w:p>
              </w:tc>
              <w:tc>
                <w:tcPr>
                  <w:tcW w:w="1574" w:type="dxa"/>
                  <w:tcBorders>
                    <w:top w:val="nil"/>
                    <w:left w:val="nil"/>
                    <w:bottom w:val="single" w:sz="8" w:space="0" w:color="auto"/>
                    <w:right w:val="single" w:sz="8" w:space="0" w:color="auto"/>
                  </w:tcBorders>
                  <w:hideMark/>
                </w:tcPr>
                <w:p w14:paraId="52D700B8"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3,8</w:t>
                  </w:r>
                </w:p>
              </w:tc>
            </w:tr>
            <w:tr w:rsidR="00F5324E" w:rsidRPr="00F5324E" w14:paraId="3F5FE030" w14:textId="77777777" w:rsidTr="00F5324E">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E508F" w14:textId="77777777" w:rsidR="00F5324E" w:rsidRPr="00F5324E" w:rsidRDefault="00F5324E" w:rsidP="00F5324E">
                  <w:pPr>
                    <w:shd w:val="clear" w:color="auto" w:fill="FFFFFF"/>
                    <w:spacing w:line="276" w:lineRule="auto"/>
                    <w:jc w:val="both"/>
                    <w:rPr>
                      <w:rFonts w:ascii="Times New Roman" w:eastAsia="Arial" w:hAnsi="Times New Roman" w:cs="Times New Roman"/>
                      <w:b/>
                      <w:bCs/>
                    </w:rPr>
                  </w:pPr>
                  <w:r w:rsidRPr="00F5324E">
                    <w:rPr>
                      <w:rFonts w:ascii="Times New Roman" w:eastAsia="Arial" w:hAnsi="Times New Roman" w:cs="Times New Roman"/>
                      <w:b/>
                      <w:bCs/>
                    </w:rPr>
                    <w:t>Namų ūkių vartojimas</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14C54D27" w14:textId="77777777" w:rsidR="00F5324E" w:rsidRPr="00F5324E" w:rsidRDefault="00F5324E" w:rsidP="00F5324E">
                  <w:pPr>
                    <w:shd w:val="clear" w:color="auto" w:fill="FFFFFF"/>
                    <w:spacing w:line="276" w:lineRule="auto"/>
                    <w:jc w:val="both"/>
                    <w:rPr>
                      <w:rFonts w:ascii="Times New Roman" w:eastAsia="Arial" w:hAnsi="Times New Roman" w:cs="Times New Roman"/>
                      <w:lang w:val="sv-SE"/>
                    </w:rPr>
                  </w:pPr>
                  <w:r w:rsidRPr="00F5324E">
                    <w:rPr>
                      <w:rFonts w:ascii="Times New Roman" w:eastAsia="Arial" w:hAnsi="Times New Roman" w:cs="Times New Roman"/>
                      <w:lang w:val="sv-SE"/>
                    </w:rPr>
                    <w:t>        -2,3</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702D846B"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0,3</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1D3DE001"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2,9</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69C745D3"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4,1</w:t>
                  </w:r>
                </w:p>
              </w:tc>
              <w:tc>
                <w:tcPr>
                  <w:tcW w:w="1574" w:type="dxa"/>
                  <w:tcBorders>
                    <w:top w:val="nil"/>
                    <w:left w:val="nil"/>
                    <w:bottom w:val="single" w:sz="8" w:space="0" w:color="auto"/>
                    <w:right w:val="single" w:sz="8" w:space="0" w:color="auto"/>
                  </w:tcBorders>
                  <w:hideMark/>
                </w:tcPr>
                <w:p w14:paraId="1CCEAA16"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3,1</w:t>
                  </w:r>
                </w:p>
              </w:tc>
            </w:tr>
            <w:tr w:rsidR="00F5324E" w:rsidRPr="00F5324E" w14:paraId="449A06B9" w14:textId="77777777" w:rsidTr="00F5324E">
              <w:tc>
                <w:tcPr>
                  <w:tcW w:w="15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753E" w14:textId="77777777" w:rsidR="00F5324E" w:rsidRPr="00F5324E" w:rsidRDefault="00F5324E" w:rsidP="00F5324E">
                  <w:pPr>
                    <w:shd w:val="clear" w:color="auto" w:fill="FFFFFF"/>
                    <w:spacing w:line="276" w:lineRule="auto"/>
                    <w:jc w:val="both"/>
                    <w:rPr>
                      <w:rFonts w:ascii="Times New Roman" w:eastAsia="Arial" w:hAnsi="Times New Roman" w:cs="Times New Roman"/>
                      <w:b/>
                      <w:bCs/>
                    </w:rPr>
                  </w:pPr>
                  <w:r w:rsidRPr="00F5324E">
                    <w:rPr>
                      <w:rFonts w:ascii="Times New Roman" w:eastAsia="Arial" w:hAnsi="Times New Roman" w:cs="Times New Roman"/>
                      <w:b/>
                      <w:bCs/>
                    </w:rPr>
                    <w:t>Nedarbo lygis</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1726A344"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7,7</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40523614"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8,3</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2CF176F5"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8,3</w:t>
                  </w:r>
                </w:p>
              </w:tc>
              <w:tc>
                <w:tcPr>
                  <w:tcW w:w="1574" w:type="dxa"/>
                  <w:tcBorders>
                    <w:top w:val="nil"/>
                    <w:left w:val="nil"/>
                    <w:bottom w:val="single" w:sz="8" w:space="0" w:color="auto"/>
                    <w:right w:val="single" w:sz="8" w:space="0" w:color="auto"/>
                  </w:tcBorders>
                  <w:tcMar>
                    <w:top w:w="0" w:type="dxa"/>
                    <w:left w:w="108" w:type="dxa"/>
                    <w:bottom w:w="0" w:type="dxa"/>
                    <w:right w:w="108" w:type="dxa"/>
                  </w:tcMar>
                  <w:hideMark/>
                </w:tcPr>
                <w:p w14:paraId="466D58BD"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7,9</w:t>
                  </w:r>
                </w:p>
              </w:tc>
              <w:tc>
                <w:tcPr>
                  <w:tcW w:w="1574" w:type="dxa"/>
                  <w:tcBorders>
                    <w:top w:val="nil"/>
                    <w:left w:val="nil"/>
                    <w:bottom w:val="single" w:sz="8" w:space="0" w:color="auto"/>
                    <w:right w:val="single" w:sz="8" w:space="0" w:color="auto"/>
                  </w:tcBorders>
                  <w:hideMark/>
                </w:tcPr>
                <w:p w14:paraId="6BF22C4A" w14:textId="77777777" w:rsidR="00F5324E" w:rsidRPr="00F5324E" w:rsidRDefault="00F5324E" w:rsidP="00F5324E">
                  <w:pPr>
                    <w:shd w:val="clear" w:color="auto" w:fill="FFFFFF"/>
                    <w:spacing w:line="276" w:lineRule="auto"/>
                    <w:jc w:val="both"/>
                    <w:rPr>
                      <w:rFonts w:ascii="Times New Roman" w:eastAsia="Arial" w:hAnsi="Times New Roman" w:cs="Times New Roman"/>
                    </w:rPr>
                  </w:pPr>
                  <w:r w:rsidRPr="00F5324E">
                    <w:rPr>
                      <w:rFonts w:ascii="Times New Roman" w:eastAsia="Arial" w:hAnsi="Times New Roman" w:cs="Times New Roman"/>
                    </w:rPr>
                    <w:t>7,6</w:t>
                  </w:r>
                </w:p>
              </w:tc>
            </w:tr>
          </w:tbl>
          <w:p w14:paraId="4165CC1A" w14:textId="5269F2E2" w:rsidR="00466DF7" w:rsidRPr="00BA6CE4" w:rsidRDefault="00466DF7" w:rsidP="00466DF7">
            <w:pPr>
              <w:shd w:val="clear" w:color="auto" w:fill="FFFFFF"/>
              <w:spacing w:line="276" w:lineRule="auto"/>
              <w:jc w:val="both"/>
              <w:rPr>
                <w:rFonts w:ascii="Times New Roman" w:eastAsia="Arial" w:hAnsi="Times New Roman" w:cs="Times New Roman"/>
              </w:rPr>
            </w:pPr>
          </w:p>
        </w:tc>
        <w:tc>
          <w:tcPr>
            <w:tcW w:w="4648" w:type="dxa"/>
          </w:tcPr>
          <w:p w14:paraId="1A3A0B65" w14:textId="77777777" w:rsidR="00F5324E" w:rsidRPr="00F5324E" w:rsidRDefault="00F5324E" w:rsidP="00F5324E">
            <w:pPr>
              <w:shd w:val="clear" w:color="auto" w:fill="FFFFFF"/>
              <w:spacing w:line="276" w:lineRule="auto"/>
              <w:jc w:val="both"/>
            </w:pPr>
            <w:hyperlink r:id="rId20" w:history="1">
              <w:r w:rsidRPr="00F5324E">
                <w:rPr>
                  <w:rStyle w:val="Hyperlink"/>
                </w:rPr>
                <w:t>https://www.government.se/press-releases/2024/09/a-budget-for-a-more-prosperous-and-safer-sweden/</w:t>
              </w:r>
            </w:hyperlink>
          </w:p>
          <w:p w14:paraId="1E3ED1A8" w14:textId="2C170159" w:rsidR="00466DF7" w:rsidRPr="006944D4" w:rsidRDefault="00466DF7" w:rsidP="00466DF7">
            <w:pPr>
              <w:rPr>
                <w:rFonts w:ascii="Times New Roman" w:eastAsia="Arial" w:hAnsi="Times New Roman" w:cs="Times New Roman"/>
              </w:rPr>
            </w:pPr>
          </w:p>
        </w:tc>
        <w:tc>
          <w:tcPr>
            <w:tcW w:w="1875" w:type="dxa"/>
          </w:tcPr>
          <w:p w14:paraId="6AFDCBB5" w14:textId="77777777" w:rsidR="00466DF7" w:rsidRPr="00774CD0" w:rsidRDefault="00466DF7" w:rsidP="00466DF7">
            <w:pPr>
              <w:rPr>
                <w:rFonts w:ascii="Times New Roman" w:eastAsia="Arial" w:hAnsi="Times New Roman" w:cs="Times New Roman"/>
              </w:rPr>
            </w:pPr>
          </w:p>
        </w:tc>
      </w:tr>
      <w:tr w:rsidR="00466DF7" w:rsidRPr="00774CD0" w14:paraId="70AA4FBC" w14:textId="77777777" w:rsidTr="003E0AC1">
        <w:tc>
          <w:tcPr>
            <w:tcW w:w="1035" w:type="dxa"/>
          </w:tcPr>
          <w:p w14:paraId="1ABE32FC" w14:textId="5CD878BA" w:rsidR="00466DF7" w:rsidRDefault="00466DF7" w:rsidP="00466DF7">
            <w:pPr>
              <w:jc w:val="center"/>
              <w:rPr>
                <w:rFonts w:ascii="Times New Roman" w:eastAsia="Arial" w:hAnsi="Times New Roman" w:cs="Times New Roman"/>
                <w:lang w:val="en-GB"/>
              </w:rPr>
            </w:pPr>
            <w:r w:rsidRPr="00774CD0">
              <w:rPr>
                <w:rFonts w:ascii="Times New Roman" w:eastAsia="Arial" w:hAnsi="Times New Roman" w:cs="Times New Roman"/>
                <w:lang w:val="en-GB"/>
              </w:rPr>
              <w:t>2024-0</w:t>
            </w:r>
            <w:r w:rsidR="00292AF8">
              <w:rPr>
                <w:rFonts w:ascii="Times New Roman" w:eastAsia="Arial" w:hAnsi="Times New Roman" w:cs="Times New Roman"/>
                <w:lang w:val="en-GB"/>
              </w:rPr>
              <w:t>9</w:t>
            </w:r>
            <w:r w:rsidRPr="00774CD0">
              <w:rPr>
                <w:rFonts w:ascii="Times New Roman" w:eastAsia="Arial" w:hAnsi="Times New Roman" w:cs="Times New Roman"/>
                <w:lang w:val="en-GB"/>
              </w:rPr>
              <w:t>-</w:t>
            </w:r>
            <w:r w:rsidR="00292AF8">
              <w:rPr>
                <w:rFonts w:ascii="Times New Roman" w:eastAsia="Arial" w:hAnsi="Times New Roman" w:cs="Times New Roman"/>
                <w:lang w:val="en-GB"/>
              </w:rPr>
              <w:t>2</w:t>
            </w:r>
            <w:r w:rsidRPr="00774CD0">
              <w:rPr>
                <w:rFonts w:ascii="Times New Roman" w:eastAsia="Arial" w:hAnsi="Times New Roman" w:cs="Times New Roman"/>
                <w:lang w:val="en-GB"/>
              </w:rPr>
              <w:t>5</w:t>
            </w:r>
          </w:p>
          <w:p w14:paraId="41ECEA08" w14:textId="77777777" w:rsidR="00466DF7" w:rsidRDefault="00466DF7" w:rsidP="00466DF7">
            <w:pPr>
              <w:jc w:val="center"/>
              <w:rPr>
                <w:rFonts w:ascii="Times New Roman" w:eastAsia="Arial" w:hAnsi="Times New Roman" w:cs="Times New Roman"/>
                <w:lang w:val="en-GB"/>
              </w:rPr>
            </w:pPr>
          </w:p>
          <w:p w14:paraId="25866D82" w14:textId="72DC70EA" w:rsidR="00466DF7" w:rsidRPr="00774CD0" w:rsidRDefault="00466DF7" w:rsidP="00292AF8">
            <w:pPr>
              <w:jc w:val="center"/>
              <w:rPr>
                <w:rFonts w:ascii="Times New Roman" w:eastAsia="Arial" w:hAnsi="Times New Roman" w:cs="Times New Roman"/>
              </w:rPr>
            </w:pPr>
          </w:p>
        </w:tc>
        <w:tc>
          <w:tcPr>
            <w:tcW w:w="7607" w:type="dxa"/>
          </w:tcPr>
          <w:p w14:paraId="4757778B" w14:textId="4663A03D" w:rsidR="00466DF7" w:rsidRPr="00292AF8" w:rsidRDefault="00292AF8" w:rsidP="00466DF7">
            <w:pPr>
              <w:shd w:val="clear" w:color="auto" w:fill="FFFFFF"/>
              <w:spacing w:line="276" w:lineRule="auto"/>
              <w:jc w:val="both"/>
              <w:rPr>
                <w:rFonts w:ascii="Times New Roman" w:eastAsia="Arial" w:hAnsi="Times New Roman" w:cs="Times New Roman"/>
              </w:rPr>
            </w:pPr>
            <w:r w:rsidRPr="005A46BB">
              <w:rPr>
                <w:rFonts w:ascii="Times New Roman" w:eastAsia="Arial" w:hAnsi="Times New Roman" w:cs="Times New Roman"/>
                <w:b/>
                <w:bCs/>
              </w:rPr>
              <w:t>Švedijos centrinis bankas sumažino palūkanų normą 0,25%, dabar palūkanų norma siekia 3,25%.</w:t>
            </w:r>
            <w:r>
              <w:rPr>
                <w:rFonts w:ascii="Times New Roman" w:eastAsia="Arial" w:hAnsi="Times New Roman" w:cs="Times New Roman"/>
              </w:rPr>
              <w:t xml:space="preserve"> Prognozuojama, kad, jeigu ekonominiai rodikliai neprastės, palūkanų norma šiais metais dar gali būti mažinama du kartus. Taip pat, prognozuojami ir du palūkanų normų mažinimai per 2025 m. I-</w:t>
            </w:r>
            <w:proofErr w:type="spellStart"/>
            <w:r>
              <w:rPr>
                <w:rFonts w:ascii="Times New Roman" w:eastAsia="Arial" w:hAnsi="Times New Roman" w:cs="Times New Roman"/>
              </w:rPr>
              <w:t>ąjį</w:t>
            </w:r>
            <w:proofErr w:type="spellEnd"/>
            <w:r>
              <w:rPr>
                <w:rFonts w:ascii="Times New Roman" w:eastAsia="Arial" w:hAnsi="Times New Roman" w:cs="Times New Roman"/>
              </w:rPr>
              <w:t xml:space="preserve"> pusmetį.</w:t>
            </w:r>
          </w:p>
        </w:tc>
        <w:tc>
          <w:tcPr>
            <w:tcW w:w="4648" w:type="dxa"/>
          </w:tcPr>
          <w:p w14:paraId="0191DB67" w14:textId="0824F667" w:rsidR="00466DF7" w:rsidRPr="00BA6CE4" w:rsidRDefault="00292AF8" w:rsidP="00466DF7">
            <w:pPr>
              <w:jc w:val="center"/>
              <w:rPr>
                <w:rFonts w:ascii="Times New Roman" w:eastAsia="Arial" w:hAnsi="Times New Roman" w:cs="Times New Roman"/>
              </w:rPr>
            </w:pPr>
            <w:hyperlink r:id="rId21" w:history="1">
              <w:proofErr w:type="spellStart"/>
              <w:r w:rsidRPr="00292AF8">
                <w:rPr>
                  <w:rStyle w:val="Hyperlink"/>
                </w:rPr>
                <w:t>Policy</w:t>
              </w:r>
              <w:proofErr w:type="spellEnd"/>
              <w:r w:rsidRPr="00292AF8">
                <w:rPr>
                  <w:rStyle w:val="Hyperlink"/>
                </w:rPr>
                <w:t xml:space="preserve"> rate </w:t>
              </w:r>
              <w:proofErr w:type="spellStart"/>
              <w:r w:rsidRPr="00292AF8">
                <w:rPr>
                  <w:rStyle w:val="Hyperlink"/>
                </w:rPr>
                <w:t>cut</w:t>
              </w:r>
              <w:proofErr w:type="spellEnd"/>
              <w:r w:rsidRPr="00292AF8">
                <w:rPr>
                  <w:rStyle w:val="Hyperlink"/>
                </w:rPr>
                <w:t xml:space="preserve"> </w:t>
              </w:r>
              <w:proofErr w:type="spellStart"/>
              <w:r w:rsidRPr="00292AF8">
                <w:rPr>
                  <w:rStyle w:val="Hyperlink"/>
                </w:rPr>
                <w:t>by</w:t>
              </w:r>
              <w:proofErr w:type="spellEnd"/>
              <w:r w:rsidRPr="00292AF8">
                <w:rPr>
                  <w:rStyle w:val="Hyperlink"/>
                </w:rPr>
                <w:t xml:space="preserve"> 0.25 </w:t>
              </w:r>
              <w:proofErr w:type="spellStart"/>
              <w:r w:rsidRPr="00292AF8">
                <w:rPr>
                  <w:rStyle w:val="Hyperlink"/>
                </w:rPr>
                <w:t>percentage</w:t>
              </w:r>
              <w:proofErr w:type="spellEnd"/>
              <w:r w:rsidRPr="00292AF8">
                <w:rPr>
                  <w:rStyle w:val="Hyperlink"/>
                </w:rPr>
                <w:t xml:space="preserve"> </w:t>
              </w:r>
              <w:proofErr w:type="spellStart"/>
              <w:r w:rsidRPr="00292AF8">
                <w:rPr>
                  <w:rStyle w:val="Hyperlink"/>
                </w:rPr>
                <w:t>points</w:t>
              </w:r>
              <w:proofErr w:type="spellEnd"/>
              <w:r w:rsidRPr="00292AF8">
                <w:rPr>
                  <w:rStyle w:val="Hyperlink"/>
                </w:rPr>
                <w:t xml:space="preserve"> to 3.25 per </w:t>
              </w:r>
              <w:proofErr w:type="spellStart"/>
              <w:r w:rsidRPr="00292AF8">
                <w:rPr>
                  <w:rStyle w:val="Hyperlink"/>
                </w:rPr>
                <w:t>cent</w:t>
              </w:r>
              <w:proofErr w:type="spellEnd"/>
              <w:r w:rsidRPr="00292AF8">
                <w:rPr>
                  <w:rStyle w:val="Hyperlink"/>
                </w:rPr>
                <w:t xml:space="preserve"> | </w:t>
              </w:r>
              <w:proofErr w:type="spellStart"/>
              <w:r w:rsidRPr="00292AF8">
                <w:rPr>
                  <w:rStyle w:val="Hyperlink"/>
                </w:rPr>
                <w:t>Sveriges</w:t>
              </w:r>
              <w:proofErr w:type="spellEnd"/>
              <w:r w:rsidRPr="00292AF8">
                <w:rPr>
                  <w:rStyle w:val="Hyperlink"/>
                </w:rPr>
                <w:t xml:space="preserve"> </w:t>
              </w:r>
              <w:proofErr w:type="spellStart"/>
              <w:r w:rsidRPr="00292AF8">
                <w:rPr>
                  <w:rStyle w:val="Hyperlink"/>
                </w:rPr>
                <w:t>Riksbank</w:t>
              </w:r>
              <w:proofErr w:type="spellEnd"/>
            </w:hyperlink>
          </w:p>
        </w:tc>
        <w:tc>
          <w:tcPr>
            <w:tcW w:w="1875" w:type="dxa"/>
          </w:tcPr>
          <w:p w14:paraId="539AB1F8" w14:textId="77777777" w:rsidR="00466DF7" w:rsidRPr="00774CD0" w:rsidRDefault="00466DF7" w:rsidP="00466DF7">
            <w:pPr>
              <w:rPr>
                <w:rFonts w:ascii="Times New Roman" w:eastAsia="Arial" w:hAnsi="Times New Roman" w:cs="Times New Roman"/>
              </w:rPr>
            </w:pPr>
          </w:p>
        </w:tc>
      </w:tr>
      <w:tr w:rsidR="00466DF7" w:rsidRPr="00774CD0" w14:paraId="6050A422" w14:textId="77777777">
        <w:tc>
          <w:tcPr>
            <w:tcW w:w="15165" w:type="dxa"/>
            <w:gridSpan w:val="4"/>
          </w:tcPr>
          <w:p w14:paraId="029319C7" w14:textId="77777777" w:rsidR="00466DF7" w:rsidRPr="00BA6CE4" w:rsidRDefault="00466DF7" w:rsidP="00466DF7">
            <w:pPr>
              <w:rPr>
                <w:rFonts w:ascii="Times New Roman" w:eastAsia="Arial" w:hAnsi="Times New Roman" w:cs="Times New Roman"/>
              </w:rPr>
            </w:pPr>
            <w:r w:rsidRPr="00BA6CE4">
              <w:rPr>
                <w:rFonts w:ascii="Times New Roman" w:eastAsia="Arial" w:hAnsi="Times New Roman" w:cs="Times New Roman"/>
              </w:rPr>
              <w:t>Kita ekonominiam bendradarbiavimui aktuali informacija</w:t>
            </w:r>
          </w:p>
        </w:tc>
      </w:tr>
    </w:tbl>
    <w:p w14:paraId="01CF4F14" w14:textId="77777777" w:rsidR="009A0F8E" w:rsidRPr="00774CD0" w:rsidRDefault="009A0F8E">
      <w:pPr>
        <w:rPr>
          <w:rFonts w:ascii="Times New Roman" w:eastAsia="Arial" w:hAnsi="Times New Roman" w:cs="Times New Roman"/>
        </w:rPr>
      </w:pPr>
    </w:p>
    <w:p w14:paraId="0919563C" w14:textId="77777777" w:rsidR="009A0F8E" w:rsidRPr="00774CD0" w:rsidRDefault="009A0F8E">
      <w:pPr>
        <w:rPr>
          <w:rFonts w:ascii="Times New Roman" w:eastAsia="Arial" w:hAnsi="Times New Roman" w:cs="Times New Roman"/>
        </w:rPr>
      </w:pPr>
    </w:p>
    <w:p w14:paraId="52601D26" w14:textId="6211E080" w:rsidR="009A0F8E" w:rsidRPr="00774CD0" w:rsidRDefault="00E847BE">
      <w:pPr>
        <w:rPr>
          <w:rFonts w:ascii="Times New Roman" w:eastAsia="Arial" w:hAnsi="Times New Roman" w:cs="Times New Roman"/>
        </w:rPr>
      </w:pPr>
      <w:r w:rsidRPr="00774CD0">
        <w:rPr>
          <w:rFonts w:ascii="Times New Roman" w:eastAsia="Arial" w:hAnsi="Times New Roman" w:cs="Times New Roman"/>
        </w:rPr>
        <w:t>Rengėjas:</w:t>
      </w:r>
      <w:r w:rsidR="004527DB">
        <w:rPr>
          <w:rFonts w:ascii="Times New Roman" w:eastAsia="Arial" w:hAnsi="Times New Roman" w:cs="Times New Roman"/>
        </w:rPr>
        <w:t xml:space="preserve"> </w:t>
      </w:r>
      <w:r w:rsidRPr="00774CD0">
        <w:rPr>
          <w:rFonts w:ascii="Times New Roman" w:eastAsia="Arial" w:hAnsi="Times New Roman" w:cs="Times New Roman"/>
        </w:rPr>
        <w:t xml:space="preserve">LR ambasados Švedijos Karalystėje trečiasis sekretorius Augustinas Uleckas, tel. +46 738014607, </w:t>
      </w:r>
      <w:hyperlink r:id="rId22">
        <w:r w:rsidRPr="00774CD0">
          <w:rPr>
            <w:rFonts w:ascii="Times New Roman" w:eastAsia="Arial" w:hAnsi="Times New Roman" w:cs="Times New Roman"/>
            <w:u w:val="single"/>
          </w:rPr>
          <w:t>augustinas.uleckas@urm.lt</w:t>
        </w:r>
      </w:hyperlink>
      <w:r w:rsidRPr="00774CD0">
        <w:rPr>
          <w:rFonts w:ascii="Times New Roman" w:eastAsia="Arial" w:hAnsi="Times New Roman" w:cs="Times New Roman"/>
        </w:rPr>
        <w:t xml:space="preserve"> </w:t>
      </w:r>
      <w:r w:rsidRPr="00774CD0">
        <w:rPr>
          <w:rFonts w:ascii="Times New Roman" w:eastAsia="Arial" w:hAnsi="Times New Roman" w:cs="Times New Roman"/>
          <w:b/>
        </w:rPr>
        <w:t>Pastabos: nurodytos piniginės sumos perskaičiuotos pagal kursą 1 EUR = 11,</w:t>
      </w:r>
      <w:r w:rsidR="00185B51">
        <w:rPr>
          <w:rFonts w:ascii="Times New Roman" w:eastAsia="Arial" w:hAnsi="Times New Roman" w:cs="Times New Roman"/>
          <w:b/>
        </w:rPr>
        <w:t>3</w:t>
      </w:r>
      <w:r w:rsidR="003E0AC1">
        <w:rPr>
          <w:rFonts w:ascii="Times New Roman" w:eastAsia="Arial" w:hAnsi="Times New Roman" w:cs="Times New Roman"/>
          <w:b/>
        </w:rPr>
        <w:t>0</w:t>
      </w:r>
      <w:r w:rsidRPr="00774CD0">
        <w:rPr>
          <w:rFonts w:ascii="Times New Roman" w:eastAsia="Arial" w:hAnsi="Times New Roman" w:cs="Times New Roman"/>
          <w:b/>
        </w:rPr>
        <w:t xml:space="preserve"> SEK</w:t>
      </w:r>
    </w:p>
    <w:p w14:paraId="4C4B243A" w14:textId="77777777" w:rsidR="009A0F8E" w:rsidRPr="00774CD0" w:rsidRDefault="009A0F8E">
      <w:pPr>
        <w:rPr>
          <w:rFonts w:ascii="Times New Roman" w:eastAsia="Arial" w:hAnsi="Times New Roman" w:cs="Times New Roman"/>
        </w:rPr>
      </w:pPr>
    </w:p>
    <w:p w14:paraId="79B9B4B6" w14:textId="77777777" w:rsidR="009A0F8E" w:rsidRPr="00774CD0" w:rsidRDefault="009A0F8E">
      <w:pPr>
        <w:rPr>
          <w:rFonts w:ascii="Times New Roman" w:eastAsia="Arial" w:hAnsi="Times New Roman" w:cs="Times New Roman"/>
        </w:rPr>
      </w:pPr>
    </w:p>
    <w:p w14:paraId="64569CAE" w14:textId="77777777" w:rsidR="009A0F8E" w:rsidRPr="00774CD0" w:rsidRDefault="009A0F8E">
      <w:pPr>
        <w:rPr>
          <w:rFonts w:ascii="Times New Roman" w:eastAsia="Arial" w:hAnsi="Times New Roman" w:cs="Times New Roman"/>
        </w:rPr>
      </w:pPr>
    </w:p>
    <w:p w14:paraId="69C5B512" w14:textId="77777777" w:rsidR="009A0F8E" w:rsidRPr="00774CD0" w:rsidRDefault="009A0F8E">
      <w:pPr>
        <w:rPr>
          <w:rFonts w:ascii="Times New Roman" w:eastAsia="Arial" w:hAnsi="Times New Roman" w:cs="Times New Roman"/>
        </w:rPr>
      </w:pPr>
    </w:p>
    <w:p w14:paraId="60C06906" w14:textId="77777777" w:rsidR="009A0F8E" w:rsidRPr="00774CD0" w:rsidRDefault="009A0F8E">
      <w:pPr>
        <w:rPr>
          <w:rFonts w:ascii="Times New Roman" w:eastAsia="Arial" w:hAnsi="Times New Roman" w:cs="Times New Roman"/>
        </w:rPr>
      </w:pPr>
    </w:p>
    <w:sectPr w:rsidR="009A0F8E" w:rsidRPr="00774CD0">
      <w:pgSz w:w="16838" w:h="11906" w:orient="landscape"/>
      <w:pgMar w:top="1440" w:right="1440" w:bottom="1440" w:left="1440" w:header="708" w:footer="708"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A72B5"/>
    <w:multiLevelType w:val="hybridMultilevel"/>
    <w:tmpl w:val="D4742604"/>
    <w:lvl w:ilvl="0" w:tplc="7910E8EA">
      <w:numFmt w:val="bullet"/>
      <w:lvlText w:val=""/>
      <w:lvlJc w:val="left"/>
      <w:pPr>
        <w:ind w:left="720" w:hanging="360"/>
      </w:pPr>
      <w:rPr>
        <w:rFonts w:ascii="Symbol" w:eastAsia="Aptos"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499354CB"/>
    <w:multiLevelType w:val="hybridMultilevel"/>
    <w:tmpl w:val="11182820"/>
    <w:lvl w:ilvl="0" w:tplc="7910E8EA">
      <w:numFmt w:val="bullet"/>
      <w:lvlText w:val=""/>
      <w:lvlJc w:val="left"/>
      <w:pPr>
        <w:ind w:left="720" w:hanging="360"/>
      </w:pPr>
      <w:rPr>
        <w:rFonts w:ascii="Symbol" w:eastAsia="Aptos"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236521713">
    <w:abstractNumId w:val="1"/>
  </w:num>
  <w:num w:numId="2" w16cid:durableId="201923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8E"/>
    <w:rsid w:val="0000596B"/>
    <w:rsid w:val="0001103F"/>
    <w:rsid w:val="00037D4B"/>
    <w:rsid w:val="00044241"/>
    <w:rsid w:val="000C120E"/>
    <w:rsid w:val="000D07F4"/>
    <w:rsid w:val="0010457F"/>
    <w:rsid w:val="001216CB"/>
    <w:rsid w:val="0014134A"/>
    <w:rsid w:val="00171255"/>
    <w:rsid w:val="001849E3"/>
    <w:rsid w:val="00185B51"/>
    <w:rsid w:val="001860DE"/>
    <w:rsid w:val="001A4E78"/>
    <w:rsid w:val="001B3A84"/>
    <w:rsid w:val="00201D5D"/>
    <w:rsid w:val="00206134"/>
    <w:rsid w:val="002549FC"/>
    <w:rsid w:val="00262B00"/>
    <w:rsid w:val="00265572"/>
    <w:rsid w:val="00292AF8"/>
    <w:rsid w:val="002A3A97"/>
    <w:rsid w:val="00302AEC"/>
    <w:rsid w:val="003127A6"/>
    <w:rsid w:val="003C34E5"/>
    <w:rsid w:val="003C3B23"/>
    <w:rsid w:val="003E0AC1"/>
    <w:rsid w:val="00407371"/>
    <w:rsid w:val="004325C6"/>
    <w:rsid w:val="00443AE3"/>
    <w:rsid w:val="004527DB"/>
    <w:rsid w:val="004567C9"/>
    <w:rsid w:val="00466DF7"/>
    <w:rsid w:val="00473522"/>
    <w:rsid w:val="004A1B4C"/>
    <w:rsid w:val="004C42CC"/>
    <w:rsid w:val="00502459"/>
    <w:rsid w:val="00503E79"/>
    <w:rsid w:val="005075C7"/>
    <w:rsid w:val="00545193"/>
    <w:rsid w:val="00552EB6"/>
    <w:rsid w:val="005A46BB"/>
    <w:rsid w:val="005A748B"/>
    <w:rsid w:val="005D156E"/>
    <w:rsid w:val="00656461"/>
    <w:rsid w:val="006579B3"/>
    <w:rsid w:val="00662901"/>
    <w:rsid w:val="006944D4"/>
    <w:rsid w:val="0069736B"/>
    <w:rsid w:val="006C1071"/>
    <w:rsid w:val="00722945"/>
    <w:rsid w:val="00737E58"/>
    <w:rsid w:val="00766593"/>
    <w:rsid w:val="00774CD0"/>
    <w:rsid w:val="007E4919"/>
    <w:rsid w:val="00860BAE"/>
    <w:rsid w:val="00863467"/>
    <w:rsid w:val="008675BA"/>
    <w:rsid w:val="00876ABB"/>
    <w:rsid w:val="00890762"/>
    <w:rsid w:val="008A0488"/>
    <w:rsid w:val="008F0C4D"/>
    <w:rsid w:val="00910987"/>
    <w:rsid w:val="00953D49"/>
    <w:rsid w:val="009A0F8E"/>
    <w:rsid w:val="009A30E4"/>
    <w:rsid w:val="009D551E"/>
    <w:rsid w:val="00A004E4"/>
    <w:rsid w:val="00A33A40"/>
    <w:rsid w:val="00A4066E"/>
    <w:rsid w:val="00AC22C5"/>
    <w:rsid w:val="00AD0BFF"/>
    <w:rsid w:val="00B03BB0"/>
    <w:rsid w:val="00B042E8"/>
    <w:rsid w:val="00B474AA"/>
    <w:rsid w:val="00B47E2A"/>
    <w:rsid w:val="00B7749E"/>
    <w:rsid w:val="00BA6CE4"/>
    <w:rsid w:val="00BF4539"/>
    <w:rsid w:val="00BF58A0"/>
    <w:rsid w:val="00C03BE5"/>
    <w:rsid w:val="00C04175"/>
    <w:rsid w:val="00C4588E"/>
    <w:rsid w:val="00C62B5C"/>
    <w:rsid w:val="00C8641A"/>
    <w:rsid w:val="00CD4E62"/>
    <w:rsid w:val="00CE2351"/>
    <w:rsid w:val="00CE7AB1"/>
    <w:rsid w:val="00D21FE6"/>
    <w:rsid w:val="00D304D4"/>
    <w:rsid w:val="00D80071"/>
    <w:rsid w:val="00D81E01"/>
    <w:rsid w:val="00D95728"/>
    <w:rsid w:val="00DB1C19"/>
    <w:rsid w:val="00DE3144"/>
    <w:rsid w:val="00DE5C4A"/>
    <w:rsid w:val="00E47B7E"/>
    <w:rsid w:val="00E62B78"/>
    <w:rsid w:val="00E847BE"/>
    <w:rsid w:val="00E85CA7"/>
    <w:rsid w:val="00EB21D0"/>
    <w:rsid w:val="00F038F8"/>
    <w:rsid w:val="00F11AA0"/>
    <w:rsid w:val="00F5324E"/>
    <w:rsid w:val="00F57B38"/>
    <w:rsid w:val="00F714D0"/>
    <w:rsid w:val="00F72C0E"/>
    <w:rsid w:val="00F871C7"/>
    <w:rsid w:val="00F92854"/>
    <w:rsid w:val="00FC49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2152"/>
  <w15:docId w15:val="{C9D1DFA0-7870-4431-9C6E-14FED42B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9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57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571FD"/>
  </w:style>
  <w:style w:type="character" w:styleId="Hyperlink">
    <w:name w:val="Hyperlink"/>
    <w:basedOn w:val="DefaultParagraphFont"/>
    <w:uiPriority w:val="99"/>
    <w:unhideWhenUsed/>
    <w:rsid w:val="00CD2AD2"/>
    <w:rPr>
      <w:color w:val="0563C1" w:themeColor="hyperlink"/>
      <w:u w:val="single"/>
    </w:rPr>
  </w:style>
  <w:style w:type="character" w:styleId="UnresolvedMention">
    <w:name w:val="Unresolved Mention"/>
    <w:basedOn w:val="DefaultParagraphFont"/>
    <w:uiPriority w:val="99"/>
    <w:semiHidden/>
    <w:unhideWhenUsed/>
    <w:rsid w:val="00CD2AD2"/>
    <w:rPr>
      <w:color w:val="605E5C"/>
      <w:shd w:val="clear" w:color="auto" w:fill="E1DFDD"/>
    </w:rPr>
  </w:style>
  <w:style w:type="character" w:styleId="FollowedHyperlink">
    <w:name w:val="FollowedHyperlink"/>
    <w:basedOn w:val="DefaultParagraphFont"/>
    <w:uiPriority w:val="99"/>
    <w:semiHidden/>
    <w:unhideWhenUsed/>
    <w:rsid w:val="0058576B"/>
    <w:rPr>
      <w:color w:val="954F72" w:themeColor="followedHyperlink"/>
      <w:u w:val="single"/>
    </w:rPr>
  </w:style>
  <w:style w:type="paragraph" w:styleId="NormalWeb">
    <w:name w:val="Normal (Web)"/>
    <w:basedOn w:val="Normal"/>
    <w:uiPriority w:val="99"/>
    <w:unhideWhenUsed/>
    <w:rsid w:val="007727B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727BF"/>
    <w:rPr>
      <w:b/>
      <w:bCs/>
    </w:rPr>
  </w:style>
  <w:style w:type="paragraph" w:styleId="ListParagraph">
    <w:name w:val="List Paragraph"/>
    <w:basedOn w:val="Normal"/>
    <w:uiPriority w:val="34"/>
    <w:qFormat/>
    <w:rsid w:val="005B44C5"/>
    <w:pPr>
      <w:spacing w:before="100" w:beforeAutospacing="1" w:after="100" w:afterAutospacing="1"/>
    </w:pPr>
    <w:rPr>
      <w:rFonts w:ascii="Times New Roman" w:hAnsi="Times New Roman" w:cs="Times New Roman"/>
    </w:rPr>
  </w:style>
  <w:style w:type="paragraph" w:customStyle="1" w:styleId="n">
    <w:name w:val="n"/>
    <w:basedOn w:val="Normal"/>
    <w:rsid w:val="00053B6C"/>
    <w:pPr>
      <w:spacing w:before="195" w:after="195"/>
    </w:pPr>
    <w:rPr>
      <w:rFonts w:ascii="Aptos" w:hAnsi="Aptos" w:cs="Aptos"/>
    </w:rPr>
  </w:style>
  <w:style w:type="character" w:customStyle="1" w:styleId="jb1">
    <w:name w:val="jb1"/>
    <w:basedOn w:val="DefaultParagraphFont"/>
    <w:rsid w:val="00241D19"/>
  </w:style>
  <w:style w:type="paragraph" w:customStyle="1" w:styleId="o">
    <w:name w:val="o"/>
    <w:basedOn w:val="Normal"/>
    <w:rsid w:val="000E075D"/>
    <w:pPr>
      <w:spacing w:before="195" w:after="195"/>
    </w:pPr>
    <w:rPr>
      <w:rFonts w:ascii="Aptos" w:hAnsi="Aptos" w:cs="Aptos"/>
    </w:rPr>
  </w:style>
  <w:style w:type="paragraph" w:customStyle="1" w:styleId="p">
    <w:name w:val="p"/>
    <w:basedOn w:val="Normal"/>
    <w:rsid w:val="00522672"/>
    <w:pPr>
      <w:spacing w:before="195" w:after="195"/>
    </w:pPr>
    <w:rPr>
      <w:rFonts w:ascii="Aptos" w:hAnsi="Aptos" w:cs="Aptos"/>
    </w:rPr>
  </w:style>
  <w:style w:type="character" w:customStyle="1" w:styleId="kb1">
    <w:name w:val="kb1"/>
    <w:basedOn w:val="DefaultParagraphFont"/>
    <w:rsid w:val="00522672"/>
  </w:style>
  <w:style w:type="character" w:customStyle="1" w:styleId="kb">
    <w:name w:val="kb"/>
    <w:basedOn w:val="DefaultParagraphFont"/>
    <w:rsid w:val="00522672"/>
  </w:style>
  <w:style w:type="character" w:customStyle="1" w:styleId="lb1">
    <w:name w:val="lb1"/>
    <w:basedOn w:val="DefaultParagraphFont"/>
    <w:rsid w:val="00522672"/>
  </w:style>
  <w:style w:type="paragraph" w:customStyle="1" w:styleId="xmsonormal">
    <w:name w:val="x_msonormal"/>
    <w:basedOn w:val="Normal"/>
    <w:rsid w:val="0018581A"/>
    <w:rPr>
      <w:rFonts w:ascii="Aptos" w:hAnsi="Aptos" w:cs="Apto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702">
      <w:bodyDiv w:val="1"/>
      <w:marLeft w:val="0"/>
      <w:marRight w:val="0"/>
      <w:marTop w:val="0"/>
      <w:marBottom w:val="0"/>
      <w:divBdr>
        <w:top w:val="none" w:sz="0" w:space="0" w:color="auto"/>
        <w:left w:val="none" w:sz="0" w:space="0" w:color="auto"/>
        <w:bottom w:val="none" w:sz="0" w:space="0" w:color="auto"/>
        <w:right w:val="none" w:sz="0" w:space="0" w:color="auto"/>
      </w:divBdr>
    </w:div>
    <w:div w:id="152844733">
      <w:bodyDiv w:val="1"/>
      <w:marLeft w:val="0"/>
      <w:marRight w:val="0"/>
      <w:marTop w:val="0"/>
      <w:marBottom w:val="0"/>
      <w:divBdr>
        <w:top w:val="none" w:sz="0" w:space="0" w:color="auto"/>
        <w:left w:val="none" w:sz="0" w:space="0" w:color="auto"/>
        <w:bottom w:val="none" w:sz="0" w:space="0" w:color="auto"/>
        <w:right w:val="none" w:sz="0" w:space="0" w:color="auto"/>
      </w:divBdr>
    </w:div>
    <w:div w:id="304624078">
      <w:bodyDiv w:val="1"/>
      <w:marLeft w:val="0"/>
      <w:marRight w:val="0"/>
      <w:marTop w:val="0"/>
      <w:marBottom w:val="0"/>
      <w:divBdr>
        <w:top w:val="none" w:sz="0" w:space="0" w:color="auto"/>
        <w:left w:val="none" w:sz="0" w:space="0" w:color="auto"/>
        <w:bottom w:val="none" w:sz="0" w:space="0" w:color="auto"/>
        <w:right w:val="none" w:sz="0" w:space="0" w:color="auto"/>
      </w:divBdr>
    </w:div>
    <w:div w:id="367877861">
      <w:bodyDiv w:val="1"/>
      <w:marLeft w:val="0"/>
      <w:marRight w:val="0"/>
      <w:marTop w:val="0"/>
      <w:marBottom w:val="0"/>
      <w:divBdr>
        <w:top w:val="none" w:sz="0" w:space="0" w:color="auto"/>
        <w:left w:val="none" w:sz="0" w:space="0" w:color="auto"/>
        <w:bottom w:val="none" w:sz="0" w:space="0" w:color="auto"/>
        <w:right w:val="none" w:sz="0" w:space="0" w:color="auto"/>
      </w:divBdr>
    </w:div>
    <w:div w:id="375396220">
      <w:bodyDiv w:val="1"/>
      <w:marLeft w:val="0"/>
      <w:marRight w:val="0"/>
      <w:marTop w:val="0"/>
      <w:marBottom w:val="0"/>
      <w:divBdr>
        <w:top w:val="none" w:sz="0" w:space="0" w:color="auto"/>
        <w:left w:val="none" w:sz="0" w:space="0" w:color="auto"/>
        <w:bottom w:val="none" w:sz="0" w:space="0" w:color="auto"/>
        <w:right w:val="none" w:sz="0" w:space="0" w:color="auto"/>
      </w:divBdr>
    </w:div>
    <w:div w:id="394553713">
      <w:bodyDiv w:val="1"/>
      <w:marLeft w:val="0"/>
      <w:marRight w:val="0"/>
      <w:marTop w:val="0"/>
      <w:marBottom w:val="0"/>
      <w:divBdr>
        <w:top w:val="none" w:sz="0" w:space="0" w:color="auto"/>
        <w:left w:val="none" w:sz="0" w:space="0" w:color="auto"/>
        <w:bottom w:val="none" w:sz="0" w:space="0" w:color="auto"/>
        <w:right w:val="none" w:sz="0" w:space="0" w:color="auto"/>
      </w:divBdr>
    </w:div>
    <w:div w:id="412166683">
      <w:bodyDiv w:val="1"/>
      <w:marLeft w:val="0"/>
      <w:marRight w:val="0"/>
      <w:marTop w:val="0"/>
      <w:marBottom w:val="0"/>
      <w:divBdr>
        <w:top w:val="none" w:sz="0" w:space="0" w:color="auto"/>
        <w:left w:val="none" w:sz="0" w:space="0" w:color="auto"/>
        <w:bottom w:val="none" w:sz="0" w:space="0" w:color="auto"/>
        <w:right w:val="none" w:sz="0" w:space="0" w:color="auto"/>
      </w:divBdr>
    </w:div>
    <w:div w:id="535048608">
      <w:bodyDiv w:val="1"/>
      <w:marLeft w:val="0"/>
      <w:marRight w:val="0"/>
      <w:marTop w:val="0"/>
      <w:marBottom w:val="0"/>
      <w:divBdr>
        <w:top w:val="none" w:sz="0" w:space="0" w:color="auto"/>
        <w:left w:val="none" w:sz="0" w:space="0" w:color="auto"/>
        <w:bottom w:val="none" w:sz="0" w:space="0" w:color="auto"/>
        <w:right w:val="none" w:sz="0" w:space="0" w:color="auto"/>
      </w:divBdr>
    </w:div>
    <w:div w:id="605771675">
      <w:bodyDiv w:val="1"/>
      <w:marLeft w:val="0"/>
      <w:marRight w:val="0"/>
      <w:marTop w:val="0"/>
      <w:marBottom w:val="0"/>
      <w:divBdr>
        <w:top w:val="none" w:sz="0" w:space="0" w:color="auto"/>
        <w:left w:val="none" w:sz="0" w:space="0" w:color="auto"/>
        <w:bottom w:val="none" w:sz="0" w:space="0" w:color="auto"/>
        <w:right w:val="none" w:sz="0" w:space="0" w:color="auto"/>
      </w:divBdr>
    </w:div>
    <w:div w:id="609820222">
      <w:bodyDiv w:val="1"/>
      <w:marLeft w:val="0"/>
      <w:marRight w:val="0"/>
      <w:marTop w:val="0"/>
      <w:marBottom w:val="0"/>
      <w:divBdr>
        <w:top w:val="none" w:sz="0" w:space="0" w:color="auto"/>
        <w:left w:val="none" w:sz="0" w:space="0" w:color="auto"/>
        <w:bottom w:val="none" w:sz="0" w:space="0" w:color="auto"/>
        <w:right w:val="none" w:sz="0" w:space="0" w:color="auto"/>
      </w:divBdr>
    </w:div>
    <w:div w:id="660239128">
      <w:bodyDiv w:val="1"/>
      <w:marLeft w:val="0"/>
      <w:marRight w:val="0"/>
      <w:marTop w:val="0"/>
      <w:marBottom w:val="0"/>
      <w:divBdr>
        <w:top w:val="none" w:sz="0" w:space="0" w:color="auto"/>
        <w:left w:val="none" w:sz="0" w:space="0" w:color="auto"/>
        <w:bottom w:val="none" w:sz="0" w:space="0" w:color="auto"/>
        <w:right w:val="none" w:sz="0" w:space="0" w:color="auto"/>
      </w:divBdr>
    </w:div>
    <w:div w:id="702175525">
      <w:bodyDiv w:val="1"/>
      <w:marLeft w:val="0"/>
      <w:marRight w:val="0"/>
      <w:marTop w:val="0"/>
      <w:marBottom w:val="0"/>
      <w:divBdr>
        <w:top w:val="none" w:sz="0" w:space="0" w:color="auto"/>
        <w:left w:val="none" w:sz="0" w:space="0" w:color="auto"/>
        <w:bottom w:val="none" w:sz="0" w:space="0" w:color="auto"/>
        <w:right w:val="none" w:sz="0" w:space="0" w:color="auto"/>
      </w:divBdr>
    </w:div>
    <w:div w:id="870070126">
      <w:bodyDiv w:val="1"/>
      <w:marLeft w:val="0"/>
      <w:marRight w:val="0"/>
      <w:marTop w:val="0"/>
      <w:marBottom w:val="0"/>
      <w:divBdr>
        <w:top w:val="none" w:sz="0" w:space="0" w:color="auto"/>
        <w:left w:val="none" w:sz="0" w:space="0" w:color="auto"/>
        <w:bottom w:val="none" w:sz="0" w:space="0" w:color="auto"/>
        <w:right w:val="none" w:sz="0" w:space="0" w:color="auto"/>
      </w:divBdr>
    </w:div>
    <w:div w:id="878667514">
      <w:bodyDiv w:val="1"/>
      <w:marLeft w:val="0"/>
      <w:marRight w:val="0"/>
      <w:marTop w:val="0"/>
      <w:marBottom w:val="0"/>
      <w:divBdr>
        <w:top w:val="none" w:sz="0" w:space="0" w:color="auto"/>
        <w:left w:val="none" w:sz="0" w:space="0" w:color="auto"/>
        <w:bottom w:val="none" w:sz="0" w:space="0" w:color="auto"/>
        <w:right w:val="none" w:sz="0" w:space="0" w:color="auto"/>
      </w:divBdr>
    </w:div>
    <w:div w:id="933250471">
      <w:bodyDiv w:val="1"/>
      <w:marLeft w:val="0"/>
      <w:marRight w:val="0"/>
      <w:marTop w:val="0"/>
      <w:marBottom w:val="0"/>
      <w:divBdr>
        <w:top w:val="none" w:sz="0" w:space="0" w:color="auto"/>
        <w:left w:val="none" w:sz="0" w:space="0" w:color="auto"/>
        <w:bottom w:val="none" w:sz="0" w:space="0" w:color="auto"/>
        <w:right w:val="none" w:sz="0" w:space="0" w:color="auto"/>
      </w:divBdr>
    </w:div>
    <w:div w:id="1103106938">
      <w:bodyDiv w:val="1"/>
      <w:marLeft w:val="0"/>
      <w:marRight w:val="0"/>
      <w:marTop w:val="0"/>
      <w:marBottom w:val="0"/>
      <w:divBdr>
        <w:top w:val="none" w:sz="0" w:space="0" w:color="auto"/>
        <w:left w:val="none" w:sz="0" w:space="0" w:color="auto"/>
        <w:bottom w:val="none" w:sz="0" w:space="0" w:color="auto"/>
        <w:right w:val="none" w:sz="0" w:space="0" w:color="auto"/>
      </w:divBdr>
    </w:div>
    <w:div w:id="1221671404">
      <w:bodyDiv w:val="1"/>
      <w:marLeft w:val="0"/>
      <w:marRight w:val="0"/>
      <w:marTop w:val="0"/>
      <w:marBottom w:val="0"/>
      <w:divBdr>
        <w:top w:val="none" w:sz="0" w:space="0" w:color="auto"/>
        <w:left w:val="none" w:sz="0" w:space="0" w:color="auto"/>
        <w:bottom w:val="none" w:sz="0" w:space="0" w:color="auto"/>
        <w:right w:val="none" w:sz="0" w:space="0" w:color="auto"/>
      </w:divBdr>
    </w:div>
    <w:div w:id="1260677143">
      <w:bodyDiv w:val="1"/>
      <w:marLeft w:val="0"/>
      <w:marRight w:val="0"/>
      <w:marTop w:val="0"/>
      <w:marBottom w:val="0"/>
      <w:divBdr>
        <w:top w:val="none" w:sz="0" w:space="0" w:color="auto"/>
        <w:left w:val="none" w:sz="0" w:space="0" w:color="auto"/>
        <w:bottom w:val="none" w:sz="0" w:space="0" w:color="auto"/>
        <w:right w:val="none" w:sz="0" w:space="0" w:color="auto"/>
      </w:divBdr>
    </w:div>
    <w:div w:id="1366952290">
      <w:bodyDiv w:val="1"/>
      <w:marLeft w:val="0"/>
      <w:marRight w:val="0"/>
      <w:marTop w:val="0"/>
      <w:marBottom w:val="0"/>
      <w:divBdr>
        <w:top w:val="none" w:sz="0" w:space="0" w:color="auto"/>
        <w:left w:val="none" w:sz="0" w:space="0" w:color="auto"/>
        <w:bottom w:val="none" w:sz="0" w:space="0" w:color="auto"/>
        <w:right w:val="none" w:sz="0" w:space="0" w:color="auto"/>
      </w:divBdr>
    </w:div>
    <w:div w:id="1396929306">
      <w:bodyDiv w:val="1"/>
      <w:marLeft w:val="0"/>
      <w:marRight w:val="0"/>
      <w:marTop w:val="0"/>
      <w:marBottom w:val="0"/>
      <w:divBdr>
        <w:top w:val="none" w:sz="0" w:space="0" w:color="auto"/>
        <w:left w:val="none" w:sz="0" w:space="0" w:color="auto"/>
        <w:bottom w:val="none" w:sz="0" w:space="0" w:color="auto"/>
        <w:right w:val="none" w:sz="0" w:space="0" w:color="auto"/>
      </w:divBdr>
    </w:div>
    <w:div w:id="1458182283">
      <w:bodyDiv w:val="1"/>
      <w:marLeft w:val="0"/>
      <w:marRight w:val="0"/>
      <w:marTop w:val="0"/>
      <w:marBottom w:val="0"/>
      <w:divBdr>
        <w:top w:val="none" w:sz="0" w:space="0" w:color="auto"/>
        <w:left w:val="none" w:sz="0" w:space="0" w:color="auto"/>
        <w:bottom w:val="none" w:sz="0" w:space="0" w:color="auto"/>
        <w:right w:val="none" w:sz="0" w:space="0" w:color="auto"/>
      </w:divBdr>
    </w:div>
    <w:div w:id="1595748788">
      <w:bodyDiv w:val="1"/>
      <w:marLeft w:val="0"/>
      <w:marRight w:val="0"/>
      <w:marTop w:val="0"/>
      <w:marBottom w:val="0"/>
      <w:divBdr>
        <w:top w:val="none" w:sz="0" w:space="0" w:color="auto"/>
        <w:left w:val="none" w:sz="0" w:space="0" w:color="auto"/>
        <w:bottom w:val="none" w:sz="0" w:space="0" w:color="auto"/>
        <w:right w:val="none" w:sz="0" w:space="0" w:color="auto"/>
      </w:divBdr>
    </w:div>
    <w:div w:id="1667786681">
      <w:bodyDiv w:val="1"/>
      <w:marLeft w:val="0"/>
      <w:marRight w:val="0"/>
      <w:marTop w:val="0"/>
      <w:marBottom w:val="0"/>
      <w:divBdr>
        <w:top w:val="none" w:sz="0" w:space="0" w:color="auto"/>
        <w:left w:val="none" w:sz="0" w:space="0" w:color="auto"/>
        <w:bottom w:val="none" w:sz="0" w:space="0" w:color="auto"/>
        <w:right w:val="none" w:sz="0" w:space="0" w:color="auto"/>
      </w:divBdr>
    </w:div>
    <w:div w:id="1683584906">
      <w:bodyDiv w:val="1"/>
      <w:marLeft w:val="0"/>
      <w:marRight w:val="0"/>
      <w:marTop w:val="0"/>
      <w:marBottom w:val="0"/>
      <w:divBdr>
        <w:top w:val="none" w:sz="0" w:space="0" w:color="auto"/>
        <w:left w:val="none" w:sz="0" w:space="0" w:color="auto"/>
        <w:bottom w:val="none" w:sz="0" w:space="0" w:color="auto"/>
        <w:right w:val="none" w:sz="0" w:space="0" w:color="auto"/>
      </w:divBdr>
    </w:div>
    <w:div w:id="1745031063">
      <w:bodyDiv w:val="1"/>
      <w:marLeft w:val="0"/>
      <w:marRight w:val="0"/>
      <w:marTop w:val="0"/>
      <w:marBottom w:val="0"/>
      <w:divBdr>
        <w:top w:val="none" w:sz="0" w:space="0" w:color="auto"/>
        <w:left w:val="none" w:sz="0" w:space="0" w:color="auto"/>
        <w:bottom w:val="none" w:sz="0" w:space="0" w:color="auto"/>
        <w:right w:val="none" w:sz="0" w:space="0" w:color="auto"/>
      </w:divBdr>
    </w:div>
    <w:div w:id="1840079541">
      <w:bodyDiv w:val="1"/>
      <w:marLeft w:val="0"/>
      <w:marRight w:val="0"/>
      <w:marTop w:val="0"/>
      <w:marBottom w:val="0"/>
      <w:divBdr>
        <w:top w:val="none" w:sz="0" w:space="0" w:color="auto"/>
        <w:left w:val="none" w:sz="0" w:space="0" w:color="auto"/>
        <w:bottom w:val="none" w:sz="0" w:space="0" w:color="auto"/>
        <w:right w:val="none" w:sz="0" w:space="0" w:color="auto"/>
      </w:divBdr>
    </w:div>
    <w:div w:id="1842772732">
      <w:bodyDiv w:val="1"/>
      <w:marLeft w:val="0"/>
      <w:marRight w:val="0"/>
      <w:marTop w:val="0"/>
      <w:marBottom w:val="0"/>
      <w:divBdr>
        <w:top w:val="none" w:sz="0" w:space="0" w:color="auto"/>
        <w:left w:val="none" w:sz="0" w:space="0" w:color="auto"/>
        <w:bottom w:val="none" w:sz="0" w:space="0" w:color="auto"/>
        <w:right w:val="none" w:sz="0" w:space="0" w:color="auto"/>
      </w:divBdr>
    </w:div>
    <w:div w:id="1850871758">
      <w:bodyDiv w:val="1"/>
      <w:marLeft w:val="0"/>
      <w:marRight w:val="0"/>
      <w:marTop w:val="0"/>
      <w:marBottom w:val="0"/>
      <w:divBdr>
        <w:top w:val="none" w:sz="0" w:space="0" w:color="auto"/>
        <w:left w:val="none" w:sz="0" w:space="0" w:color="auto"/>
        <w:bottom w:val="none" w:sz="0" w:space="0" w:color="auto"/>
        <w:right w:val="none" w:sz="0" w:space="0" w:color="auto"/>
      </w:divBdr>
    </w:div>
    <w:div w:id="1974094276">
      <w:bodyDiv w:val="1"/>
      <w:marLeft w:val="0"/>
      <w:marRight w:val="0"/>
      <w:marTop w:val="0"/>
      <w:marBottom w:val="0"/>
      <w:divBdr>
        <w:top w:val="none" w:sz="0" w:space="0" w:color="auto"/>
        <w:left w:val="none" w:sz="0" w:space="0" w:color="auto"/>
        <w:bottom w:val="none" w:sz="0" w:space="0" w:color="auto"/>
        <w:right w:val="none" w:sz="0" w:space="0" w:color="auto"/>
      </w:divBdr>
    </w:div>
    <w:div w:id="1988435274">
      <w:bodyDiv w:val="1"/>
      <w:marLeft w:val="0"/>
      <w:marRight w:val="0"/>
      <w:marTop w:val="0"/>
      <w:marBottom w:val="0"/>
      <w:divBdr>
        <w:top w:val="none" w:sz="0" w:space="0" w:color="auto"/>
        <w:left w:val="none" w:sz="0" w:space="0" w:color="auto"/>
        <w:bottom w:val="none" w:sz="0" w:space="0" w:color="auto"/>
        <w:right w:val="none" w:sz="0" w:space="0" w:color="auto"/>
      </w:divBdr>
    </w:div>
    <w:div w:id="1988632421">
      <w:bodyDiv w:val="1"/>
      <w:marLeft w:val="0"/>
      <w:marRight w:val="0"/>
      <w:marTop w:val="0"/>
      <w:marBottom w:val="0"/>
      <w:divBdr>
        <w:top w:val="none" w:sz="0" w:space="0" w:color="auto"/>
        <w:left w:val="none" w:sz="0" w:space="0" w:color="auto"/>
        <w:bottom w:val="none" w:sz="0" w:space="0" w:color="auto"/>
        <w:right w:val="none" w:sz="0" w:space="0" w:color="auto"/>
      </w:divBdr>
    </w:div>
    <w:div w:id="2022462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se/e/sweden-lithuania-business-forum-innovation-bridge-tickets-1000560081137" TargetMode="External"/><Relationship Id="rId13" Type="http://schemas.openxmlformats.org/officeDocument/2006/relationships/hyperlink" Target="https://www.svd.se/a/VzxrOd/seb-satsar-miljarder-pa-13-stora-energilager-i-sverige" TargetMode="External"/><Relationship Id="rId18" Type="http://schemas.openxmlformats.org/officeDocument/2006/relationships/hyperlink" Target="https://www.dn.se/sverige/dn-ipsos-valjarnas-oro-for-ekonomin-ar-rekordlag/" TargetMode="External"/><Relationship Id="rId3" Type="http://schemas.openxmlformats.org/officeDocument/2006/relationships/styles" Target="styles.xml"/><Relationship Id="rId21" Type="http://schemas.openxmlformats.org/officeDocument/2006/relationships/hyperlink" Target="https://www.riksbank.se/en-gb/press-and-published/notices-and-press-releases/press-releases/2024/policy-rate-cut-by-0.25-percentage-points-to-3.25-per-cent/" TargetMode="External"/><Relationship Id="rId7" Type="http://schemas.openxmlformats.org/officeDocument/2006/relationships/hyperlink" Target="https://www.dn.se/sverige/ny-prognos-stockholmarna-racker-inte-till-alla-jobb/" TargetMode="External"/><Relationship Id="rId12" Type="http://schemas.openxmlformats.org/officeDocument/2006/relationships/hyperlink" Target="https://tt.omni.se/vattenfall-pausar-vindkraftpark-inte-lonsamt/a/93BJO9" TargetMode="External"/><Relationship Id="rId17" Type="http://schemas.openxmlformats.org/officeDocument/2006/relationships/hyperlink" Target="https://www.dn.se/ekonomi/svenska-bolag-ar-kvar-i-ryssland-trots-sanktionerna/" TargetMode="External"/><Relationship Id="rId2" Type="http://schemas.openxmlformats.org/officeDocument/2006/relationships/numbering" Target="numbering.xml"/><Relationship Id="rId16" Type="http://schemas.openxmlformats.org/officeDocument/2006/relationships/hyperlink" Target="https://www.dn.se/ekonomi/northvolts-vd-kallar-personalen-till-mote-viktig-uppdatering/" TargetMode="External"/><Relationship Id="rId20" Type="http://schemas.openxmlformats.org/officeDocument/2006/relationships/hyperlink" Target="https://www.government.se/press-releases/2024/09/a-budget-for-a-more-prosperous-and-safer-sweden/" TargetMode="External"/><Relationship Id="rId1" Type="http://schemas.openxmlformats.org/officeDocument/2006/relationships/customXml" Target="../customXml/item1.xml"/><Relationship Id="rId6" Type="http://schemas.openxmlformats.org/officeDocument/2006/relationships/hyperlink" Target="https://www.scb.se/hitta-statistik/statistik-efter-amne/handel-med-varor-och-tjanster/utrikeshandel/utrikeshandel-med-varor/pong/statistiknyhet/export-och-import-av-varor-juli-2024-i-lopande-och-fasta-priser/" TargetMode="External"/><Relationship Id="rId11" Type="http://schemas.openxmlformats.org/officeDocument/2006/relationships/hyperlink" Target="https://lnu.se/mot-linneuniversitetet/aktuellt/kalender/2024/konferenser/forest-4.0-conference-24-oktob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n.se/ekonomi/har-vill-vattenfall-bygga-sveriges-storsta-batteri/" TargetMode="External"/><Relationship Id="rId23" Type="http://schemas.openxmlformats.org/officeDocument/2006/relationships/fontTable" Target="fontTable.xml"/><Relationship Id="rId10" Type="http://schemas.openxmlformats.org/officeDocument/2006/relationships/hyperlink" Target="https://www.ja.se/artikel/2236237/scandi-standard-handlar-i-baltikum.html" TargetMode="External"/><Relationship Id="rId19" Type="http://schemas.openxmlformats.org/officeDocument/2006/relationships/hyperlink" Target="https://www.government.se/press-releases/2024/09/a-budget-for-a-more-prosperous-and-safer-sweden/" TargetMode="External"/><Relationship Id="rId4" Type="http://schemas.openxmlformats.org/officeDocument/2006/relationships/settings" Target="settings.xml"/><Relationship Id="rId9" Type="http://schemas.openxmlformats.org/officeDocument/2006/relationships/hyperlink" Target="https://www.svd.se/a/W06kPL/telia-vd-svart-att-se-medarbetarna-i-ogonen" TargetMode="External"/><Relationship Id="rId14" Type="http://schemas.openxmlformats.org/officeDocument/2006/relationships/hyperlink" Target="https://www.regeringen.se/pressmeddelanden/2024/09/satsningar-pa-elektrifiering-och-%20gron-omstallning/" TargetMode="External"/><Relationship Id="rId22" Type="http://schemas.openxmlformats.org/officeDocument/2006/relationships/hyperlink" Target="mailto:augustinas.uleckas@ur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1Whalw53vKQnPe+BYumq8Cz0wQ==">CgMxLjA4AHIhMTdkLTdweVh4VUUtczA0NEQ5QU5jVWcxY2Nsb3loR0JX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9169</Words>
  <Characters>5227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Viltė Pranckūnaitė</dc:creator>
  <cp:lastModifiedBy>Augustinas Uleckas</cp:lastModifiedBy>
  <cp:revision>2</cp:revision>
  <dcterms:created xsi:type="dcterms:W3CDTF">2024-10-01T13:16:00Z</dcterms:created>
  <dcterms:modified xsi:type="dcterms:W3CDTF">2024-10-01T13:16:00Z</dcterms:modified>
</cp:coreProperties>
</file>