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900CA" w14:textId="77777777" w:rsidR="00AC3A0E" w:rsidRPr="00BC629A" w:rsidRDefault="00AC3A0E" w:rsidP="00AC3A0E">
      <w:pPr>
        <w:spacing w:after="0" w:line="240" w:lineRule="auto"/>
        <w:ind w:left="5184"/>
        <w:jc w:val="both"/>
        <w:rPr>
          <w:rFonts w:ascii="Times New Roman" w:hAnsi="Times New Roman" w:cs="Times New Roman"/>
          <w:sz w:val="24"/>
          <w:szCs w:val="24"/>
        </w:rPr>
      </w:pPr>
      <w:r w:rsidRPr="00BC629A">
        <w:rPr>
          <w:rFonts w:ascii="Times New Roman" w:hAnsi="Times New Roman" w:cs="Times New Roman"/>
          <w:sz w:val="24"/>
          <w:szCs w:val="24"/>
        </w:rPr>
        <w:t>Lietuvos Respublikos diplomatinių atstovybių, konsulinių įstaigų ir specialiųjų misijų ekonominių funkcijų vykdymo tvarkos aprašo</w:t>
      </w:r>
    </w:p>
    <w:p w14:paraId="62A03D7E" w14:textId="77777777" w:rsidR="00AC3A0E" w:rsidRPr="00BC629A" w:rsidRDefault="00AC3A0E" w:rsidP="00AC3A0E">
      <w:pPr>
        <w:spacing w:after="0" w:line="240" w:lineRule="auto"/>
        <w:ind w:left="5184"/>
        <w:jc w:val="both"/>
        <w:rPr>
          <w:rFonts w:ascii="Times New Roman" w:hAnsi="Times New Roman" w:cs="Times New Roman"/>
          <w:sz w:val="24"/>
          <w:szCs w:val="24"/>
        </w:rPr>
      </w:pPr>
      <w:r w:rsidRPr="00BC629A">
        <w:rPr>
          <w:rFonts w:ascii="Times New Roman" w:hAnsi="Times New Roman" w:cs="Times New Roman"/>
          <w:sz w:val="24"/>
          <w:szCs w:val="24"/>
        </w:rPr>
        <w:t>3 priedas</w:t>
      </w:r>
    </w:p>
    <w:p w14:paraId="3863EB22" w14:textId="77777777" w:rsidR="00AC3A0E" w:rsidRPr="00BC629A" w:rsidRDefault="00AC3A0E" w:rsidP="00AC3A0E">
      <w:pPr>
        <w:spacing w:after="0" w:line="240" w:lineRule="auto"/>
        <w:ind w:left="5184"/>
        <w:jc w:val="both"/>
        <w:rPr>
          <w:rFonts w:ascii="Times New Roman" w:hAnsi="Times New Roman" w:cs="Times New Roman"/>
          <w:sz w:val="24"/>
          <w:szCs w:val="24"/>
        </w:rPr>
      </w:pPr>
    </w:p>
    <w:p w14:paraId="6C404174" w14:textId="77777777" w:rsidR="00AC3A0E" w:rsidRPr="00BC629A" w:rsidRDefault="00AC3A0E" w:rsidP="00AC3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BF1A1" w14:textId="77777777" w:rsidR="00AC3A0E" w:rsidRPr="00BC629A" w:rsidRDefault="00AC3A0E" w:rsidP="00AC3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29A">
        <w:rPr>
          <w:rFonts w:ascii="Times New Roman" w:hAnsi="Times New Roman" w:cs="Times New Roman"/>
          <w:b/>
          <w:sz w:val="24"/>
          <w:szCs w:val="24"/>
        </w:rPr>
        <w:t>Lietuvos Respublikos ambasados Armėnijos Respublikoje</w:t>
      </w:r>
    </w:p>
    <w:p w14:paraId="63119C4E" w14:textId="77777777" w:rsidR="00AC3A0E" w:rsidRPr="00BC629A" w:rsidRDefault="00AC3A0E" w:rsidP="00AC3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29A">
        <w:rPr>
          <w:rFonts w:ascii="Times New Roman" w:hAnsi="Times New Roman" w:cs="Times New Roman"/>
          <w:b/>
          <w:sz w:val="24"/>
          <w:szCs w:val="24"/>
        </w:rPr>
        <w:t>AKTUALIOS EKONOMINĖS INFORMACIJOS SUVESTINĖ</w:t>
      </w:r>
    </w:p>
    <w:p w14:paraId="35A64F0D" w14:textId="77777777" w:rsidR="00AC3A0E" w:rsidRPr="00BC629A" w:rsidRDefault="00AC3A0E" w:rsidP="00AC3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38315" w14:textId="224CC6A9" w:rsidR="00AC3A0E" w:rsidRPr="00BC629A" w:rsidRDefault="00AC3A0E" w:rsidP="00AC3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29A">
        <w:rPr>
          <w:rFonts w:ascii="Times New Roman" w:hAnsi="Times New Roman" w:cs="Times New Roman"/>
          <w:sz w:val="24"/>
          <w:szCs w:val="24"/>
        </w:rPr>
        <w:t xml:space="preserve">2024 m. </w:t>
      </w:r>
      <w:r w:rsidR="008F609C" w:rsidRPr="00BC629A">
        <w:rPr>
          <w:rFonts w:ascii="Times New Roman" w:hAnsi="Times New Roman" w:cs="Times New Roman"/>
          <w:sz w:val="24"/>
          <w:szCs w:val="24"/>
        </w:rPr>
        <w:t>rugpjūčio</w:t>
      </w:r>
      <w:r w:rsidRPr="00BC629A">
        <w:rPr>
          <w:rFonts w:ascii="Times New Roman" w:hAnsi="Times New Roman" w:cs="Times New Roman"/>
          <w:sz w:val="24"/>
          <w:szCs w:val="24"/>
        </w:rPr>
        <w:t xml:space="preserve"> mėn.</w:t>
      </w:r>
    </w:p>
    <w:p w14:paraId="7B38A2E7" w14:textId="77777777" w:rsidR="00AC3A0E" w:rsidRPr="00BC629A" w:rsidRDefault="00AC3A0E" w:rsidP="00AC3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28" w:type="dxa"/>
        <w:tblLayout w:type="fixed"/>
        <w:tblLook w:val="04A0" w:firstRow="1" w:lastRow="0" w:firstColumn="1" w:lastColumn="0" w:noHBand="0" w:noVBand="1"/>
      </w:tblPr>
      <w:tblGrid>
        <w:gridCol w:w="1413"/>
        <w:gridCol w:w="3969"/>
        <w:gridCol w:w="2835"/>
        <w:gridCol w:w="1411"/>
      </w:tblGrid>
      <w:tr w:rsidR="00AC3A0E" w:rsidRPr="00BC629A" w14:paraId="2F24844F" w14:textId="77777777" w:rsidTr="00C30A16">
        <w:tc>
          <w:tcPr>
            <w:tcW w:w="1413" w:type="dxa"/>
          </w:tcPr>
          <w:p w14:paraId="46CE75CC" w14:textId="77777777" w:rsidR="00AC3A0E" w:rsidRPr="00BC629A" w:rsidRDefault="00AC3A0E" w:rsidP="0070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969" w:type="dxa"/>
          </w:tcPr>
          <w:p w14:paraId="7989F2F1" w14:textId="77777777" w:rsidR="00AC3A0E" w:rsidRPr="00BC629A" w:rsidRDefault="00AC3A0E" w:rsidP="0070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PATEIKIAMOS INFORMACIJOS APIBENDRINIMAS</w:t>
            </w:r>
          </w:p>
        </w:tc>
        <w:tc>
          <w:tcPr>
            <w:tcW w:w="2835" w:type="dxa"/>
          </w:tcPr>
          <w:p w14:paraId="3C39ED9B" w14:textId="77777777" w:rsidR="00AC3A0E" w:rsidRPr="00BC629A" w:rsidRDefault="00AC3A0E" w:rsidP="0070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INFORMACIJOS ŠALTINIS</w:t>
            </w:r>
          </w:p>
        </w:tc>
        <w:tc>
          <w:tcPr>
            <w:tcW w:w="1411" w:type="dxa"/>
          </w:tcPr>
          <w:p w14:paraId="155D1613" w14:textId="77777777" w:rsidR="00AC3A0E" w:rsidRPr="00BC629A" w:rsidRDefault="00AC3A0E" w:rsidP="0070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AC3A0E" w:rsidRPr="00BC629A" w14:paraId="12C64EE5" w14:textId="77777777" w:rsidTr="0070134A">
        <w:tc>
          <w:tcPr>
            <w:tcW w:w="9628" w:type="dxa"/>
            <w:gridSpan w:val="4"/>
          </w:tcPr>
          <w:p w14:paraId="26F4A763" w14:textId="77777777" w:rsidR="00AC3A0E" w:rsidRPr="00BC629A" w:rsidRDefault="00AC3A0E" w:rsidP="007013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b/>
                <w:sz w:val="24"/>
                <w:szCs w:val="24"/>
              </w:rPr>
              <w:t>Lietuvos eksportuotojams aktuali informacija</w:t>
            </w:r>
          </w:p>
        </w:tc>
      </w:tr>
      <w:tr w:rsidR="00AC3A0E" w:rsidRPr="00BC629A" w14:paraId="782DBF97" w14:textId="77777777" w:rsidTr="00C30A16">
        <w:tc>
          <w:tcPr>
            <w:tcW w:w="1413" w:type="dxa"/>
          </w:tcPr>
          <w:p w14:paraId="5CCD5712" w14:textId="77777777" w:rsidR="00AC3A0E" w:rsidRPr="00BC629A" w:rsidRDefault="00AC3A0E" w:rsidP="007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C922A00" w14:textId="77777777" w:rsidR="00AC3A0E" w:rsidRPr="00BC629A" w:rsidRDefault="00AC3A0E" w:rsidP="0070134A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622163" w14:textId="77777777" w:rsidR="00AC3A0E" w:rsidRPr="00BC629A" w:rsidRDefault="00AC3A0E" w:rsidP="0070134A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5A78F35" w14:textId="77777777" w:rsidR="00AC3A0E" w:rsidRPr="00BC629A" w:rsidRDefault="00AC3A0E" w:rsidP="00701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0E" w:rsidRPr="00BC629A" w14:paraId="607ECBAE" w14:textId="77777777" w:rsidTr="0070134A">
        <w:tc>
          <w:tcPr>
            <w:tcW w:w="9628" w:type="dxa"/>
            <w:gridSpan w:val="4"/>
          </w:tcPr>
          <w:p w14:paraId="0E1BEDCF" w14:textId="77777777" w:rsidR="00AC3A0E" w:rsidRPr="00BC629A" w:rsidRDefault="00AC3A0E" w:rsidP="007013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b/>
                <w:sz w:val="24"/>
                <w:szCs w:val="24"/>
              </w:rPr>
              <w:t>Tiesioginėms užsienio investicijoms pritraukti į Lietuvą aktuali informacija</w:t>
            </w:r>
          </w:p>
        </w:tc>
      </w:tr>
      <w:tr w:rsidR="00AC3A0E" w:rsidRPr="00BC629A" w14:paraId="13A69F8B" w14:textId="77777777" w:rsidTr="00C30A16">
        <w:tc>
          <w:tcPr>
            <w:tcW w:w="1413" w:type="dxa"/>
          </w:tcPr>
          <w:p w14:paraId="7B58B5DD" w14:textId="2D004B1D" w:rsidR="00AC3A0E" w:rsidRPr="00BC629A" w:rsidRDefault="00AC3A0E" w:rsidP="007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545CF75" w14:textId="44EF90B9" w:rsidR="00AC3A0E" w:rsidRPr="00BC629A" w:rsidRDefault="00AC3A0E" w:rsidP="007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346BD5" w14:textId="358FEC1D" w:rsidR="00AC3A0E" w:rsidRPr="00BC629A" w:rsidRDefault="00AC3A0E" w:rsidP="007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019AA4A" w14:textId="77777777" w:rsidR="00AC3A0E" w:rsidRPr="00BC629A" w:rsidRDefault="00AC3A0E" w:rsidP="007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0E" w:rsidRPr="00BC629A" w14:paraId="0446911F" w14:textId="77777777" w:rsidTr="0070134A">
        <w:tc>
          <w:tcPr>
            <w:tcW w:w="9628" w:type="dxa"/>
            <w:gridSpan w:val="4"/>
          </w:tcPr>
          <w:p w14:paraId="7A4355FC" w14:textId="77777777" w:rsidR="00AC3A0E" w:rsidRPr="00BC629A" w:rsidRDefault="00AC3A0E" w:rsidP="007013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b/>
                <w:sz w:val="24"/>
                <w:szCs w:val="24"/>
              </w:rPr>
              <w:t>Lietuvos verslo plėtrai užsienyje aktuali informacija</w:t>
            </w:r>
          </w:p>
        </w:tc>
      </w:tr>
      <w:tr w:rsidR="00AC3A0E" w:rsidRPr="00BC629A" w14:paraId="5C37D8C9" w14:textId="77777777" w:rsidTr="00C30A16">
        <w:tc>
          <w:tcPr>
            <w:tcW w:w="1413" w:type="dxa"/>
          </w:tcPr>
          <w:p w14:paraId="223A0D62" w14:textId="77777777" w:rsidR="00AC3A0E" w:rsidRPr="00BC629A" w:rsidRDefault="00AC3A0E" w:rsidP="007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202824" w14:textId="77777777" w:rsidR="00AC3A0E" w:rsidRPr="00BC629A" w:rsidRDefault="00AC3A0E" w:rsidP="00701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</w:tcPr>
          <w:p w14:paraId="74B0C81D" w14:textId="77777777" w:rsidR="00AC3A0E" w:rsidRPr="00BC629A" w:rsidRDefault="00AC3A0E" w:rsidP="00701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CF9F4F9" w14:textId="77777777" w:rsidR="00AC3A0E" w:rsidRPr="00BC629A" w:rsidRDefault="00AC3A0E" w:rsidP="007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0E" w:rsidRPr="00BC629A" w14:paraId="26298B3E" w14:textId="77777777" w:rsidTr="0070134A">
        <w:tc>
          <w:tcPr>
            <w:tcW w:w="9628" w:type="dxa"/>
            <w:gridSpan w:val="4"/>
          </w:tcPr>
          <w:p w14:paraId="6584792C" w14:textId="77777777" w:rsidR="00AC3A0E" w:rsidRPr="00BC629A" w:rsidRDefault="00AC3A0E" w:rsidP="007013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b/>
                <w:sz w:val="24"/>
                <w:szCs w:val="24"/>
              </w:rPr>
              <w:t>Lietuvos turizmo sektoriui aktuali informacija</w:t>
            </w:r>
          </w:p>
        </w:tc>
      </w:tr>
      <w:tr w:rsidR="003B229E" w:rsidRPr="00BC629A" w14:paraId="01C01EE1" w14:textId="77777777" w:rsidTr="00C30A16">
        <w:tc>
          <w:tcPr>
            <w:tcW w:w="1413" w:type="dxa"/>
          </w:tcPr>
          <w:p w14:paraId="22CF7F79" w14:textId="5D5599DA" w:rsidR="003B229E" w:rsidRPr="00BC629A" w:rsidRDefault="003B229E" w:rsidP="003B2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2024-0</w:t>
            </w:r>
            <w:r w:rsidR="005855DE" w:rsidRPr="00BC62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14:paraId="0D5A1668" w14:textId="37FC1F48" w:rsidR="003B229E" w:rsidRPr="00BC629A" w:rsidRDefault="003B229E" w:rsidP="003B229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41A5844" w14:textId="0EA816FC" w:rsidR="00482E5A" w:rsidRPr="00BC629A" w:rsidRDefault="00482E5A" w:rsidP="00585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11B9034B" w14:textId="77777777" w:rsidR="003B229E" w:rsidRPr="00BC629A" w:rsidRDefault="003B229E" w:rsidP="003B2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29E" w:rsidRPr="00BC629A" w14:paraId="76530258" w14:textId="77777777" w:rsidTr="0070134A">
        <w:tc>
          <w:tcPr>
            <w:tcW w:w="9628" w:type="dxa"/>
            <w:gridSpan w:val="4"/>
          </w:tcPr>
          <w:p w14:paraId="426D4DEB" w14:textId="77777777" w:rsidR="003B229E" w:rsidRPr="00BC629A" w:rsidRDefault="003B229E" w:rsidP="003B22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b/>
                <w:sz w:val="24"/>
                <w:szCs w:val="24"/>
              </w:rPr>
              <w:t>Bendradarbiavimui mokslinių tyrimų, eksperimentinės plėtros ir inovacijų (MTEPI) srityse aktuali informacija</w:t>
            </w:r>
          </w:p>
        </w:tc>
      </w:tr>
      <w:tr w:rsidR="00DA1FAA" w:rsidRPr="00BC629A" w14:paraId="4B60F191" w14:textId="77777777" w:rsidTr="00C30A16">
        <w:tc>
          <w:tcPr>
            <w:tcW w:w="1413" w:type="dxa"/>
          </w:tcPr>
          <w:p w14:paraId="698DCFDE" w14:textId="51BD64C8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2024-08-01</w:t>
            </w:r>
          </w:p>
        </w:tc>
        <w:tc>
          <w:tcPr>
            <w:tcW w:w="3969" w:type="dxa"/>
          </w:tcPr>
          <w:p w14:paraId="006C790E" w14:textId="69D0387A" w:rsidR="00DA1FAA" w:rsidRPr="00BC629A" w:rsidRDefault="00DA1FAA" w:rsidP="00DA1FAA">
            <w:pPr>
              <w:pStyle w:val="HTMLPreformatted"/>
              <w:shd w:val="clear" w:color="auto" w:fill="F8F9F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75">
              <w:rPr>
                <w:rFonts w:ascii="Times New Roman" w:hAnsi="Times New Roman" w:cs="Times New Roman"/>
                <w:sz w:val="24"/>
                <w:szCs w:val="24"/>
              </w:rPr>
              <w:t xml:space="preserve">Armėnijos </w:t>
            </w: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B4A75">
              <w:rPr>
                <w:rFonts w:ascii="Times New Roman" w:hAnsi="Times New Roman" w:cs="Times New Roman"/>
                <w:sz w:val="24"/>
                <w:szCs w:val="24"/>
              </w:rPr>
              <w:t>yriausybė patvirtino bandomąją alaus ženklinimo programą</w:t>
            </w: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 xml:space="preserve">. Pagrindinis programos tikslas – elektroninės sekimo sistemos pagalba pamatyti realų prekių apyvartos rinkoje vaizdą. </w:t>
            </w:r>
          </w:p>
        </w:tc>
        <w:tc>
          <w:tcPr>
            <w:tcW w:w="2835" w:type="dxa"/>
          </w:tcPr>
          <w:p w14:paraId="741388C4" w14:textId="77777777" w:rsidR="00DA1FAA" w:rsidRPr="00BC629A" w:rsidRDefault="00000000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A1FAA" w:rsidRPr="00BC62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https://arka.am/en/news/economy/armenian_government_approves_pilot_program_for_beer_labeling/</w:t>
              </w:r>
            </w:hyperlink>
          </w:p>
          <w:p w14:paraId="5C6CB5CC" w14:textId="77777777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187374A" w14:textId="77777777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FAA" w:rsidRPr="00BC629A" w14:paraId="2870799A" w14:textId="77777777" w:rsidTr="0070134A">
        <w:tc>
          <w:tcPr>
            <w:tcW w:w="9628" w:type="dxa"/>
            <w:gridSpan w:val="4"/>
          </w:tcPr>
          <w:p w14:paraId="61201FCA" w14:textId="77777777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b/>
                <w:sz w:val="24"/>
                <w:szCs w:val="24"/>
              </w:rPr>
              <w:t>Lietuvos ekonominiam saugumui aktuali informacija</w:t>
            </w:r>
          </w:p>
        </w:tc>
      </w:tr>
      <w:tr w:rsidR="00DA1FAA" w:rsidRPr="00BC629A" w14:paraId="3C2EB47A" w14:textId="77777777" w:rsidTr="00C30A16">
        <w:tc>
          <w:tcPr>
            <w:tcW w:w="1413" w:type="dxa"/>
          </w:tcPr>
          <w:p w14:paraId="7DF5CE07" w14:textId="77777777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9EDCE83" w14:textId="77777777" w:rsidR="00DA1FAA" w:rsidRPr="00BC629A" w:rsidRDefault="00DA1FAA" w:rsidP="00DA1F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3186E0E" w14:textId="77777777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B42C93B" w14:textId="77777777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FAA" w:rsidRPr="00BC629A" w14:paraId="18B36A76" w14:textId="77777777" w:rsidTr="0070134A">
        <w:tc>
          <w:tcPr>
            <w:tcW w:w="9628" w:type="dxa"/>
            <w:gridSpan w:val="4"/>
          </w:tcPr>
          <w:p w14:paraId="66CE7034" w14:textId="77777777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b/>
                <w:sz w:val="24"/>
                <w:szCs w:val="24"/>
              </w:rPr>
              <w:t>Bendra akreditacijos valstybių ekonominė informacija</w:t>
            </w:r>
          </w:p>
        </w:tc>
      </w:tr>
      <w:tr w:rsidR="00DA1FAA" w:rsidRPr="00BC629A" w14:paraId="5694EF45" w14:textId="77777777" w:rsidTr="00C30A16">
        <w:tc>
          <w:tcPr>
            <w:tcW w:w="1413" w:type="dxa"/>
          </w:tcPr>
          <w:p w14:paraId="374F7480" w14:textId="771235BF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2024-08-01</w:t>
            </w:r>
          </w:p>
        </w:tc>
        <w:tc>
          <w:tcPr>
            <w:tcW w:w="3969" w:type="dxa"/>
          </w:tcPr>
          <w:p w14:paraId="7E352B96" w14:textId="3A842925" w:rsidR="00DA1FAA" w:rsidRPr="00BC629A" w:rsidRDefault="00DA1FAA" w:rsidP="00DA1FA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Armėnijos 2024 m. sausio-birželio mėn. biudžeto pajamos sudarė 92 proc. prognozuotų pajamų. Lyginant su tuo pačiu laikotarpiu praėjusiais metais, valstybės biudžeto pajamos padidėjo 7,2 %, arba 83 mlrd. dramų.</w:t>
            </w:r>
          </w:p>
        </w:tc>
        <w:tc>
          <w:tcPr>
            <w:tcW w:w="2835" w:type="dxa"/>
          </w:tcPr>
          <w:p w14:paraId="025CC70F" w14:textId="7149433D" w:rsidR="00DA1FAA" w:rsidRPr="00BC629A" w:rsidRDefault="00000000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A1FAA" w:rsidRPr="00BC62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https://news.am/eng/news/836667.html</w:t>
              </w:r>
            </w:hyperlink>
          </w:p>
          <w:p w14:paraId="58D61892" w14:textId="4F30F83A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8797547" w14:textId="1BF2F6CA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FAA" w:rsidRPr="00BC629A" w14:paraId="61CBAE05" w14:textId="77777777" w:rsidTr="00C30A16">
        <w:tc>
          <w:tcPr>
            <w:tcW w:w="1413" w:type="dxa"/>
          </w:tcPr>
          <w:p w14:paraId="17639051" w14:textId="421BEA6A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2024-08-05</w:t>
            </w:r>
          </w:p>
        </w:tc>
        <w:tc>
          <w:tcPr>
            <w:tcW w:w="3969" w:type="dxa"/>
          </w:tcPr>
          <w:p w14:paraId="61A429D2" w14:textId="59D16E46" w:rsidR="00DA1FAA" w:rsidRPr="00BC629A" w:rsidRDefault="00DA1FAA" w:rsidP="00DA1FA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Armėnijos nacionalinis statistikos komitetas pranešė, kad 2024 m. liepos mėn. infliacija Armėnijoje siekė 1,4 proc., o kainos liepą, palyginti su birželiu, sumažėjo 0,4 procento</w:t>
            </w:r>
          </w:p>
        </w:tc>
        <w:tc>
          <w:tcPr>
            <w:tcW w:w="2835" w:type="dxa"/>
          </w:tcPr>
          <w:p w14:paraId="71E5588B" w14:textId="166B466C" w:rsidR="00DA1FAA" w:rsidRPr="00BC629A" w:rsidRDefault="00000000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A1FAA" w:rsidRPr="00BC62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https://arka.am/en/news/economy/annual_inflation_in_armenia_was_1_4_per_cent_in_july/</w:t>
              </w:r>
            </w:hyperlink>
          </w:p>
        </w:tc>
        <w:tc>
          <w:tcPr>
            <w:tcW w:w="1411" w:type="dxa"/>
          </w:tcPr>
          <w:p w14:paraId="0682C4FC" w14:textId="77777777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FAA" w:rsidRPr="00BC629A" w14:paraId="225DFD85" w14:textId="77777777" w:rsidTr="00C30A16">
        <w:tc>
          <w:tcPr>
            <w:tcW w:w="1413" w:type="dxa"/>
          </w:tcPr>
          <w:p w14:paraId="5956470E" w14:textId="57A76781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2024-08-06</w:t>
            </w:r>
          </w:p>
        </w:tc>
        <w:tc>
          <w:tcPr>
            <w:tcW w:w="3969" w:type="dxa"/>
          </w:tcPr>
          <w:p w14:paraId="5DF0C0C6" w14:textId="396336E5" w:rsidR="00DA1FAA" w:rsidRPr="00BC629A" w:rsidRDefault="00DA1FAA" w:rsidP="00DA1FA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Žurnalas "</w:t>
            </w:r>
            <w:proofErr w:type="spellStart"/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Euromoney</w:t>
            </w:r>
            <w:proofErr w:type="spellEnd"/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" antrus metus iš eilės pripažino "</w:t>
            </w:r>
            <w:proofErr w:type="spellStart"/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Ardshinbank</w:t>
            </w:r>
            <w:proofErr w:type="spellEnd"/>
            <w:r w:rsidRPr="00BC629A">
              <w:rPr>
                <w:rFonts w:ascii="Times New Roman" w:hAnsi="Times New Roman" w:cs="Times New Roman"/>
                <w:sz w:val="24"/>
                <w:szCs w:val="24"/>
              </w:rPr>
              <w:t xml:space="preserve">" geriausiu verslo banku Armėnijoje. Bankas pripažintas geriausiu dėl aukštos kokybės, įvairių ir lanksčių finansinių paslaugų, puikaus klientų aptarnavimo ir nuolatinių inovacijų, ką </w:t>
            </w:r>
            <w:r w:rsidRPr="00BC6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patvirtina puikūs banko finansiniai rezultatai.</w:t>
            </w:r>
          </w:p>
        </w:tc>
        <w:tc>
          <w:tcPr>
            <w:tcW w:w="2835" w:type="dxa"/>
          </w:tcPr>
          <w:p w14:paraId="782050DB" w14:textId="184E7F03" w:rsidR="00DA1FAA" w:rsidRPr="00BC629A" w:rsidRDefault="00000000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A1FAA" w:rsidRPr="00BC62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https://arka.am/en/news/business/ardshinbank_recognized_as_best_corporate_bank_in_armenia_by_euromoney_magazine_for_second_consecutiv/</w:t>
              </w:r>
            </w:hyperlink>
          </w:p>
        </w:tc>
        <w:tc>
          <w:tcPr>
            <w:tcW w:w="1411" w:type="dxa"/>
          </w:tcPr>
          <w:p w14:paraId="0ACAD51A" w14:textId="77777777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FAA" w:rsidRPr="00BC629A" w14:paraId="251E66BA" w14:textId="77777777" w:rsidTr="00C30A16">
        <w:tc>
          <w:tcPr>
            <w:tcW w:w="1413" w:type="dxa"/>
          </w:tcPr>
          <w:p w14:paraId="3EDD4EAE" w14:textId="63C7108B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2024-08-07</w:t>
            </w:r>
          </w:p>
        </w:tc>
        <w:tc>
          <w:tcPr>
            <w:tcW w:w="3969" w:type="dxa"/>
          </w:tcPr>
          <w:p w14:paraId="4B204A64" w14:textId="522E7E4A" w:rsidR="00DA1FAA" w:rsidRPr="00BC629A" w:rsidRDefault="00DA1FAA" w:rsidP="00DA1FA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Eurazijos stabilizavimo ir plėtros fondo parengtoje ataskaitoje „Suverenus finansavimas Eurazijos regione: pirmasis 2024 m. pusmetis“ nurodoma, kad Armėnija yra Eurazijos regiono šalis, kuriai patvirtinta didžiausia finansavimo suma.</w:t>
            </w:r>
          </w:p>
        </w:tc>
        <w:tc>
          <w:tcPr>
            <w:tcW w:w="2835" w:type="dxa"/>
          </w:tcPr>
          <w:p w14:paraId="3FD57069" w14:textId="0DFE736E" w:rsidR="00DA1FAA" w:rsidRPr="00BC629A" w:rsidRDefault="00000000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A1FAA" w:rsidRPr="00BC62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https://news.am/eng/news/837368.html</w:t>
              </w:r>
            </w:hyperlink>
          </w:p>
          <w:p w14:paraId="30D2CEB9" w14:textId="6441DBE6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251545E" w14:textId="77777777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FAA" w:rsidRPr="00BC629A" w14:paraId="541C52EA" w14:textId="77777777" w:rsidTr="00C30A16">
        <w:tc>
          <w:tcPr>
            <w:tcW w:w="1413" w:type="dxa"/>
          </w:tcPr>
          <w:p w14:paraId="02D99D24" w14:textId="5C903541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2024-08-07</w:t>
            </w:r>
          </w:p>
        </w:tc>
        <w:tc>
          <w:tcPr>
            <w:tcW w:w="3969" w:type="dxa"/>
          </w:tcPr>
          <w:p w14:paraId="716E127E" w14:textId="20403B43" w:rsidR="00DA1FAA" w:rsidRPr="00BC629A" w:rsidRDefault="00DA1FAA" w:rsidP="00DA1FA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 xml:space="preserve">Armėnijos nacionalinis statistikos komitetas pranešė, kad </w:t>
            </w:r>
            <w:r w:rsidRPr="002065A6">
              <w:rPr>
                <w:rFonts w:ascii="Times New Roman" w:hAnsi="Times New Roman" w:cs="Times New Roman"/>
                <w:sz w:val="24"/>
                <w:szCs w:val="24"/>
              </w:rPr>
              <w:t xml:space="preserve">2024 m. pirmąjį pusmetį </w:t>
            </w: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 xml:space="preserve">Armėnijos </w:t>
            </w:r>
            <w:r w:rsidRPr="002065A6">
              <w:rPr>
                <w:rFonts w:ascii="Times New Roman" w:hAnsi="Times New Roman" w:cs="Times New Roman"/>
                <w:sz w:val="24"/>
                <w:szCs w:val="24"/>
              </w:rPr>
              <w:t xml:space="preserve">gamybos </w:t>
            </w: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sektorius išaugo</w:t>
            </w:r>
            <w:r w:rsidRPr="002065A6">
              <w:rPr>
                <w:rFonts w:ascii="Times New Roman" w:hAnsi="Times New Roman" w:cs="Times New Roman"/>
                <w:sz w:val="24"/>
                <w:szCs w:val="24"/>
              </w:rPr>
              <w:t xml:space="preserve"> 27,7 %.</w:t>
            </w:r>
          </w:p>
        </w:tc>
        <w:tc>
          <w:tcPr>
            <w:tcW w:w="2835" w:type="dxa"/>
          </w:tcPr>
          <w:p w14:paraId="26C85042" w14:textId="5B2E3FB2" w:rsidR="00DA1FAA" w:rsidRPr="00BC629A" w:rsidRDefault="00000000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A1FAA" w:rsidRPr="00BC62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https://arka.am/en/news/economy/manufacturing_sector_grows_by_27_7_in_armenia_in_h1_2024/</w:t>
              </w:r>
            </w:hyperlink>
          </w:p>
        </w:tc>
        <w:tc>
          <w:tcPr>
            <w:tcW w:w="1411" w:type="dxa"/>
          </w:tcPr>
          <w:p w14:paraId="6DBBAE58" w14:textId="77777777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FAA" w:rsidRPr="00BC629A" w14:paraId="1EB08371" w14:textId="77777777" w:rsidTr="00C30A16">
        <w:tc>
          <w:tcPr>
            <w:tcW w:w="1413" w:type="dxa"/>
          </w:tcPr>
          <w:p w14:paraId="64CFE3BA" w14:textId="3560D793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2024-08-07</w:t>
            </w:r>
          </w:p>
        </w:tc>
        <w:tc>
          <w:tcPr>
            <w:tcW w:w="3969" w:type="dxa"/>
          </w:tcPr>
          <w:p w14:paraId="16603582" w14:textId="1F5E19CA" w:rsidR="00DA1FAA" w:rsidRPr="00BC629A" w:rsidRDefault="00DA1FAA" w:rsidP="00DA1FA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Armėnijos nacionalinio statistikos komiteto teigimu, elektros energijos gamyba Armėnijoje pirmąjį 2024 m. pusmetį, palyginti su ankstesniais metais, padidėjo 2,2 % ir viršijo 4,5 mlrd. kWh.</w:t>
            </w:r>
          </w:p>
        </w:tc>
        <w:tc>
          <w:tcPr>
            <w:tcW w:w="2835" w:type="dxa"/>
          </w:tcPr>
          <w:p w14:paraId="03F17507" w14:textId="3B755B66" w:rsidR="00DA1FAA" w:rsidRPr="00BC629A" w:rsidRDefault="00000000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A1FAA" w:rsidRPr="00BC62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https://arka.am/en/news/economy/electricity_generation_in_armenia_increases_by_2_2_in_january_june_to_4_5_billion_kwh/</w:t>
              </w:r>
            </w:hyperlink>
          </w:p>
        </w:tc>
        <w:tc>
          <w:tcPr>
            <w:tcW w:w="1411" w:type="dxa"/>
          </w:tcPr>
          <w:p w14:paraId="612334E1" w14:textId="77777777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FAA" w:rsidRPr="00BC629A" w14:paraId="33C616A6" w14:textId="77777777" w:rsidTr="00C30A16">
        <w:tc>
          <w:tcPr>
            <w:tcW w:w="1413" w:type="dxa"/>
          </w:tcPr>
          <w:p w14:paraId="1CA45788" w14:textId="58CBA3E5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2024-08-08</w:t>
            </w:r>
          </w:p>
        </w:tc>
        <w:tc>
          <w:tcPr>
            <w:tcW w:w="3969" w:type="dxa"/>
          </w:tcPr>
          <w:p w14:paraId="67BECBD4" w14:textId="1BE1AB4D" w:rsidR="00DA1FAA" w:rsidRPr="00BC629A" w:rsidRDefault="00DA1FAA" w:rsidP="00DA1FA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Armėnijos vyriausybė ketvirtadienį ratifikavo 75 mln. eurų paskolos sutartį su Prancūzijos plėtros agentūra (</w:t>
            </w:r>
            <w:proofErr w:type="spellStart"/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L'Agence</w:t>
            </w:r>
            <w:proofErr w:type="spellEnd"/>
            <w:r w:rsidRPr="00BC6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française</w:t>
            </w:r>
            <w:proofErr w:type="spellEnd"/>
            <w:r w:rsidRPr="00BC629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développement</w:t>
            </w:r>
            <w:proofErr w:type="spellEnd"/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, AFD). Paskola bus panaudota viešųjų finansų valdymo sistemai tobulinti, valstybės vertybinių popierių ir pinigų rinkų infrastruktūrai stiprinti, naujoms verslo veiklos finansavimo priemonėms kurti ir skaidresniam valdymui užtikrinti.</w:t>
            </w:r>
          </w:p>
        </w:tc>
        <w:tc>
          <w:tcPr>
            <w:tcW w:w="2835" w:type="dxa"/>
          </w:tcPr>
          <w:p w14:paraId="23C73B8D" w14:textId="6BE1BC85" w:rsidR="00DA1FAA" w:rsidRPr="00BC629A" w:rsidRDefault="00000000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A1FAA" w:rsidRPr="00BC62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https://arka.am/en/news/economy/armenia_to_receive_75m_loan_from_french_development_agency_/</w:t>
              </w:r>
            </w:hyperlink>
          </w:p>
          <w:p w14:paraId="1D9E728A" w14:textId="735DBF85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29CC889" w14:textId="77777777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FAA" w:rsidRPr="00BC629A" w14:paraId="0437930E" w14:textId="77777777" w:rsidTr="00C30A16">
        <w:tc>
          <w:tcPr>
            <w:tcW w:w="1413" w:type="dxa"/>
          </w:tcPr>
          <w:p w14:paraId="6B0D5025" w14:textId="45458163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2024-08-08</w:t>
            </w:r>
          </w:p>
        </w:tc>
        <w:tc>
          <w:tcPr>
            <w:tcW w:w="3969" w:type="dxa"/>
          </w:tcPr>
          <w:p w14:paraId="78C88251" w14:textId="187763E2" w:rsidR="00DA1FAA" w:rsidRPr="00BC629A" w:rsidRDefault="00DA1FAA" w:rsidP="00D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Armėnijos nacionalinio statistikos komiteto duomenimis, Armėnijos žemės ūkio, miškininkystės ir žuvininkystės bendroji produkcija pirmąjį 2024 m., palyginti su tuo pačiu laikotarpiu 2023 m., padidėjo 4,3 %</w:t>
            </w:r>
          </w:p>
        </w:tc>
        <w:tc>
          <w:tcPr>
            <w:tcW w:w="2835" w:type="dxa"/>
          </w:tcPr>
          <w:p w14:paraId="3F3C4667" w14:textId="3552C0F8" w:rsidR="00DA1FAA" w:rsidRPr="00BC629A" w:rsidRDefault="00000000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A1FAA" w:rsidRPr="00BC62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https://arka.am/en/news/economy/gross_output_of_armenia_s_agriculture_forestry_and_fisheries_increases_by_4_3_in_first_half_of_2024/</w:t>
              </w:r>
            </w:hyperlink>
          </w:p>
        </w:tc>
        <w:tc>
          <w:tcPr>
            <w:tcW w:w="1411" w:type="dxa"/>
          </w:tcPr>
          <w:p w14:paraId="0665A354" w14:textId="77777777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FAA" w:rsidRPr="00BC629A" w14:paraId="6CEE7019" w14:textId="77777777" w:rsidTr="00C30A16">
        <w:tc>
          <w:tcPr>
            <w:tcW w:w="1413" w:type="dxa"/>
          </w:tcPr>
          <w:p w14:paraId="742B3938" w14:textId="58583C0F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2024-08-09</w:t>
            </w:r>
          </w:p>
        </w:tc>
        <w:tc>
          <w:tcPr>
            <w:tcW w:w="3969" w:type="dxa"/>
          </w:tcPr>
          <w:p w14:paraId="393F05EA" w14:textId="74B9EDB8" w:rsidR="00DA1FAA" w:rsidRPr="00BC629A" w:rsidRDefault="00DA1FAA" w:rsidP="00D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4CA">
              <w:rPr>
                <w:rFonts w:ascii="Times New Roman" w:hAnsi="Times New Roman" w:cs="Times New Roman"/>
                <w:sz w:val="24"/>
                <w:szCs w:val="24"/>
              </w:rPr>
              <w:t>2024 m. I pusmetį Armėnijos vidaus prekybos apyvarta išaugo 22,9 proc.</w:t>
            </w:r>
          </w:p>
        </w:tc>
        <w:tc>
          <w:tcPr>
            <w:tcW w:w="2835" w:type="dxa"/>
          </w:tcPr>
          <w:p w14:paraId="24908FDA" w14:textId="139A95A2" w:rsidR="00DA1FAA" w:rsidRPr="00BC629A" w:rsidRDefault="00000000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A1FAA" w:rsidRPr="00BC62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https://arka.am/en/news/economy/armenia_s_domestic_trade_turnover_surges_by_22_9_in_h1_2024/</w:t>
              </w:r>
            </w:hyperlink>
          </w:p>
          <w:p w14:paraId="41D2C37D" w14:textId="3D2B55D9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4DA27850" w14:textId="77777777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FAA" w:rsidRPr="00BC629A" w14:paraId="065701C8" w14:textId="77777777" w:rsidTr="00C30A16">
        <w:tc>
          <w:tcPr>
            <w:tcW w:w="1413" w:type="dxa"/>
          </w:tcPr>
          <w:p w14:paraId="5B17D560" w14:textId="21B14075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2024-08-13</w:t>
            </w:r>
          </w:p>
        </w:tc>
        <w:tc>
          <w:tcPr>
            <w:tcW w:w="3969" w:type="dxa"/>
          </w:tcPr>
          <w:p w14:paraId="3C61B8EA" w14:textId="727E5CC5" w:rsidR="00DA1FAA" w:rsidRPr="00BC629A" w:rsidRDefault="00DA1FAA" w:rsidP="00D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 xml:space="preserve">Armėnijos vertybinių popierių biržos (AMX) generalinis direktorius H. </w:t>
            </w:r>
            <w:proofErr w:type="spellStart"/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Yeganyanas</w:t>
            </w:r>
            <w:proofErr w:type="spellEnd"/>
            <w:r w:rsidRPr="00BC629A">
              <w:rPr>
                <w:rFonts w:ascii="Times New Roman" w:hAnsi="Times New Roman" w:cs="Times New Roman"/>
                <w:sz w:val="24"/>
                <w:szCs w:val="24"/>
              </w:rPr>
              <w:t xml:space="preserve"> ir Abu Dabio vertybinių popierių biržos (ADX) grupės generalinis direktorius A. S. </w:t>
            </w:r>
            <w:proofErr w:type="spellStart"/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Alnuaimi</w:t>
            </w:r>
            <w:proofErr w:type="spellEnd"/>
            <w:r w:rsidRPr="00BC629A">
              <w:rPr>
                <w:rFonts w:ascii="Times New Roman" w:hAnsi="Times New Roman" w:cs="Times New Roman"/>
                <w:sz w:val="24"/>
                <w:szCs w:val="24"/>
              </w:rPr>
              <w:t xml:space="preserve"> pasirašė susitarimo memorandumą (</w:t>
            </w:r>
            <w:proofErr w:type="spellStart"/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MoU</w:t>
            </w:r>
            <w:proofErr w:type="spellEnd"/>
            <w:r w:rsidRPr="00BC629A">
              <w:rPr>
                <w:rFonts w:ascii="Times New Roman" w:hAnsi="Times New Roman" w:cs="Times New Roman"/>
                <w:sz w:val="24"/>
                <w:szCs w:val="24"/>
              </w:rPr>
              <w:t xml:space="preserve">). Šiuo susitarimo </w:t>
            </w:r>
            <w:r w:rsidRPr="00BC6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memorandumu siekiama užmegzti abipusiai naudingus bendradarbiavimo santykius ir stiprinti abiejų biržų strateginę partnerystę.</w:t>
            </w:r>
          </w:p>
        </w:tc>
        <w:tc>
          <w:tcPr>
            <w:tcW w:w="2835" w:type="dxa"/>
          </w:tcPr>
          <w:p w14:paraId="57213B91" w14:textId="43B0CE69" w:rsidR="00DA1FAA" w:rsidRPr="00BC629A" w:rsidRDefault="00000000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A1FAA" w:rsidRPr="00BC62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https://en.armradio.am/2024/08/13/armenia-abu-dhabi-securities-exchanges-keen-to-develop-cooperation-under-new-mou/</w:t>
              </w:r>
            </w:hyperlink>
          </w:p>
          <w:p w14:paraId="0BFFB836" w14:textId="2697D3A5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C4AA2DE" w14:textId="77777777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FAA" w:rsidRPr="00BC629A" w14:paraId="02A271A4" w14:textId="77777777" w:rsidTr="00C30A16">
        <w:tc>
          <w:tcPr>
            <w:tcW w:w="1413" w:type="dxa"/>
          </w:tcPr>
          <w:p w14:paraId="460CABF3" w14:textId="3E9D4ABD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2024-08-15</w:t>
            </w:r>
          </w:p>
        </w:tc>
        <w:tc>
          <w:tcPr>
            <w:tcW w:w="3969" w:type="dxa"/>
          </w:tcPr>
          <w:p w14:paraId="6F2D6B81" w14:textId="4CBC6513" w:rsidR="00DA1FAA" w:rsidRPr="00BC629A" w:rsidRDefault="00DA1FAA" w:rsidP="00DA1FA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 xml:space="preserve">Armėnijos Vyriausybės nusprendė, kad </w:t>
            </w:r>
            <w:proofErr w:type="spellStart"/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Aragacotno</w:t>
            </w:r>
            <w:proofErr w:type="spellEnd"/>
            <w:r w:rsidRPr="00BC629A">
              <w:rPr>
                <w:rFonts w:ascii="Times New Roman" w:hAnsi="Times New Roman" w:cs="Times New Roman"/>
                <w:sz w:val="24"/>
                <w:szCs w:val="24"/>
              </w:rPr>
              <w:t xml:space="preserve"> regione bus sukurta laisvoji ekonominė zona (LEZ). Projekto tikslas - sukurti aukšto lygio regioninio lygmens slidinėjimo kurortą, kuris prisidės prie šalies turistinio patrauklumo didinimo ir darnaus šalies / regiono socialinio ir ekonominio vystymosi.</w:t>
            </w:r>
          </w:p>
        </w:tc>
        <w:tc>
          <w:tcPr>
            <w:tcW w:w="2835" w:type="dxa"/>
          </w:tcPr>
          <w:p w14:paraId="692B0626" w14:textId="4BE293C1" w:rsidR="00DA1FAA" w:rsidRPr="00BC629A" w:rsidRDefault="00000000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A1FAA" w:rsidRPr="00BC62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https://en.armradio.am/2024/08/15/free-economic-zone-to-be-created-in-armenias-aragatsotn-province/</w:t>
              </w:r>
            </w:hyperlink>
          </w:p>
          <w:p w14:paraId="07F89FB2" w14:textId="77777777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23916" w14:textId="4C0D45E2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AD4D955" w14:textId="77777777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FAA" w:rsidRPr="00BC629A" w14:paraId="5A914616" w14:textId="77777777" w:rsidTr="00C30A16">
        <w:tc>
          <w:tcPr>
            <w:tcW w:w="1413" w:type="dxa"/>
          </w:tcPr>
          <w:p w14:paraId="14EA7BE5" w14:textId="76E5A4A7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2024-08-19</w:t>
            </w:r>
          </w:p>
        </w:tc>
        <w:tc>
          <w:tcPr>
            <w:tcW w:w="3969" w:type="dxa"/>
          </w:tcPr>
          <w:p w14:paraId="029FBCF6" w14:textId="3578795E" w:rsidR="00DA1FAA" w:rsidRPr="00BC629A" w:rsidRDefault="00DA1FAA" w:rsidP="00D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Vakarų sankcijos Rusijai nulėmė, kad komercinių bankų pagalba į Armėniją siunčiamų pinigų perlaidų per pirmąjį šių metų pusmetį sumažėjo apie 14 procentų.</w:t>
            </w:r>
          </w:p>
        </w:tc>
        <w:tc>
          <w:tcPr>
            <w:tcW w:w="2835" w:type="dxa"/>
          </w:tcPr>
          <w:p w14:paraId="51C673C3" w14:textId="1B54F8BE" w:rsidR="00DA1FAA" w:rsidRPr="00BC629A" w:rsidRDefault="00000000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A1FAA" w:rsidRPr="00BC62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https://www.azatutyun.am/a/33084673.html</w:t>
              </w:r>
            </w:hyperlink>
          </w:p>
          <w:p w14:paraId="7F90264D" w14:textId="77777777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0E8C2" w14:textId="4B11590F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1A8E2795" w14:textId="77777777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FAA" w:rsidRPr="00BC629A" w14:paraId="7762E6A3" w14:textId="77777777" w:rsidTr="00C30A16">
        <w:tc>
          <w:tcPr>
            <w:tcW w:w="1413" w:type="dxa"/>
          </w:tcPr>
          <w:p w14:paraId="122BE782" w14:textId="23082706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2024-08-20</w:t>
            </w:r>
          </w:p>
        </w:tc>
        <w:tc>
          <w:tcPr>
            <w:tcW w:w="3969" w:type="dxa"/>
          </w:tcPr>
          <w:p w14:paraId="395D17AE" w14:textId="6DF3B029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B4">
              <w:rPr>
                <w:rFonts w:ascii="Times New Roman" w:hAnsi="Times New Roman" w:cs="Times New Roman"/>
                <w:sz w:val="24"/>
                <w:szCs w:val="24"/>
              </w:rPr>
              <w:t>2024 m. II ketvirtį Armėnijos BVP augo 6,4 proc.</w:t>
            </w:r>
          </w:p>
        </w:tc>
        <w:tc>
          <w:tcPr>
            <w:tcW w:w="2835" w:type="dxa"/>
          </w:tcPr>
          <w:p w14:paraId="4362438E" w14:textId="70DA4FAF" w:rsidR="00DA1FAA" w:rsidRPr="00BC629A" w:rsidRDefault="00000000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A1FAA" w:rsidRPr="00BC62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https://arka.am/en/news/economy/armenia_s_gdp_grows_by_6_4_in_q2_2024/</w:t>
              </w:r>
            </w:hyperlink>
          </w:p>
        </w:tc>
        <w:tc>
          <w:tcPr>
            <w:tcW w:w="1411" w:type="dxa"/>
          </w:tcPr>
          <w:p w14:paraId="2BC67428" w14:textId="77777777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FAA" w:rsidRPr="00BC629A" w14:paraId="4B836092" w14:textId="77777777" w:rsidTr="00C30A16">
        <w:tc>
          <w:tcPr>
            <w:tcW w:w="1413" w:type="dxa"/>
          </w:tcPr>
          <w:p w14:paraId="56A784BF" w14:textId="534075F5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2024-08-26</w:t>
            </w:r>
          </w:p>
        </w:tc>
        <w:tc>
          <w:tcPr>
            <w:tcW w:w="3969" w:type="dxa"/>
          </w:tcPr>
          <w:p w14:paraId="739C801B" w14:textId="5E964AFB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 xml:space="preserve">Tarptautinė reitingų agentūra „Standard &amp; </w:t>
            </w:r>
            <w:proofErr w:type="spellStart"/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Poor's</w:t>
            </w:r>
            <w:proofErr w:type="spellEnd"/>
            <w:r w:rsidRPr="00BC629A">
              <w:rPr>
                <w:rFonts w:ascii="Times New Roman" w:hAnsi="Times New Roman" w:cs="Times New Roman"/>
                <w:sz w:val="24"/>
                <w:szCs w:val="24"/>
              </w:rPr>
              <w:t xml:space="preserve"> Global </w:t>
            </w:r>
            <w:proofErr w:type="spellStart"/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Ratings</w:t>
            </w:r>
            <w:proofErr w:type="spellEnd"/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“ patvirtino Armėnijos valstybės kredito reitingus „BB-/B“. Ilgalaikių reitingų perspektyva - stabili.</w:t>
            </w:r>
          </w:p>
        </w:tc>
        <w:tc>
          <w:tcPr>
            <w:tcW w:w="2835" w:type="dxa"/>
          </w:tcPr>
          <w:p w14:paraId="55EB7B27" w14:textId="46C75786" w:rsidR="00DA1FAA" w:rsidRPr="00BC629A" w:rsidRDefault="00000000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A1FAA" w:rsidRPr="00BC62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https://en.armradio.am/2024/08/26/armenia-bb-b-ratings-affirmed-outlook-stable-standard-poors/</w:t>
              </w:r>
            </w:hyperlink>
          </w:p>
        </w:tc>
        <w:tc>
          <w:tcPr>
            <w:tcW w:w="1411" w:type="dxa"/>
          </w:tcPr>
          <w:p w14:paraId="45E05E03" w14:textId="77777777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FAA" w:rsidRPr="00BC629A" w14:paraId="1BD16052" w14:textId="77777777" w:rsidTr="00C30A16">
        <w:tc>
          <w:tcPr>
            <w:tcW w:w="1413" w:type="dxa"/>
          </w:tcPr>
          <w:p w14:paraId="40D6EB4D" w14:textId="152DC1D4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2024-08-26</w:t>
            </w:r>
          </w:p>
        </w:tc>
        <w:tc>
          <w:tcPr>
            <w:tcW w:w="3969" w:type="dxa"/>
          </w:tcPr>
          <w:p w14:paraId="100DB973" w14:textId="74A04810" w:rsidR="00DA1FAA" w:rsidRPr="00BC629A" w:rsidRDefault="00DA1FAA" w:rsidP="00D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Nacionalinio Statistikos komiteto duomenimis, Armėnijos ekonominio aktyvumo indeksas sausio-liepos mėn. išaugo 9,6 %, palyginti su 2023 m. tuo pačiu laikotarpiu.</w:t>
            </w:r>
          </w:p>
        </w:tc>
        <w:tc>
          <w:tcPr>
            <w:tcW w:w="2835" w:type="dxa"/>
          </w:tcPr>
          <w:p w14:paraId="1993E87F" w14:textId="31497A20" w:rsidR="00DA1FAA" w:rsidRPr="00BC629A" w:rsidRDefault="00000000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A1FAA" w:rsidRPr="00BC62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https://armenpress.am/en/article/1198349</w:t>
              </w:r>
            </w:hyperlink>
          </w:p>
          <w:p w14:paraId="79902766" w14:textId="1581A2AA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A445DDB" w14:textId="77777777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FAA" w:rsidRPr="00BC629A" w14:paraId="6B7ADD48" w14:textId="77777777" w:rsidTr="00C30A16">
        <w:tc>
          <w:tcPr>
            <w:tcW w:w="1413" w:type="dxa"/>
          </w:tcPr>
          <w:p w14:paraId="4A68E163" w14:textId="0DA13876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2024-08-27</w:t>
            </w:r>
          </w:p>
        </w:tc>
        <w:tc>
          <w:tcPr>
            <w:tcW w:w="3969" w:type="dxa"/>
          </w:tcPr>
          <w:p w14:paraId="349B6443" w14:textId="7C442D99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Armėnijos vyriausybė tikisi, kad iki metų pabaigos ekonomikos augimas sieks apie 6 %.</w:t>
            </w:r>
          </w:p>
        </w:tc>
        <w:tc>
          <w:tcPr>
            <w:tcW w:w="2835" w:type="dxa"/>
          </w:tcPr>
          <w:p w14:paraId="127FA9F0" w14:textId="191477DE" w:rsidR="00DA1FAA" w:rsidRPr="00BC629A" w:rsidRDefault="00000000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A1FAA" w:rsidRPr="00BC62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https://armenpress.am/en/article/1198344</w:t>
              </w:r>
            </w:hyperlink>
          </w:p>
          <w:p w14:paraId="1FE70B38" w14:textId="16D7C72E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7DA62F8B" w14:textId="77777777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FAA" w:rsidRPr="00BC629A" w14:paraId="174A74CA" w14:textId="77777777" w:rsidTr="00C30A16">
        <w:tc>
          <w:tcPr>
            <w:tcW w:w="1413" w:type="dxa"/>
          </w:tcPr>
          <w:p w14:paraId="2688C0B6" w14:textId="0248B5F1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2024-08-27</w:t>
            </w:r>
          </w:p>
        </w:tc>
        <w:tc>
          <w:tcPr>
            <w:tcW w:w="3969" w:type="dxa"/>
          </w:tcPr>
          <w:p w14:paraId="6755DA8F" w14:textId="4EADCAA6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Armėnijos centrinio banko valdyba preliminariai pritarė, kad „</w:t>
            </w:r>
            <w:proofErr w:type="spellStart"/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Ardshinbank</w:t>
            </w:r>
            <w:proofErr w:type="spellEnd"/>
            <w:r w:rsidRPr="00BC629A">
              <w:rPr>
                <w:rFonts w:ascii="Times New Roman" w:hAnsi="Times New Roman" w:cs="Times New Roman"/>
                <w:sz w:val="24"/>
                <w:szCs w:val="24"/>
              </w:rPr>
              <w:t xml:space="preserve"> CJSC“ įsigytų 75 ir daugiau procentų tiesioginio reikšmingo „HSBC Bank </w:t>
            </w:r>
            <w:proofErr w:type="spellStart"/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Armenia</w:t>
            </w:r>
            <w:proofErr w:type="spellEnd"/>
            <w:r w:rsidRPr="00BC629A">
              <w:rPr>
                <w:rFonts w:ascii="Times New Roman" w:hAnsi="Times New Roman" w:cs="Times New Roman"/>
                <w:sz w:val="24"/>
                <w:szCs w:val="24"/>
              </w:rPr>
              <w:t xml:space="preserve"> CJSC“ įstatinio fondo akcijų paketo.</w:t>
            </w:r>
          </w:p>
        </w:tc>
        <w:tc>
          <w:tcPr>
            <w:tcW w:w="2835" w:type="dxa"/>
          </w:tcPr>
          <w:p w14:paraId="67F7FA51" w14:textId="1E761581" w:rsidR="00DA1FAA" w:rsidRPr="00BC629A" w:rsidRDefault="00000000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A1FAA" w:rsidRPr="00BC62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https://armenpress.am/en/article/1198412</w:t>
              </w:r>
            </w:hyperlink>
          </w:p>
          <w:p w14:paraId="63AE94FC" w14:textId="699BE935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B967D1C" w14:textId="77777777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FAA" w:rsidRPr="00BC629A" w14:paraId="217430FB" w14:textId="77777777" w:rsidTr="00C30A16">
        <w:tc>
          <w:tcPr>
            <w:tcW w:w="1413" w:type="dxa"/>
          </w:tcPr>
          <w:p w14:paraId="2D15735F" w14:textId="33744026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2024-08-29</w:t>
            </w:r>
          </w:p>
        </w:tc>
        <w:tc>
          <w:tcPr>
            <w:tcW w:w="3969" w:type="dxa"/>
          </w:tcPr>
          <w:p w14:paraId="2AF7D868" w14:textId="0A9F21CA" w:rsidR="00DA1FAA" w:rsidRPr="00BC629A" w:rsidRDefault="00DA1FAA" w:rsidP="00DA1FAA">
            <w:pPr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sz w:val="24"/>
                <w:szCs w:val="24"/>
              </w:rPr>
              <w:t>Armėnijos ekonomikos ministerijos teigimu, 2024 m. sausio-birželio mėn., palyginti su praėjusių metų tuo pačiu laikotarpiu, užfiksuotas reikšmingas ekonomikos augimas. Ataskaitiniu laikotarpiu ekonomikos augimo indeksas buvo 10,4 proc.</w:t>
            </w:r>
          </w:p>
        </w:tc>
        <w:tc>
          <w:tcPr>
            <w:tcW w:w="2835" w:type="dxa"/>
          </w:tcPr>
          <w:p w14:paraId="54BB1A90" w14:textId="7000ED6C" w:rsidR="00DA1FAA" w:rsidRPr="00BC629A" w:rsidRDefault="00000000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A1FAA" w:rsidRPr="00BC62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https://armenpress.am/en/article/1198545</w:t>
              </w:r>
            </w:hyperlink>
          </w:p>
          <w:p w14:paraId="0135DFE8" w14:textId="43595AF5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0ADB7DC2" w14:textId="77777777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FAA" w:rsidRPr="00BC629A" w14:paraId="41F62CFE" w14:textId="77777777" w:rsidTr="00C30A16">
        <w:tc>
          <w:tcPr>
            <w:tcW w:w="1413" w:type="dxa"/>
          </w:tcPr>
          <w:p w14:paraId="638801AC" w14:textId="307F806A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6B3EDC9" w14:textId="55E0EA0B" w:rsidR="00DA1FAA" w:rsidRPr="00BC629A" w:rsidRDefault="00DA1FAA" w:rsidP="00D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9FD6E69" w14:textId="1E955EBC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A816B17" w14:textId="77777777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FAA" w:rsidRPr="00BC629A" w14:paraId="03EEABEA" w14:textId="77777777" w:rsidTr="0070134A">
        <w:tc>
          <w:tcPr>
            <w:tcW w:w="9628" w:type="dxa"/>
            <w:gridSpan w:val="4"/>
          </w:tcPr>
          <w:p w14:paraId="22DFEF5E" w14:textId="77777777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29A">
              <w:rPr>
                <w:rFonts w:ascii="Times New Roman" w:hAnsi="Times New Roman" w:cs="Times New Roman"/>
                <w:b/>
                <w:sz w:val="24"/>
                <w:szCs w:val="24"/>
              </w:rPr>
              <w:t>Kita ekonominiam bendradarbiavimui aktuali informacija</w:t>
            </w:r>
          </w:p>
        </w:tc>
      </w:tr>
      <w:tr w:rsidR="00DA1FAA" w:rsidRPr="00BC629A" w14:paraId="70CF0FCD" w14:textId="77777777" w:rsidTr="00C30A16">
        <w:trPr>
          <w:trHeight w:val="351"/>
        </w:trPr>
        <w:tc>
          <w:tcPr>
            <w:tcW w:w="1413" w:type="dxa"/>
          </w:tcPr>
          <w:p w14:paraId="7645DD69" w14:textId="77777777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14C0831" w14:textId="77777777" w:rsidR="00DA1FAA" w:rsidRPr="00BC629A" w:rsidRDefault="00DA1FAA" w:rsidP="00DA1FA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35" w:type="dxa"/>
          </w:tcPr>
          <w:p w14:paraId="0CE3342B" w14:textId="77777777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03550C8C" w14:textId="77777777" w:rsidR="00DA1FAA" w:rsidRPr="00BC629A" w:rsidRDefault="00DA1FAA" w:rsidP="00DA1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9E2D7A" w14:textId="77777777" w:rsidR="00AC3A0E" w:rsidRPr="00BC629A" w:rsidRDefault="00AC3A0E" w:rsidP="00AC3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3716C" w14:textId="6DE7C1E3" w:rsidR="00AC3A0E" w:rsidRPr="00BC629A" w:rsidRDefault="00AC3A0E" w:rsidP="00AC3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9A">
        <w:rPr>
          <w:rFonts w:ascii="Times New Roman" w:hAnsi="Times New Roman" w:cs="Times New Roman"/>
          <w:sz w:val="24"/>
          <w:szCs w:val="24"/>
        </w:rPr>
        <w:t>Rengėjas (-ai): LR ambasados Armėnijoje atašė Ūka Gendrė Sokolin</w:t>
      </w:r>
      <w:r w:rsidR="007903C0">
        <w:rPr>
          <w:rFonts w:ascii="Times New Roman" w:hAnsi="Times New Roman" w:cs="Times New Roman"/>
          <w:sz w:val="24"/>
          <w:szCs w:val="24"/>
        </w:rPr>
        <w:t>s</w:t>
      </w:r>
      <w:r w:rsidRPr="00BC629A">
        <w:rPr>
          <w:rFonts w:ascii="Times New Roman" w:hAnsi="Times New Roman" w:cs="Times New Roman"/>
          <w:sz w:val="24"/>
          <w:szCs w:val="24"/>
        </w:rPr>
        <w:t xml:space="preserve">kienė; +37410297682, +37070653736, </w:t>
      </w:r>
      <w:hyperlink r:id="rId24" w:history="1">
        <w:r w:rsidR="007D1306" w:rsidRPr="00BC629A">
          <w:rPr>
            <w:rStyle w:val="Hyperlink"/>
            <w:rFonts w:ascii="Times New Roman" w:hAnsi="Times New Roman" w:cs="Times New Roman"/>
            <w:sz w:val="24"/>
            <w:szCs w:val="24"/>
          </w:rPr>
          <w:t>ukagendre.sokolinskiene@urm.lt</w:t>
        </w:r>
      </w:hyperlink>
    </w:p>
    <w:p w14:paraId="4B62F661" w14:textId="77777777" w:rsidR="00AC3A0E" w:rsidRPr="00BC629A" w:rsidRDefault="00AC3A0E" w:rsidP="00AC3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9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D50E03A" w14:textId="613FFC05" w:rsidR="008C5C1D" w:rsidRPr="00BC629A" w:rsidRDefault="008C5C1D">
      <w:pPr>
        <w:rPr>
          <w:rFonts w:ascii="Times New Roman" w:hAnsi="Times New Roman" w:cs="Times New Roman"/>
          <w:sz w:val="24"/>
          <w:szCs w:val="24"/>
        </w:rPr>
      </w:pPr>
    </w:p>
    <w:sectPr w:rsidR="008C5C1D" w:rsidRPr="00BC629A" w:rsidSect="00AC3A0E">
      <w:pgSz w:w="11906" w:h="16838"/>
      <w:pgMar w:top="993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7EB"/>
    <w:multiLevelType w:val="hybridMultilevel"/>
    <w:tmpl w:val="062C26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D74B3"/>
    <w:multiLevelType w:val="hybridMultilevel"/>
    <w:tmpl w:val="97F066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077731">
    <w:abstractNumId w:val="1"/>
  </w:num>
  <w:num w:numId="2" w16cid:durableId="186436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0E"/>
    <w:rsid w:val="0004144E"/>
    <w:rsid w:val="00065109"/>
    <w:rsid w:val="00080872"/>
    <w:rsid w:val="000A3AFA"/>
    <w:rsid w:val="000C6A3E"/>
    <w:rsid w:val="000D17BB"/>
    <w:rsid w:val="000F3866"/>
    <w:rsid w:val="001308B2"/>
    <w:rsid w:val="001F3ABC"/>
    <w:rsid w:val="002065A6"/>
    <w:rsid w:val="00225825"/>
    <w:rsid w:val="00286B6A"/>
    <w:rsid w:val="00292D4B"/>
    <w:rsid w:val="002B6658"/>
    <w:rsid w:val="002C515A"/>
    <w:rsid w:val="00312F89"/>
    <w:rsid w:val="00323F69"/>
    <w:rsid w:val="00353FD5"/>
    <w:rsid w:val="003636C7"/>
    <w:rsid w:val="003909A3"/>
    <w:rsid w:val="00393943"/>
    <w:rsid w:val="003979B9"/>
    <w:rsid w:val="003B229E"/>
    <w:rsid w:val="003C07F5"/>
    <w:rsid w:val="003F1BF3"/>
    <w:rsid w:val="004035CB"/>
    <w:rsid w:val="00436128"/>
    <w:rsid w:val="0044164A"/>
    <w:rsid w:val="004554D9"/>
    <w:rsid w:val="00473A42"/>
    <w:rsid w:val="00474F26"/>
    <w:rsid w:val="00476EB4"/>
    <w:rsid w:val="00482E5A"/>
    <w:rsid w:val="004E01DC"/>
    <w:rsid w:val="004E0898"/>
    <w:rsid w:val="00504914"/>
    <w:rsid w:val="005332B2"/>
    <w:rsid w:val="005855DE"/>
    <w:rsid w:val="005D4A5A"/>
    <w:rsid w:val="005E54C7"/>
    <w:rsid w:val="00624DE4"/>
    <w:rsid w:val="00635AC6"/>
    <w:rsid w:val="006378A6"/>
    <w:rsid w:val="00645EDD"/>
    <w:rsid w:val="006A2750"/>
    <w:rsid w:val="006B377D"/>
    <w:rsid w:val="006B4A75"/>
    <w:rsid w:val="00710314"/>
    <w:rsid w:val="00722AB1"/>
    <w:rsid w:val="00736360"/>
    <w:rsid w:val="00746326"/>
    <w:rsid w:val="00772F3E"/>
    <w:rsid w:val="007903C0"/>
    <w:rsid w:val="007A0C72"/>
    <w:rsid w:val="007D1306"/>
    <w:rsid w:val="007E31B8"/>
    <w:rsid w:val="008037DF"/>
    <w:rsid w:val="008145D3"/>
    <w:rsid w:val="008A65AD"/>
    <w:rsid w:val="008C5C1D"/>
    <w:rsid w:val="008E0535"/>
    <w:rsid w:val="008F609C"/>
    <w:rsid w:val="00905EA2"/>
    <w:rsid w:val="00A173EF"/>
    <w:rsid w:val="00A34ED0"/>
    <w:rsid w:val="00A8217F"/>
    <w:rsid w:val="00A943CC"/>
    <w:rsid w:val="00AA5A42"/>
    <w:rsid w:val="00AC3A0E"/>
    <w:rsid w:val="00AE2702"/>
    <w:rsid w:val="00AF3CD9"/>
    <w:rsid w:val="00B070BE"/>
    <w:rsid w:val="00B15E0C"/>
    <w:rsid w:val="00B55F00"/>
    <w:rsid w:val="00BC629A"/>
    <w:rsid w:val="00C243EE"/>
    <w:rsid w:val="00C25B2C"/>
    <w:rsid w:val="00C2654E"/>
    <w:rsid w:val="00C30A16"/>
    <w:rsid w:val="00C33CB4"/>
    <w:rsid w:val="00C56FE8"/>
    <w:rsid w:val="00CB5774"/>
    <w:rsid w:val="00CC5334"/>
    <w:rsid w:val="00CE2725"/>
    <w:rsid w:val="00CF0179"/>
    <w:rsid w:val="00D31410"/>
    <w:rsid w:val="00D55036"/>
    <w:rsid w:val="00D84AF6"/>
    <w:rsid w:val="00DA1FAA"/>
    <w:rsid w:val="00DB0B18"/>
    <w:rsid w:val="00DE68E3"/>
    <w:rsid w:val="00DF19DF"/>
    <w:rsid w:val="00E11AE2"/>
    <w:rsid w:val="00E22C63"/>
    <w:rsid w:val="00E92348"/>
    <w:rsid w:val="00E94A3F"/>
    <w:rsid w:val="00E9769C"/>
    <w:rsid w:val="00EE0FC7"/>
    <w:rsid w:val="00EF5B43"/>
    <w:rsid w:val="00F144CA"/>
    <w:rsid w:val="00F274DF"/>
    <w:rsid w:val="00F477DD"/>
    <w:rsid w:val="00F5479F"/>
    <w:rsid w:val="00F81E7F"/>
    <w:rsid w:val="00FB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1F03"/>
  <w15:chartTrackingRefBased/>
  <w15:docId w15:val="{6EEDA1E9-3D9C-4025-BB07-7C595A6B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A0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A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A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A0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A0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A0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A0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A0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A0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A0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A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A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A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A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A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A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A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A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A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A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C3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A0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C3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A0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C3A0E"/>
    <w:rPr>
      <w:i/>
      <w:iCs/>
      <w:color w:val="404040" w:themeColor="text1" w:themeTint="BF"/>
    </w:rPr>
  </w:style>
  <w:style w:type="paragraph" w:styleId="ListParagraph">
    <w:name w:val="List Paragraph"/>
    <w:aliases w:val="Dot pt,F5 List Paragraph,List Paragraph1,No Spacing1,List Paragraph Char Char Char,Indicator Text,Numbered Para 1,Bullet 1,Bullet Points,MAIN CONTENT,List Paragraph11,List Paragraph12,List Paragraph2,OBC Bullet,l"/>
    <w:basedOn w:val="Normal"/>
    <w:uiPriority w:val="34"/>
    <w:qFormat/>
    <w:rsid w:val="00AC3A0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C3A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A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A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A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3A0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3A0E"/>
    <w:rPr>
      <w:color w:val="467886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C3A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C3A0E"/>
    <w:rPr>
      <w:rFonts w:ascii="Consolas" w:hAnsi="Consolas"/>
      <w:kern w:val="0"/>
      <w:sz w:val="20"/>
      <w:szCs w:val="20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3A0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3A0E"/>
    <w:rPr>
      <w:rFonts w:ascii="Calibri" w:hAnsi="Calibri"/>
      <w:kern w:val="0"/>
      <w:sz w:val="22"/>
      <w:szCs w:val="21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C3A0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7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B5774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27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ka.am/en/news/business/ardshinbank_recognized_as_best_corporate_bank_in_armenia_by_euromoney_magazine_for_second_consecutiv/" TargetMode="External"/><Relationship Id="rId13" Type="http://schemas.openxmlformats.org/officeDocument/2006/relationships/hyperlink" Target="https://arka.am/en/news/economy/gross_output_of_armenia_s_agriculture_forestry_and_fisheries_increases_by_4_3_in_first_half_of_2024/" TargetMode="External"/><Relationship Id="rId18" Type="http://schemas.openxmlformats.org/officeDocument/2006/relationships/hyperlink" Target="https://arka.am/en/news/economy/armenia_s_gdp_grows_by_6_4_in_q2_2024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armenpress.am/en/article/1198344" TargetMode="External"/><Relationship Id="rId7" Type="http://schemas.openxmlformats.org/officeDocument/2006/relationships/hyperlink" Target="https://arka.am/en/news/economy/annual_inflation_in_armenia_was_1_4_per_cent_in_july/" TargetMode="External"/><Relationship Id="rId12" Type="http://schemas.openxmlformats.org/officeDocument/2006/relationships/hyperlink" Target="https://arka.am/en/news/economy/armenia_to_receive_75m_loan_from_french_development_agency_/" TargetMode="External"/><Relationship Id="rId17" Type="http://schemas.openxmlformats.org/officeDocument/2006/relationships/hyperlink" Target="https://www.azatutyun.am/a/33084673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armradio.am/2024/08/15/free-economic-zone-to-be-created-in-armenias-aragatsotn-province/" TargetMode="External"/><Relationship Id="rId20" Type="http://schemas.openxmlformats.org/officeDocument/2006/relationships/hyperlink" Target="https://armenpress.am/en/article/11983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ews.am/eng/news/836667.html" TargetMode="External"/><Relationship Id="rId11" Type="http://schemas.openxmlformats.org/officeDocument/2006/relationships/hyperlink" Target="https://arka.am/en/news/economy/electricity_generation_in_armenia_increases_by_2_2_in_january_june_to_4_5_billion_kwh/" TargetMode="External"/><Relationship Id="rId24" Type="http://schemas.openxmlformats.org/officeDocument/2006/relationships/hyperlink" Target="mailto:ukagendre.sokolinskiene@urm.lt" TargetMode="External"/><Relationship Id="rId5" Type="http://schemas.openxmlformats.org/officeDocument/2006/relationships/hyperlink" Target="https://arka.am/en/news/economy/armenian_government_approves_pilot_program_for_beer_labeling/" TargetMode="External"/><Relationship Id="rId15" Type="http://schemas.openxmlformats.org/officeDocument/2006/relationships/hyperlink" Target="https://en.armradio.am/2024/08/13/armenia-abu-dhabi-securities-exchanges-keen-to-develop-cooperation-under-new-mou/" TargetMode="External"/><Relationship Id="rId23" Type="http://schemas.openxmlformats.org/officeDocument/2006/relationships/hyperlink" Target="https://armenpress.am/en/article/1198545" TargetMode="External"/><Relationship Id="rId10" Type="http://schemas.openxmlformats.org/officeDocument/2006/relationships/hyperlink" Target="https://arka.am/en/news/economy/manufacturing_sector_grows_by_27_7_in_armenia_in_h1_2024/" TargetMode="External"/><Relationship Id="rId19" Type="http://schemas.openxmlformats.org/officeDocument/2006/relationships/hyperlink" Target="https://en.armradio.am/2024/08/26/armenia-bb-b-ratings-affirmed-outlook-stable-standard-poo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s.am/eng/news/837368.html" TargetMode="External"/><Relationship Id="rId14" Type="http://schemas.openxmlformats.org/officeDocument/2006/relationships/hyperlink" Target="https://arka.am/en/news/economy/armenia_s_domestic_trade_turnover_surges_by_22_9_in_h1_2024/" TargetMode="External"/><Relationship Id="rId22" Type="http://schemas.openxmlformats.org/officeDocument/2006/relationships/hyperlink" Target="https://armenpress.am/en/article/11984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5355</Words>
  <Characters>3053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Ūka Gendrė Sokolinskienė</dc:creator>
  <cp:keywords/>
  <dc:description/>
  <cp:lastModifiedBy>Ūka Gendrė Sokolinskienė</cp:lastModifiedBy>
  <cp:revision>34</cp:revision>
  <dcterms:created xsi:type="dcterms:W3CDTF">2024-09-02T09:02:00Z</dcterms:created>
  <dcterms:modified xsi:type="dcterms:W3CDTF">2024-09-10T07:42:00Z</dcterms:modified>
</cp:coreProperties>
</file>