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508BB950"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w:t>
      </w:r>
      <w:r w:rsidR="00A9367F">
        <w:rPr>
          <w:rFonts w:ascii="Times New Roman" w:hAnsi="Times New Roman"/>
          <w:b/>
          <w:sz w:val="28"/>
          <w:szCs w:val="28"/>
        </w:rPr>
        <w:t>4</w:t>
      </w:r>
      <w:r>
        <w:rPr>
          <w:rFonts w:ascii="Times New Roman" w:hAnsi="Times New Roman"/>
          <w:b/>
          <w:sz w:val="28"/>
          <w:szCs w:val="28"/>
        </w:rPr>
        <w:t>-</w:t>
      </w:r>
      <w:r w:rsidR="00A9367F">
        <w:rPr>
          <w:rFonts w:ascii="Times New Roman" w:hAnsi="Times New Roman"/>
          <w:b/>
          <w:sz w:val="28"/>
          <w:szCs w:val="28"/>
        </w:rPr>
        <w:t>0</w:t>
      </w:r>
      <w:r w:rsidR="00EF6C0F">
        <w:rPr>
          <w:rFonts w:ascii="Times New Roman" w:hAnsi="Times New Roman"/>
          <w:b/>
          <w:sz w:val="28"/>
          <w:szCs w:val="28"/>
        </w:rPr>
        <w:t>4</w:t>
      </w:r>
      <w:r>
        <w:rPr>
          <w:rFonts w:ascii="Times New Roman" w:hAnsi="Times New Roman"/>
          <w:b/>
          <w:sz w:val="28"/>
          <w:szCs w:val="28"/>
        </w:rPr>
        <w:t>-01 – 202</w:t>
      </w:r>
      <w:r w:rsidR="00A9367F">
        <w:rPr>
          <w:rFonts w:ascii="Times New Roman" w:hAnsi="Times New Roman"/>
          <w:b/>
          <w:sz w:val="28"/>
          <w:szCs w:val="28"/>
        </w:rPr>
        <w:t>4</w:t>
      </w:r>
      <w:r>
        <w:rPr>
          <w:rFonts w:ascii="Times New Roman" w:hAnsi="Times New Roman"/>
          <w:b/>
          <w:sz w:val="28"/>
          <w:szCs w:val="28"/>
        </w:rPr>
        <w:t>-</w:t>
      </w:r>
      <w:r w:rsidR="00A9367F">
        <w:rPr>
          <w:rFonts w:ascii="Times New Roman" w:hAnsi="Times New Roman"/>
          <w:b/>
          <w:sz w:val="28"/>
          <w:szCs w:val="28"/>
        </w:rPr>
        <w:t>0</w:t>
      </w:r>
      <w:r w:rsidR="00EF6C0F">
        <w:rPr>
          <w:rFonts w:ascii="Times New Roman" w:hAnsi="Times New Roman"/>
          <w:b/>
          <w:sz w:val="28"/>
          <w:szCs w:val="28"/>
        </w:rPr>
        <w:t>4</w:t>
      </w:r>
      <w:r>
        <w:rPr>
          <w:rFonts w:ascii="Times New Roman" w:hAnsi="Times New Roman"/>
          <w:b/>
          <w:sz w:val="28"/>
          <w:szCs w:val="28"/>
        </w:rPr>
        <w:t>-</w:t>
      </w:r>
      <w:r w:rsidR="00374DDF">
        <w:rPr>
          <w:rFonts w:ascii="Times New Roman" w:hAnsi="Times New Roman"/>
          <w:b/>
          <w:sz w:val="28"/>
          <w:szCs w:val="28"/>
        </w:rPr>
        <w:t>3</w:t>
      </w:r>
      <w:r w:rsidR="00EF6C0F">
        <w:rPr>
          <w:rFonts w:ascii="Times New Roman" w:hAnsi="Times New Roman"/>
          <w:b/>
          <w:sz w:val="28"/>
          <w:szCs w:val="28"/>
        </w:rPr>
        <w:t>0</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866EC8" w:rsidRPr="009D3E27" w14:paraId="7EC461C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42CC084" w14:textId="2DBFA5F7" w:rsidR="00866EC8" w:rsidRDefault="00866EC8" w:rsidP="00866EC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w:t>
            </w:r>
            <w:r w:rsidR="00EF6C0F">
              <w:rPr>
                <w:rFonts w:ascii="Times New Roman" w:hAnsi="Times New Roman"/>
                <w:sz w:val="24"/>
                <w:szCs w:val="24"/>
                <w:lang w:eastAsia="ja-JP"/>
              </w:rPr>
              <w:t>4</w:t>
            </w:r>
            <w:r>
              <w:rPr>
                <w:rFonts w:ascii="Times New Roman" w:hAnsi="Times New Roman"/>
                <w:sz w:val="24"/>
                <w:szCs w:val="24"/>
                <w:lang w:eastAsia="ja-JP"/>
              </w:rPr>
              <w:t>-0</w:t>
            </w:r>
            <w:r w:rsidR="00EF6C0F">
              <w:rPr>
                <w:rFonts w:ascii="Times New Roman" w:hAnsi="Times New Roman"/>
                <w:sz w:val="24"/>
                <w:szCs w:val="24"/>
                <w:lang w:eastAsia="ja-JP"/>
              </w:rPr>
              <w:t>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3E24039" w14:textId="50726640" w:rsidR="00866EC8" w:rsidRPr="00795A59" w:rsidRDefault="00EF6C0F" w:rsidP="00866EC8">
            <w:pPr>
              <w:jc w:val="both"/>
              <w:rPr>
                <w:rFonts w:ascii="Times New Roman" w:hAnsi="Times New Roman"/>
                <w:sz w:val="24"/>
                <w:szCs w:val="24"/>
                <w:lang w:eastAsia="ja-JP"/>
              </w:rPr>
            </w:pPr>
            <w:r>
              <w:rPr>
                <w:rFonts w:ascii="Times New Roman" w:hAnsi="Times New Roman"/>
                <w:sz w:val="24"/>
                <w:szCs w:val="24"/>
                <w:lang w:eastAsia="ja-JP"/>
              </w:rPr>
              <w:t xml:space="preserve">Indijos prekybos ministras </w:t>
            </w:r>
            <w:proofErr w:type="spellStart"/>
            <w:r w:rsidRPr="00EF6C0F">
              <w:rPr>
                <w:rFonts w:ascii="Times New Roman" w:hAnsi="Times New Roman"/>
                <w:sz w:val="24"/>
                <w:szCs w:val="24"/>
                <w:lang w:eastAsia="ja-JP"/>
              </w:rPr>
              <w:t>Piyush</w:t>
            </w:r>
            <w:proofErr w:type="spellEnd"/>
            <w:r w:rsidRPr="00EF6C0F">
              <w:rPr>
                <w:rFonts w:ascii="Times New Roman" w:hAnsi="Times New Roman"/>
                <w:sz w:val="24"/>
                <w:szCs w:val="24"/>
                <w:lang w:eastAsia="ja-JP"/>
              </w:rPr>
              <w:t xml:space="preserve"> </w:t>
            </w:r>
            <w:proofErr w:type="spellStart"/>
            <w:r w:rsidRPr="00EF6C0F">
              <w:rPr>
                <w:rFonts w:ascii="Times New Roman" w:hAnsi="Times New Roman"/>
                <w:sz w:val="24"/>
                <w:szCs w:val="24"/>
                <w:lang w:eastAsia="ja-JP"/>
              </w:rPr>
              <w:t>Goyal</w:t>
            </w:r>
            <w:proofErr w:type="spellEnd"/>
            <w:r w:rsidRPr="00EF6C0F">
              <w:rPr>
                <w:rFonts w:ascii="Times New Roman" w:hAnsi="Times New Roman"/>
                <w:sz w:val="24"/>
                <w:szCs w:val="24"/>
                <w:lang w:eastAsia="ja-JP"/>
              </w:rPr>
              <w:t xml:space="preserve"> </w:t>
            </w:r>
            <w:r>
              <w:rPr>
                <w:rFonts w:ascii="Times New Roman" w:hAnsi="Times New Roman"/>
                <w:sz w:val="24"/>
                <w:szCs w:val="24"/>
                <w:lang w:eastAsia="ja-JP"/>
              </w:rPr>
              <w:t xml:space="preserve"> teigė, kad </w:t>
            </w:r>
            <w:r w:rsidRPr="00EF6C0F">
              <w:rPr>
                <w:rFonts w:ascii="Times New Roman" w:hAnsi="Times New Roman"/>
                <w:sz w:val="24"/>
                <w:szCs w:val="24"/>
                <w:lang w:eastAsia="ja-JP"/>
              </w:rPr>
              <w:t xml:space="preserve">Indija yra potenciali supervalstybė ir neskubėtų sudaryti laisvosios prekybos susitarimų, nebent tai būtų paties Naujojo Delio sąlygomis. </w:t>
            </w:r>
            <w:r>
              <w:rPr>
                <w:rFonts w:ascii="Times New Roman" w:hAnsi="Times New Roman"/>
                <w:sz w:val="24"/>
                <w:szCs w:val="24"/>
                <w:lang w:eastAsia="ja-JP"/>
              </w:rPr>
              <w:t>Ministras</w:t>
            </w:r>
            <w:r w:rsidRPr="00EF6C0F">
              <w:rPr>
                <w:rFonts w:ascii="Times New Roman" w:hAnsi="Times New Roman"/>
                <w:sz w:val="24"/>
                <w:szCs w:val="24"/>
                <w:lang w:eastAsia="ja-JP"/>
              </w:rPr>
              <w:t xml:space="preserve"> sakė, </w:t>
            </w:r>
            <w:r>
              <w:rPr>
                <w:rFonts w:ascii="Times New Roman" w:hAnsi="Times New Roman"/>
                <w:sz w:val="24"/>
                <w:szCs w:val="24"/>
                <w:lang w:eastAsia="ja-JP"/>
              </w:rPr>
              <w:t>kad Indijos</w:t>
            </w:r>
            <w:r w:rsidRPr="00EF6C0F">
              <w:rPr>
                <w:rFonts w:ascii="Times New Roman" w:hAnsi="Times New Roman"/>
                <w:sz w:val="24"/>
                <w:szCs w:val="24"/>
                <w:lang w:eastAsia="ja-JP"/>
              </w:rPr>
              <w:t xml:space="preserve"> ūkininkai, žvejai, MVĮ turi būti apsaugoti, vidaus gamybai turi būti sudarytos vienodos sąlygos ir abiem šalims turi būti užtikrintas skaidrumas.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9C6B45A" w14:textId="23B346E6" w:rsidR="00866EC8" w:rsidRDefault="00000000" w:rsidP="00866EC8">
            <w:pPr>
              <w:spacing w:after="0" w:line="240" w:lineRule="auto"/>
              <w:jc w:val="both"/>
            </w:pPr>
            <w:hyperlink r:id="rId4" w:history="1">
              <w:r w:rsidR="00EF6C0F" w:rsidRPr="009D4CD5">
                <w:rPr>
                  <w:rStyle w:val="Hyperlink"/>
                </w:rPr>
                <w:t>https://indianexpress.com/article/india/india-a-potential-superpower-will-seal-ftas-on-our-terms-goyal-9241002/</w:t>
              </w:r>
            </w:hyperlink>
            <w:r w:rsidR="00EF6C0F">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701E53E" w14:textId="77777777" w:rsidR="00866EC8" w:rsidRDefault="00866EC8" w:rsidP="00866EC8">
            <w:pPr>
              <w:spacing w:after="0" w:line="240" w:lineRule="auto"/>
              <w:jc w:val="both"/>
              <w:rPr>
                <w:rFonts w:ascii="Times New Roman" w:hAnsi="Times New Roman"/>
                <w:sz w:val="24"/>
                <w:szCs w:val="24"/>
                <w:lang w:eastAsia="ja-JP"/>
              </w:rPr>
            </w:pPr>
          </w:p>
        </w:tc>
      </w:tr>
      <w:tr w:rsidR="00866EC8" w:rsidRPr="009D3E27" w14:paraId="0B955977"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663934D" w14:textId="5F6D502B" w:rsidR="00866EC8" w:rsidRDefault="00866EC8" w:rsidP="00866EC8">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2024-0</w:t>
            </w:r>
            <w:r w:rsidR="00EF6C0F">
              <w:rPr>
                <w:rFonts w:ascii="Times New Roman" w:hAnsi="Times New Roman"/>
                <w:sz w:val="24"/>
                <w:szCs w:val="24"/>
                <w:lang w:val="en-US" w:eastAsia="ja-JP"/>
              </w:rPr>
              <w:t>4</w:t>
            </w:r>
            <w:r>
              <w:rPr>
                <w:rFonts w:ascii="Times New Roman" w:hAnsi="Times New Roman"/>
                <w:sz w:val="24"/>
                <w:szCs w:val="24"/>
                <w:lang w:val="en-US" w:eastAsia="ja-JP"/>
              </w:rPr>
              <w:t>-</w:t>
            </w:r>
            <w:r w:rsidR="00EF6C0F">
              <w:rPr>
                <w:rFonts w:ascii="Times New Roman" w:hAnsi="Times New Roman"/>
                <w:sz w:val="24"/>
                <w:szCs w:val="24"/>
                <w:lang w:val="en-US" w:eastAsia="ja-JP"/>
              </w:rPr>
              <w:t>01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516EB42" w14:textId="5197AE05" w:rsidR="00866EC8" w:rsidRPr="00A96499" w:rsidRDefault="00EF6C0F" w:rsidP="00866EC8">
            <w:pPr>
              <w:jc w:val="both"/>
              <w:rPr>
                <w:rFonts w:ascii="Times New Roman" w:hAnsi="Times New Roman"/>
                <w:sz w:val="24"/>
                <w:szCs w:val="24"/>
                <w:lang w:eastAsia="ja-JP"/>
              </w:rPr>
            </w:pPr>
            <w:r w:rsidRPr="00EF6C0F">
              <w:rPr>
                <w:rFonts w:ascii="Times New Roman" w:hAnsi="Times New Roman"/>
                <w:sz w:val="24"/>
                <w:szCs w:val="24"/>
                <w:lang w:eastAsia="ja-JP"/>
              </w:rPr>
              <w:t>Indija planuoja gaminti anglies pluoštą, skirtą naudoti aviacijos, civilinės inžinerijos ir gynybos srityse kaip alternatyvą metalui, o tai taip pat padės šaliai, atsižvelgiant į ES anglies d</w:t>
            </w:r>
            <w:r>
              <w:rPr>
                <w:rFonts w:ascii="Times New Roman" w:hAnsi="Times New Roman"/>
                <w:sz w:val="24"/>
                <w:szCs w:val="24"/>
                <w:lang w:eastAsia="ja-JP"/>
              </w:rPr>
              <w:t>videginio</w:t>
            </w:r>
            <w:r w:rsidRPr="00EF6C0F">
              <w:rPr>
                <w:rFonts w:ascii="Times New Roman" w:hAnsi="Times New Roman"/>
                <w:sz w:val="24"/>
                <w:szCs w:val="24"/>
                <w:lang w:eastAsia="ja-JP"/>
              </w:rPr>
              <w:t xml:space="preserve"> mokestį plienui, lydiniams ir metalo gaminiams. Šiuo metu Indija negamina jokio anglies pluošto, ji yra visiškai priklausoma nuo importo iš tokių šalių kaip JAV, Prancūzija, Japonija ir Vokietija.</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B4C073D" w14:textId="4026DDC2" w:rsidR="00866EC8" w:rsidRDefault="00000000" w:rsidP="00866EC8">
            <w:pPr>
              <w:spacing w:after="0" w:line="240" w:lineRule="auto"/>
              <w:jc w:val="both"/>
            </w:pPr>
            <w:hyperlink r:id="rId5" w:history="1">
              <w:r w:rsidR="00EF6C0F" w:rsidRPr="009D4CD5">
                <w:rPr>
                  <w:rStyle w:val="Hyperlink"/>
                </w:rPr>
                <w:t>https://www.livemint.com/economy/india-plans-to-make-carbon-fibre-in-response-to-eu-carbon-tax-11711968558679.html</w:t>
              </w:r>
            </w:hyperlink>
            <w:r w:rsidR="00EF6C0F">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EBE74D9" w14:textId="77777777" w:rsidR="00866EC8" w:rsidRDefault="00866EC8" w:rsidP="00866EC8">
            <w:pPr>
              <w:spacing w:after="0" w:line="240" w:lineRule="auto"/>
              <w:jc w:val="both"/>
              <w:rPr>
                <w:rFonts w:ascii="Times New Roman" w:hAnsi="Times New Roman"/>
                <w:sz w:val="24"/>
                <w:szCs w:val="24"/>
                <w:lang w:eastAsia="ja-JP"/>
              </w:rPr>
            </w:pPr>
          </w:p>
        </w:tc>
      </w:tr>
      <w:tr w:rsidR="00ED3849" w:rsidRPr="009D3E27" w14:paraId="3B5A8953"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BADDC6C" w14:textId="36AAB351" w:rsidR="00ED3849" w:rsidRDefault="00ED3849" w:rsidP="00ED3849">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2024-04-01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7EDEDE1" w14:textId="4DADF08F" w:rsidR="00ED3849" w:rsidRPr="00EF6C0F" w:rsidRDefault="00ED3849" w:rsidP="00ED3849">
            <w:pPr>
              <w:jc w:val="both"/>
              <w:rPr>
                <w:rFonts w:ascii="Times New Roman" w:hAnsi="Times New Roman"/>
                <w:sz w:val="24"/>
                <w:szCs w:val="24"/>
                <w:lang w:eastAsia="ja-JP"/>
              </w:rPr>
            </w:pPr>
            <w:r w:rsidRPr="00EF6C0F">
              <w:rPr>
                <w:rFonts w:ascii="Times New Roman" w:hAnsi="Times New Roman"/>
                <w:sz w:val="24"/>
                <w:szCs w:val="24"/>
                <w:lang w:eastAsia="ja-JP"/>
              </w:rPr>
              <w:t xml:space="preserve">Indijos gynybos eksportas išaugo 32,5% </w:t>
            </w:r>
            <w:r>
              <w:rPr>
                <w:rFonts w:ascii="Times New Roman" w:hAnsi="Times New Roman"/>
                <w:sz w:val="24"/>
                <w:szCs w:val="24"/>
                <w:lang w:eastAsia="ja-JP"/>
              </w:rPr>
              <w:t>per metus</w:t>
            </w:r>
            <w:r w:rsidRPr="00EF6C0F">
              <w:rPr>
                <w:rFonts w:ascii="Times New Roman" w:hAnsi="Times New Roman"/>
                <w:sz w:val="24"/>
                <w:szCs w:val="24"/>
                <w:lang w:eastAsia="ja-JP"/>
              </w:rPr>
              <w:t xml:space="preserve"> ir pirmą kartą peržengė 2,32 mlrd. EUR ribą, nes šalis ir toliau daugiausia dėmesio skiria vietinės gynybos gamybos ekosistemos ir karinio eksporto didinimui, pranešė </w:t>
            </w:r>
            <w:r>
              <w:rPr>
                <w:rFonts w:ascii="Times New Roman" w:hAnsi="Times New Roman"/>
                <w:sz w:val="24"/>
                <w:szCs w:val="24"/>
                <w:lang w:eastAsia="ja-JP"/>
              </w:rPr>
              <w:t>Indijos g</w:t>
            </w:r>
            <w:r w:rsidRPr="00EF6C0F">
              <w:rPr>
                <w:rFonts w:ascii="Times New Roman" w:hAnsi="Times New Roman"/>
                <w:sz w:val="24"/>
                <w:szCs w:val="24"/>
                <w:lang w:eastAsia="ja-JP"/>
              </w:rPr>
              <w:t xml:space="preserve">ynybos ministerija. Naujausi skaičiai rodo, kad gynybos eksportas per pastaruosius 10 metų išaugo 31 kartą, palyginti su 2013–2014 finansiniais metais. Privatusis sektorius ir gynybos viešojo sektoriaus įmonės (DPSU) prisidėjo atitinkamai apie 60% ir 40%, </w:t>
            </w:r>
            <w:r w:rsidRPr="00EF6C0F">
              <w:rPr>
                <w:rFonts w:ascii="Times New Roman" w:hAnsi="Times New Roman"/>
                <w:sz w:val="24"/>
                <w:szCs w:val="24"/>
                <w:lang w:eastAsia="ja-JP"/>
              </w:rPr>
              <w:lastRenderedPageBreak/>
              <w:t>pridūrė, kad eksporto leidimų skaičius išaugo nuo 1 414 2022–2023 finansiniais metais iki 1 507 2023–2024 finansiniais metais.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DCBB7FC" w14:textId="24F27864" w:rsidR="00ED3849" w:rsidRDefault="00ED3849" w:rsidP="00ED3849">
            <w:pPr>
              <w:spacing w:after="0" w:line="240" w:lineRule="auto"/>
              <w:jc w:val="both"/>
            </w:pPr>
            <w:hyperlink r:id="rId6" w:history="1">
              <w:r w:rsidRPr="009D4CD5">
                <w:rPr>
                  <w:rStyle w:val="Hyperlink"/>
                </w:rPr>
                <w:t>https://www.thehindu.com/news/national/indias-defence-exports-crossed-all-time-high-of-21000-crore-rajnath/article68016346.ece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B5E4A71" w14:textId="77777777" w:rsidR="00ED3849" w:rsidRDefault="00ED3849" w:rsidP="00ED3849">
            <w:pPr>
              <w:spacing w:after="0" w:line="240" w:lineRule="auto"/>
              <w:jc w:val="both"/>
              <w:rPr>
                <w:rFonts w:ascii="Times New Roman" w:hAnsi="Times New Roman"/>
                <w:sz w:val="24"/>
                <w:szCs w:val="24"/>
                <w:lang w:eastAsia="ja-JP"/>
              </w:rPr>
            </w:pPr>
          </w:p>
        </w:tc>
      </w:tr>
      <w:tr w:rsidR="00ED3849" w:rsidRPr="009D3E27" w14:paraId="33A5E7B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A504781" w14:textId="52D4EA81" w:rsidR="00ED3849" w:rsidRDefault="00ED3849" w:rsidP="00ED3849">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2024-04-03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4D3CEB2" w14:textId="646F7197" w:rsidR="00ED3849" w:rsidRPr="001C21C9" w:rsidRDefault="00ED3849" w:rsidP="00ED3849">
            <w:pPr>
              <w:jc w:val="both"/>
              <w:rPr>
                <w:rFonts w:ascii="Times New Roman" w:hAnsi="Times New Roman"/>
                <w:sz w:val="24"/>
                <w:szCs w:val="24"/>
                <w:lang w:eastAsia="ja-JP"/>
              </w:rPr>
            </w:pPr>
            <w:r w:rsidRPr="00EF6C0F">
              <w:rPr>
                <w:rFonts w:ascii="Times New Roman" w:hAnsi="Times New Roman"/>
                <w:sz w:val="24"/>
                <w:szCs w:val="24"/>
                <w:lang w:eastAsia="ja-JP"/>
              </w:rPr>
              <w:t>Aukštieji Indijos ir penkių Eurazijos ekonominės sąjungos (EES)</w:t>
            </w:r>
            <w:r>
              <w:rPr>
                <w:rFonts w:ascii="Times New Roman" w:hAnsi="Times New Roman"/>
                <w:sz w:val="24"/>
                <w:szCs w:val="24"/>
                <w:lang w:eastAsia="ja-JP"/>
              </w:rPr>
              <w:t xml:space="preserve"> šalių</w:t>
            </w:r>
            <w:r w:rsidRPr="00EF6C0F">
              <w:rPr>
                <w:rFonts w:ascii="Times New Roman" w:hAnsi="Times New Roman"/>
                <w:sz w:val="24"/>
                <w:szCs w:val="24"/>
                <w:lang w:eastAsia="ja-JP"/>
              </w:rPr>
              <w:t xml:space="preserve"> bloko pareigūnai surengė išsamias diskusijas, kad oficialiai pradėtų derybas dėl laisvosios prekybos susitarimo, kuris sustiprintų ekonominius ryšius. Pareigūnas teigė, kad jau buvo atliktos dvi siūlomo susitarimo galimybių studijos. Vidaus eksportuotojai iš tokių sektorių kaip inžinerinės prekės, elektronika ir žemės ūkis gali gauti pranašumą iš susitarimo.</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AD4A4C" w14:textId="78EBA6B4" w:rsidR="00ED3849" w:rsidRDefault="00ED3849" w:rsidP="00ED3849">
            <w:pPr>
              <w:spacing w:after="0" w:line="240" w:lineRule="auto"/>
              <w:jc w:val="both"/>
            </w:pPr>
            <w:hyperlink r:id="rId7" w:history="1">
              <w:r w:rsidRPr="009D4CD5">
                <w:rPr>
                  <w:rStyle w:val="Hyperlink"/>
                </w:rPr>
                <w:t>https://economictimes.indiatimes.com/small-biz/trade/exports/insights/india-eurasian-economic-union-bloc-officials-hold-talks-to-formally-start-negotiation-for-fta/articleshow/108992604.cms?from=mdr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F0811F6" w14:textId="77777777" w:rsidR="00ED3849" w:rsidRDefault="00ED3849" w:rsidP="00ED3849">
            <w:pPr>
              <w:spacing w:after="0" w:line="240" w:lineRule="auto"/>
              <w:jc w:val="both"/>
              <w:rPr>
                <w:rFonts w:ascii="Times New Roman" w:hAnsi="Times New Roman"/>
                <w:sz w:val="24"/>
                <w:szCs w:val="24"/>
                <w:lang w:eastAsia="ja-JP"/>
              </w:rPr>
            </w:pPr>
          </w:p>
        </w:tc>
      </w:tr>
      <w:tr w:rsidR="00ED3849" w:rsidRPr="009D3E27" w14:paraId="4C7EAF3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DC9D689" w14:textId="7A8276DC" w:rsidR="00ED3849" w:rsidRDefault="00ED3849" w:rsidP="00ED3849">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2024-04-06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A32445" w14:textId="3D091972" w:rsidR="00ED3849" w:rsidRPr="00FC27F2" w:rsidRDefault="00ED3849" w:rsidP="00ED3849">
            <w:pPr>
              <w:jc w:val="both"/>
              <w:rPr>
                <w:rFonts w:ascii="Times New Roman" w:hAnsi="Times New Roman"/>
                <w:sz w:val="24"/>
                <w:szCs w:val="24"/>
                <w:lang w:eastAsia="ja-JP"/>
              </w:rPr>
            </w:pPr>
            <w:r w:rsidRPr="00FC27F2">
              <w:rPr>
                <w:rFonts w:ascii="Times New Roman" w:hAnsi="Times New Roman"/>
                <w:sz w:val="24"/>
                <w:szCs w:val="24"/>
                <w:lang w:eastAsia="ja-JP"/>
              </w:rPr>
              <w:t xml:space="preserve">Indijos prekių eksportas į ES 2023 m. išaugo 2,1 proc., nepaisant to, kad didelės išsivysčiusios rinkos, tokios kaip ES, susiduria su </w:t>
            </w:r>
            <w:r>
              <w:rPr>
                <w:rFonts w:ascii="Times New Roman" w:hAnsi="Times New Roman"/>
                <w:sz w:val="24"/>
                <w:szCs w:val="24"/>
                <w:lang w:eastAsia="ja-JP"/>
              </w:rPr>
              <w:t>sunkumais</w:t>
            </w:r>
            <w:r w:rsidRPr="00FC27F2">
              <w:rPr>
                <w:rFonts w:ascii="Times New Roman" w:hAnsi="Times New Roman"/>
                <w:sz w:val="24"/>
                <w:szCs w:val="24"/>
                <w:lang w:eastAsia="ja-JP"/>
              </w:rPr>
              <w:t xml:space="preserve"> dėl aukštų pragyvenimo išlaidų, silpnos išor</w:t>
            </w:r>
            <w:r>
              <w:rPr>
                <w:rFonts w:ascii="Times New Roman" w:hAnsi="Times New Roman"/>
                <w:sz w:val="24"/>
                <w:szCs w:val="24"/>
                <w:lang w:eastAsia="ja-JP"/>
              </w:rPr>
              <w:t>inės</w:t>
            </w:r>
            <w:r w:rsidRPr="00FC27F2">
              <w:rPr>
                <w:rFonts w:ascii="Times New Roman" w:hAnsi="Times New Roman"/>
                <w:sz w:val="24"/>
                <w:szCs w:val="24"/>
                <w:lang w:eastAsia="ja-JP"/>
              </w:rPr>
              <w:t xml:space="preserve"> paklausos ir pinigų </w:t>
            </w:r>
            <w:r>
              <w:rPr>
                <w:rFonts w:ascii="Times New Roman" w:hAnsi="Times New Roman"/>
                <w:sz w:val="24"/>
                <w:szCs w:val="24"/>
                <w:lang w:eastAsia="ja-JP"/>
              </w:rPr>
              <w:t xml:space="preserve">politikos </w:t>
            </w:r>
            <w:r w:rsidRPr="00FC27F2">
              <w:rPr>
                <w:rFonts w:ascii="Times New Roman" w:hAnsi="Times New Roman"/>
                <w:sz w:val="24"/>
                <w:szCs w:val="24"/>
                <w:lang w:eastAsia="ja-JP"/>
              </w:rPr>
              <w:t xml:space="preserve">sugriežtinimo, sakė </w:t>
            </w:r>
            <w:r>
              <w:rPr>
                <w:rFonts w:ascii="Times New Roman" w:hAnsi="Times New Roman"/>
                <w:sz w:val="24"/>
                <w:szCs w:val="24"/>
                <w:lang w:eastAsia="ja-JP"/>
              </w:rPr>
              <w:t>Indijos p</w:t>
            </w:r>
            <w:r w:rsidRPr="00FC27F2">
              <w:rPr>
                <w:rFonts w:ascii="Times New Roman" w:hAnsi="Times New Roman"/>
                <w:sz w:val="24"/>
                <w:szCs w:val="24"/>
                <w:lang w:eastAsia="ja-JP"/>
              </w:rPr>
              <w:t>rekybos ministerijos pareigūnas. Indijos prekių eksportas užfiksavo sveiką augimą tokiose Europos šalyse kaip Rumunija, Čekija, Juodkalnija, Suomija, Nyderlandai, Portugalija, Liuksemburgas, Islandija, Airija ir Austrija.</w:t>
            </w:r>
          </w:p>
          <w:p w14:paraId="633815CB" w14:textId="5ADA7207" w:rsidR="00ED3849" w:rsidRPr="00304184" w:rsidRDefault="00ED3849" w:rsidP="00ED3849">
            <w:pPr>
              <w:jc w:val="both"/>
              <w:rPr>
                <w:rFonts w:ascii="Times New Roman" w:hAnsi="Times New Roman"/>
                <w:sz w:val="24"/>
                <w:szCs w:val="24"/>
                <w:lang w:eastAsia="ja-JP"/>
              </w:rPr>
            </w:pPr>
            <w:r w:rsidRPr="00FC27F2">
              <w:rPr>
                <w:rFonts w:ascii="Times New Roman" w:hAnsi="Times New Roman"/>
                <w:sz w:val="24"/>
                <w:szCs w:val="24"/>
                <w:lang w:eastAsia="ja-JP"/>
              </w:rPr>
              <w:t xml:space="preserve">Europa tapo pagrindine Indijos naftos produktų, pvz., benzino ir dyzelino, eksporto šalimi, per </w:t>
            </w:r>
            <w:r>
              <w:rPr>
                <w:rFonts w:ascii="Times New Roman" w:hAnsi="Times New Roman"/>
                <w:sz w:val="24"/>
                <w:szCs w:val="24"/>
                <w:lang w:eastAsia="ja-JP"/>
              </w:rPr>
              <w:t>paskutinius 9 mėn</w:t>
            </w:r>
            <w:r w:rsidRPr="00FC27F2">
              <w:rPr>
                <w:rFonts w:ascii="Times New Roman" w:hAnsi="Times New Roman"/>
                <w:sz w:val="24"/>
                <w:szCs w:val="24"/>
                <w:lang w:eastAsia="ja-JP"/>
              </w:rPr>
              <w:t xml:space="preserve">. tiekdama šių produktų už 18,4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sidRPr="00FC27F2">
              <w:rPr>
                <w:rFonts w:ascii="Times New Roman" w:hAnsi="Times New Roman"/>
                <w:sz w:val="24"/>
                <w:szCs w:val="24"/>
                <w:lang w:eastAsia="ja-JP"/>
              </w:rPr>
              <w:t xml:space="preserve">. Prekybos ministerijos duomenimis, Indija eksportavo daugiausiai </w:t>
            </w:r>
            <w:r>
              <w:rPr>
                <w:rFonts w:ascii="Times New Roman" w:hAnsi="Times New Roman"/>
                <w:sz w:val="24"/>
                <w:szCs w:val="24"/>
                <w:lang w:eastAsia="ja-JP"/>
              </w:rPr>
              <w:t>perdirbtų</w:t>
            </w:r>
            <w:r w:rsidRPr="00FC27F2">
              <w:rPr>
                <w:rFonts w:ascii="Times New Roman" w:hAnsi="Times New Roman"/>
                <w:sz w:val="24"/>
                <w:szCs w:val="24"/>
                <w:lang w:eastAsia="ja-JP"/>
              </w:rPr>
              <w:t xml:space="preserve"> naftos produktų – 10,9 mlrd.</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 vertės</w:t>
            </w:r>
            <w:r w:rsidRPr="00FC27F2">
              <w:rPr>
                <w:rFonts w:ascii="Times New Roman" w:hAnsi="Times New Roman"/>
                <w:sz w:val="24"/>
                <w:szCs w:val="24"/>
                <w:lang w:eastAsia="ja-JP"/>
              </w:rPr>
              <w:t xml:space="preserve"> Nyderlandams, </w:t>
            </w:r>
            <w:r>
              <w:rPr>
                <w:rFonts w:ascii="Times New Roman" w:hAnsi="Times New Roman"/>
                <w:sz w:val="24"/>
                <w:szCs w:val="24"/>
                <w:lang w:eastAsia="ja-JP"/>
              </w:rPr>
              <w:t xml:space="preserve">už </w:t>
            </w:r>
            <w:r w:rsidRPr="00FC27F2">
              <w:rPr>
                <w:rFonts w:ascii="Times New Roman" w:hAnsi="Times New Roman"/>
                <w:sz w:val="24"/>
                <w:szCs w:val="24"/>
                <w:lang w:eastAsia="ja-JP"/>
              </w:rPr>
              <w:t xml:space="preserve">5,7 mlrd. JAV dolerių Singapūrui, </w:t>
            </w:r>
            <w:r>
              <w:rPr>
                <w:rFonts w:ascii="Times New Roman" w:hAnsi="Times New Roman"/>
                <w:sz w:val="24"/>
                <w:szCs w:val="24"/>
                <w:lang w:eastAsia="ja-JP"/>
              </w:rPr>
              <w:t xml:space="preserve">už </w:t>
            </w:r>
            <w:r w:rsidRPr="00FC27F2">
              <w:rPr>
                <w:rFonts w:ascii="Times New Roman" w:hAnsi="Times New Roman"/>
                <w:sz w:val="24"/>
                <w:szCs w:val="24"/>
                <w:lang w:eastAsia="ja-JP"/>
              </w:rPr>
              <w:t xml:space="preserve">5,4 mlrd. JAV </w:t>
            </w:r>
            <w:proofErr w:type="spellStart"/>
            <w:r w:rsidRPr="00FC27F2">
              <w:rPr>
                <w:rFonts w:ascii="Times New Roman" w:hAnsi="Times New Roman"/>
                <w:sz w:val="24"/>
                <w:szCs w:val="24"/>
                <w:lang w:eastAsia="ja-JP"/>
              </w:rPr>
              <w:t>do</w:t>
            </w:r>
            <w:r>
              <w:rPr>
                <w:rFonts w:ascii="Times New Roman" w:hAnsi="Times New Roman"/>
                <w:sz w:val="24"/>
                <w:szCs w:val="24"/>
                <w:lang w:eastAsia="ja-JP"/>
              </w:rPr>
              <w:t>l</w:t>
            </w:r>
            <w:proofErr w:type="spellEnd"/>
            <w:r>
              <w:rPr>
                <w:rFonts w:ascii="Times New Roman" w:hAnsi="Times New Roman"/>
                <w:sz w:val="24"/>
                <w:szCs w:val="24"/>
                <w:lang w:eastAsia="ja-JP"/>
              </w:rPr>
              <w:t>.</w:t>
            </w:r>
            <w:r w:rsidRPr="00FC27F2">
              <w:rPr>
                <w:rFonts w:ascii="Times New Roman" w:hAnsi="Times New Roman"/>
                <w:sz w:val="24"/>
                <w:szCs w:val="24"/>
                <w:lang w:eastAsia="ja-JP"/>
              </w:rPr>
              <w:t xml:space="preserve"> </w:t>
            </w:r>
            <w:r w:rsidRPr="00FC27F2">
              <w:rPr>
                <w:rFonts w:ascii="Times New Roman" w:hAnsi="Times New Roman"/>
                <w:sz w:val="24"/>
                <w:szCs w:val="24"/>
                <w:lang w:eastAsia="ja-JP"/>
              </w:rPr>
              <w:lastRenderedPageBreak/>
              <w:t xml:space="preserve">JAE, </w:t>
            </w:r>
            <w:r>
              <w:rPr>
                <w:rFonts w:ascii="Times New Roman" w:hAnsi="Times New Roman"/>
                <w:sz w:val="24"/>
                <w:szCs w:val="24"/>
                <w:lang w:eastAsia="ja-JP"/>
              </w:rPr>
              <w:t xml:space="preserve">už </w:t>
            </w:r>
            <w:r w:rsidRPr="00FC27F2">
              <w:rPr>
                <w:rFonts w:ascii="Times New Roman" w:hAnsi="Times New Roman"/>
                <w:sz w:val="24"/>
                <w:szCs w:val="24"/>
                <w:lang w:eastAsia="ja-JP"/>
              </w:rPr>
              <w:t>5 mlrd. JAV dolerių</w:t>
            </w:r>
            <w:r>
              <w:rPr>
                <w:rFonts w:ascii="Times New Roman" w:hAnsi="Times New Roman"/>
                <w:sz w:val="24"/>
                <w:szCs w:val="24"/>
                <w:lang w:eastAsia="ja-JP"/>
              </w:rPr>
              <w:t xml:space="preserve"> </w:t>
            </w:r>
            <w:r w:rsidRPr="00FC27F2">
              <w:rPr>
                <w:rFonts w:ascii="Times New Roman" w:hAnsi="Times New Roman"/>
                <w:sz w:val="24"/>
                <w:szCs w:val="24"/>
                <w:lang w:eastAsia="ja-JP"/>
              </w:rPr>
              <w:t>JAV per tą patį laikotarpį.</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9A8E648" w14:textId="6F5E7C68" w:rsidR="00ED3849" w:rsidRDefault="00ED3849" w:rsidP="00ED3849">
            <w:pPr>
              <w:spacing w:after="0" w:line="240" w:lineRule="auto"/>
              <w:jc w:val="both"/>
            </w:pPr>
            <w:hyperlink r:id="rId8" w:history="1">
              <w:r w:rsidRPr="009D4CD5">
                <w:rPr>
                  <w:rStyle w:val="Hyperlink"/>
                </w:rPr>
                <w:t>https://www.thehindu.com/news/national/indias-exports-register-healthy-growth-to-european-latin-american-nations-in-2023/article68032229.ece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F975AAE" w14:textId="77777777" w:rsidR="00ED3849" w:rsidRDefault="00ED3849" w:rsidP="00ED3849">
            <w:pPr>
              <w:spacing w:after="0" w:line="240" w:lineRule="auto"/>
              <w:jc w:val="both"/>
              <w:rPr>
                <w:rFonts w:ascii="Times New Roman" w:hAnsi="Times New Roman"/>
                <w:sz w:val="24"/>
                <w:szCs w:val="24"/>
                <w:lang w:eastAsia="ja-JP"/>
              </w:rPr>
            </w:pPr>
          </w:p>
        </w:tc>
      </w:tr>
      <w:tr w:rsidR="00ED3849" w:rsidRPr="009D3E27" w14:paraId="1F63CED9"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283EA62" w14:textId="7F0681ED" w:rsidR="00ED3849" w:rsidRDefault="00ED3849" w:rsidP="00ED3849">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2024-04-12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9C3A897" w14:textId="758A74D7" w:rsidR="00ED3849" w:rsidRPr="00FC27F2" w:rsidRDefault="00ED3849" w:rsidP="00ED3849">
            <w:pPr>
              <w:jc w:val="both"/>
              <w:rPr>
                <w:rFonts w:ascii="Times New Roman" w:hAnsi="Times New Roman"/>
                <w:sz w:val="24"/>
                <w:szCs w:val="24"/>
                <w:lang w:eastAsia="ja-JP"/>
              </w:rPr>
            </w:pPr>
            <w:r w:rsidRPr="00E926E6">
              <w:rPr>
                <w:rFonts w:ascii="Times New Roman" w:hAnsi="Times New Roman"/>
                <w:sz w:val="24"/>
                <w:szCs w:val="24"/>
                <w:lang w:eastAsia="ja-JP"/>
              </w:rPr>
              <w:t xml:space="preserve">Remiantis naujausia PPO Pasaulinės prekybos perspektyvos ir statistikos ataskaita, Indija </w:t>
            </w:r>
            <w:r>
              <w:rPr>
                <w:rFonts w:ascii="Times New Roman" w:hAnsi="Times New Roman"/>
                <w:sz w:val="24"/>
                <w:szCs w:val="24"/>
                <w:lang w:eastAsia="ja-JP"/>
              </w:rPr>
              <w:t>fiksuoja</w:t>
            </w:r>
            <w:r w:rsidRPr="00E926E6">
              <w:rPr>
                <w:rFonts w:ascii="Times New Roman" w:hAnsi="Times New Roman"/>
                <w:sz w:val="24"/>
                <w:szCs w:val="24"/>
                <w:lang w:eastAsia="ja-JP"/>
              </w:rPr>
              <w:t xml:space="preserve"> 17 procentų šuolį skaitmeniniu būdu teikiamų paslaugų eksporto srityje stulbinančių 257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E926E6">
              <w:rPr>
                <w:rFonts w:ascii="Times New Roman" w:hAnsi="Times New Roman"/>
                <w:sz w:val="24"/>
                <w:szCs w:val="24"/>
                <w:lang w:eastAsia="ja-JP"/>
              </w:rPr>
              <w:t xml:space="preserve"> ir tapo ketvirta pagal dydį eksportuotoja pasaulyje. Indijos augimo tempas buvo daug didesnis nei </w:t>
            </w:r>
            <w:r>
              <w:rPr>
                <w:rFonts w:ascii="Times New Roman" w:hAnsi="Times New Roman"/>
                <w:sz w:val="24"/>
                <w:szCs w:val="24"/>
                <w:lang w:eastAsia="ja-JP"/>
              </w:rPr>
              <w:t xml:space="preserve">Kinijos ir Vokietijos fiksuotas </w:t>
            </w:r>
            <w:r w:rsidRPr="00E926E6">
              <w:rPr>
                <w:rFonts w:ascii="Times New Roman" w:hAnsi="Times New Roman"/>
                <w:sz w:val="24"/>
                <w:szCs w:val="24"/>
                <w:lang w:eastAsia="ja-JP"/>
              </w:rPr>
              <w:t>4 procentų padidėjimas</w:t>
            </w:r>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22778F3" w14:textId="1593A6E9" w:rsidR="00ED3849" w:rsidRDefault="00ED3849" w:rsidP="00ED3849">
            <w:pPr>
              <w:spacing w:after="0" w:line="240" w:lineRule="auto"/>
              <w:jc w:val="both"/>
            </w:pPr>
            <w:hyperlink r:id="rId9" w:history="1">
              <w:r w:rsidRPr="009D4CD5">
                <w:rPr>
                  <w:rStyle w:val="Hyperlink"/>
                </w:rPr>
                <w:t>https://government.economictimes.indiatimes.com/news/economy/india-records-17-jump-to-become-4th-largest-exporter-of-digital-services-wto-report/109231548</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580925" w14:textId="77777777" w:rsidR="00ED3849" w:rsidRDefault="00ED3849" w:rsidP="00ED3849">
            <w:pPr>
              <w:spacing w:after="0" w:line="240" w:lineRule="auto"/>
              <w:jc w:val="both"/>
              <w:rPr>
                <w:rFonts w:ascii="Times New Roman" w:hAnsi="Times New Roman"/>
                <w:sz w:val="24"/>
                <w:szCs w:val="24"/>
                <w:lang w:eastAsia="ja-JP"/>
              </w:rPr>
            </w:pPr>
          </w:p>
        </w:tc>
      </w:tr>
      <w:tr w:rsidR="00ED3849" w:rsidRPr="009D3E27" w14:paraId="7545176A"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A4272BE" w14:textId="3454AE21" w:rsidR="00ED3849" w:rsidRDefault="00ED3849" w:rsidP="00ED3849">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2024-04-12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6EDD5B4" w14:textId="72BB31AB" w:rsidR="00ED3849" w:rsidRPr="006F370A" w:rsidRDefault="00ED3849" w:rsidP="00ED3849">
            <w:pPr>
              <w:jc w:val="both"/>
              <w:rPr>
                <w:rFonts w:ascii="Times New Roman" w:hAnsi="Times New Roman"/>
                <w:sz w:val="24"/>
                <w:szCs w:val="24"/>
                <w:lang w:eastAsia="ja-JP"/>
              </w:rPr>
            </w:pPr>
            <w:r w:rsidRPr="006F370A">
              <w:rPr>
                <w:rFonts w:ascii="Times New Roman" w:hAnsi="Times New Roman"/>
                <w:sz w:val="24"/>
                <w:szCs w:val="24"/>
                <w:lang w:eastAsia="ja-JP"/>
              </w:rPr>
              <w:t>„</w:t>
            </w:r>
            <w:proofErr w:type="spellStart"/>
            <w:r w:rsidRPr="006F370A">
              <w:rPr>
                <w:rFonts w:ascii="Times New Roman" w:hAnsi="Times New Roman"/>
                <w:sz w:val="24"/>
                <w:szCs w:val="24"/>
                <w:lang w:eastAsia="ja-JP"/>
              </w:rPr>
              <w:t>Moody's</w:t>
            </w:r>
            <w:proofErr w:type="spellEnd"/>
            <w:r w:rsidRPr="006F370A">
              <w:rPr>
                <w:rFonts w:ascii="Times New Roman" w:hAnsi="Times New Roman"/>
                <w:sz w:val="24"/>
                <w:szCs w:val="24"/>
                <w:lang w:eastAsia="ja-JP"/>
              </w:rPr>
              <w:t xml:space="preserve"> Analytics“ prognozavo, kad 2024 kalendoriniais metais Indijos ekonomikos augimas šiek tiek padidės iki 6,1 % nuo 6 %</w:t>
            </w:r>
            <w:r>
              <w:rPr>
                <w:rFonts w:ascii="Times New Roman" w:hAnsi="Times New Roman"/>
                <w:sz w:val="24"/>
                <w:szCs w:val="24"/>
                <w:lang w:eastAsia="ja-JP"/>
              </w:rPr>
              <w:t>, prognozuotų</w:t>
            </w:r>
            <w:r w:rsidRPr="006F370A">
              <w:rPr>
                <w:rFonts w:ascii="Times New Roman" w:hAnsi="Times New Roman"/>
                <w:sz w:val="24"/>
                <w:szCs w:val="24"/>
                <w:lang w:eastAsia="ja-JP"/>
              </w:rPr>
              <w:t xml:space="preserve"> šių metų kovo mėn.</w:t>
            </w:r>
          </w:p>
          <w:p w14:paraId="0238A9D6" w14:textId="5D2C19C7" w:rsidR="00ED3849" w:rsidRPr="00E926E6" w:rsidRDefault="00ED3849" w:rsidP="00ED3849">
            <w:pPr>
              <w:jc w:val="both"/>
              <w:rPr>
                <w:rFonts w:ascii="Times New Roman" w:hAnsi="Times New Roman"/>
                <w:sz w:val="24"/>
                <w:szCs w:val="24"/>
                <w:lang w:eastAsia="ja-JP"/>
              </w:rPr>
            </w:pPr>
            <w:r w:rsidRPr="006F370A">
              <w:rPr>
                <w:rFonts w:ascii="Times New Roman" w:hAnsi="Times New Roman"/>
                <w:sz w:val="24"/>
                <w:szCs w:val="24"/>
                <w:lang w:eastAsia="ja-JP"/>
              </w:rPr>
              <w:t>TVF padidino Indijos augimo prognozę 2024–2025 m. iki 6,8% nuo 6,5% dėl didelės vidaus paklausos ir didėjančio darbingo amžiaus gyventojų skaičiaus.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2D81CCE" w14:textId="39A25129" w:rsidR="00ED3849" w:rsidRDefault="00ED3849" w:rsidP="00ED3849">
            <w:pPr>
              <w:spacing w:after="0" w:line="240" w:lineRule="auto"/>
              <w:jc w:val="both"/>
            </w:pPr>
            <w:hyperlink r:id="rId10" w:history="1">
              <w:r w:rsidRPr="009D4CD5">
                <w:rPr>
                  <w:rStyle w:val="Hyperlink"/>
                </w:rPr>
                <w:t>https://www.business-standard.com/economy/news/moody-s-analytics-projects-india-s-economy-to-expand-by-6-1-in-2024-124041200712_1.html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7D5EF2B" w14:textId="77777777" w:rsidR="00ED3849" w:rsidRDefault="00ED3849" w:rsidP="00ED3849">
            <w:pPr>
              <w:spacing w:after="0" w:line="240" w:lineRule="auto"/>
              <w:jc w:val="both"/>
              <w:rPr>
                <w:rFonts w:ascii="Times New Roman" w:hAnsi="Times New Roman"/>
                <w:sz w:val="24"/>
                <w:szCs w:val="24"/>
                <w:lang w:eastAsia="ja-JP"/>
              </w:rPr>
            </w:pPr>
          </w:p>
        </w:tc>
      </w:tr>
      <w:tr w:rsidR="00ED3849" w:rsidRPr="009D3E27" w14:paraId="397CF815"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C3B9672" w14:textId="569BA2B6" w:rsidR="00ED3849" w:rsidRDefault="00ED3849" w:rsidP="00ED3849">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2024-04-15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5074671" w14:textId="728899DF" w:rsidR="00ED3849" w:rsidRPr="006F370A" w:rsidRDefault="00ED3849" w:rsidP="00ED3849">
            <w:pPr>
              <w:jc w:val="both"/>
              <w:rPr>
                <w:rFonts w:ascii="Times New Roman" w:hAnsi="Times New Roman"/>
                <w:sz w:val="24"/>
                <w:szCs w:val="24"/>
                <w:lang w:eastAsia="ja-JP"/>
              </w:rPr>
            </w:pPr>
            <w:r>
              <w:rPr>
                <w:rFonts w:ascii="Times New Roman" w:hAnsi="Times New Roman"/>
                <w:sz w:val="24"/>
                <w:szCs w:val="24"/>
                <w:lang w:eastAsia="ja-JP"/>
              </w:rPr>
              <w:t>Indijos e</w:t>
            </w:r>
            <w:r w:rsidRPr="006F370A">
              <w:rPr>
                <w:rFonts w:ascii="Times New Roman" w:hAnsi="Times New Roman"/>
                <w:sz w:val="24"/>
                <w:szCs w:val="24"/>
                <w:lang w:eastAsia="ja-JP"/>
              </w:rPr>
              <w:t xml:space="preserve">ksportuotojai tikisi, kad krovinių oro transportu į Europą apimtys padidės 10–15%, </w:t>
            </w:r>
            <w:r>
              <w:rPr>
                <w:rFonts w:ascii="Times New Roman" w:hAnsi="Times New Roman"/>
                <w:sz w:val="24"/>
                <w:szCs w:val="24"/>
                <w:lang w:eastAsia="ja-JP"/>
              </w:rPr>
              <w:t xml:space="preserve">didės </w:t>
            </w:r>
            <w:r w:rsidRPr="006F370A">
              <w:rPr>
                <w:rFonts w:ascii="Times New Roman" w:hAnsi="Times New Roman"/>
                <w:sz w:val="24"/>
                <w:szCs w:val="24"/>
                <w:lang w:eastAsia="ja-JP"/>
              </w:rPr>
              <w:t>logistikos ir draudimo išlaidos, o eksporto paklausa į Europą tur</w:t>
            </w:r>
            <w:r>
              <w:rPr>
                <w:rFonts w:ascii="Times New Roman" w:hAnsi="Times New Roman"/>
                <w:sz w:val="24"/>
                <w:szCs w:val="24"/>
                <w:lang w:eastAsia="ja-JP"/>
              </w:rPr>
              <w:t>i</w:t>
            </w:r>
            <w:r w:rsidRPr="006F370A">
              <w:rPr>
                <w:rFonts w:ascii="Times New Roman" w:hAnsi="Times New Roman"/>
                <w:sz w:val="24"/>
                <w:szCs w:val="24"/>
                <w:lang w:eastAsia="ja-JP"/>
              </w:rPr>
              <w:t xml:space="preserve"> įtakos po Irano atakos prieš Izraelį. Jau dabar Raudonosios jūros regione </w:t>
            </w:r>
            <w:r>
              <w:rPr>
                <w:rFonts w:ascii="Times New Roman" w:hAnsi="Times New Roman"/>
                <w:sz w:val="24"/>
                <w:szCs w:val="24"/>
                <w:lang w:eastAsia="ja-JP"/>
              </w:rPr>
              <w:t>esama</w:t>
            </w:r>
            <w:r w:rsidRPr="006F370A">
              <w:rPr>
                <w:rFonts w:ascii="Times New Roman" w:hAnsi="Times New Roman"/>
                <w:sz w:val="24"/>
                <w:szCs w:val="24"/>
                <w:lang w:eastAsia="ja-JP"/>
              </w:rPr>
              <w:t xml:space="preserve"> krizė lemia, kad didelis krovinių srautas perkeliamas į oro transportą, pavyzdžiui, odiniai gaminiai, kurie tradiciškai buvo siunčiami laivais, o tai didina krovinių oro transportu apimtį. Dėl to oro transportu į Europą gabenamo krovinio kaina išaugo iki maždaug 140 rupijų</w:t>
            </w:r>
            <w:r>
              <w:rPr>
                <w:rFonts w:ascii="Times New Roman" w:hAnsi="Times New Roman"/>
                <w:sz w:val="24"/>
                <w:szCs w:val="24"/>
                <w:lang w:eastAsia="ja-JP"/>
              </w:rPr>
              <w:t xml:space="preserve"> (1,5 EUR)</w:t>
            </w:r>
            <w:r w:rsidRPr="006F370A">
              <w:rPr>
                <w:rFonts w:ascii="Times New Roman" w:hAnsi="Times New Roman"/>
                <w:sz w:val="24"/>
                <w:szCs w:val="24"/>
                <w:lang w:eastAsia="ja-JP"/>
              </w:rPr>
              <w:t xml:space="preserve"> už kilogramą, palyginti su 35 rupijomis prieš tris mėnesius.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3264245" w14:textId="023A4082" w:rsidR="00ED3849" w:rsidRDefault="00ED3849" w:rsidP="00ED3849">
            <w:pPr>
              <w:spacing w:after="0" w:line="240" w:lineRule="auto"/>
              <w:jc w:val="both"/>
            </w:pPr>
            <w:hyperlink r:id="rId11" w:history="1">
              <w:r w:rsidRPr="009D4CD5">
                <w:rPr>
                  <w:rStyle w:val="Hyperlink"/>
                </w:rPr>
                <w:t>https://economictimes.indiatimes.com/news/economy/foreign-trade/indias-exports-to-europe-may-be-affected-due-to-iran-israel-conflict/articleshow/109294304.cms?from=mdr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DC92AD4" w14:textId="77777777" w:rsidR="00ED3849" w:rsidRDefault="00ED3849" w:rsidP="00ED3849">
            <w:pPr>
              <w:spacing w:after="0" w:line="240" w:lineRule="auto"/>
              <w:jc w:val="both"/>
              <w:rPr>
                <w:rFonts w:ascii="Times New Roman" w:hAnsi="Times New Roman"/>
                <w:sz w:val="24"/>
                <w:szCs w:val="24"/>
                <w:lang w:eastAsia="ja-JP"/>
              </w:rPr>
            </w:pPr>
          </w:p>
        </w:tc>
      </w:tr>
      <w:tr w:rsidR="00ED3849" w:rsidRPr="009D3E27" w14:paraId="64F6E54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6053893" w14:textId="722ADF00" w:rsidR="00ED3849" w:rsidRDefault="00ED3849" w:rsidP="00ED3849">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2024-04-23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1581FEA" w14:textId="71BA05F9" w:rsidR="00ED3849" w:rsidRDefault="00ED3849" w:rsidP="00ED3849">
            <w:pPr>
              <w:jc w:val="both"/>
              <w:rPr>
                <w:rFonts w:ascii="Times New Roman" w:hAnsi="Times New Roman"/>
                <w:sz w:val="24"/>
                <w:szCs w:val="24"/>
                <w:lang w:eastAsia="ja-JP"/>
              </w:rPr>
            </w:pPr>
            <w:r w:rsidRPr="00ED3849">
              <w:rPr>
                <w:rFonts w:ascii="Times New Roman" w:hAnsi="Times New Roman"/>
                <w:sz w:val="24"/>
                <w:szCs w:val="24"/>
                <w:lang w:eastAsia="ja-JP"/>
              </w:rPr>
              <w:t xml:space="preserve">Indijos įmonės, tiesiogiai ar netiesiogiai bendradarbiaujančios su Europos </w:t>
            </w:r>
            <w:r w:rsidRPr="00ED3849">
              <w:rPr>
                <w:rFonts w:ascii="Times New Roman" w:hAnsi="Times New Roman"/>
                <w:sz w:val="24"/>
                <w:szCs w:val="24"/>
                <w:lang w:eastAsia="ja-JP"/>
              </w:rPr>
              <w:lastRenderedPageBreak/>
              <w:t xml:space="preserve">įmonėmis, susiduria su dviguba kliūtimi, kai Vokietija </w:t>
            </w:r>
            <w:r>
              <w:rPr>
                <w:rFonts w:ascii="Times New Roman" w:hAnsi="Times New Roman"/>
                <w:sz w:val="24"/>
                <w:szCs w:val="24"/>
                <w:lang w:eastAsia="ja-JP"/>
              </w:rPr>
              <w:t>pradėjo griežtinti reikalavimus naujuoju įstatymu</w:t>
            </w:r>
            <w:r w:rsidRPr="00ED3849">
              <w:rPr>
                <w:rFonts w:ascii="Times New Roman" w:hAnsi="Times New Roman"/>
                <w:sz w:val="24"/>
                <w:szCs w:val="24"/>
                <w:lang w:eastAsia="ja-JP"/>
              </w:rPr>
              <w:t xml:space="preserve">, kuriuo siekiama užtikrinti sąžiningus darbo standartus ir aplinkosaugos reikalavimus. </w:t>
            </w:r>
            <w:r>
              <w:rPr>
                <w:rFonts w:ascii="Times New Roman" w:hAnsi="Times New Roman"/>
                <w:sz w:val="24"/>
                <w:szCs w:val="24"/>
                <w:lang w:eastAsia="ja-JP"/>
              </w:rPr>
              <w:t>Naujasis</w:t>
            </w:r>
            <w:r w:rsidRPr="00ED3849">
              <w:rPr>
                <w:rFonts w:ascii="Times New Roman" w:hAnsi="Times New Roman"/>
                <w:sz w:val="24"/>
                <w:szCs w:val="24"/>
                <w:lang w:eastAsia="ja-JP"/>
              </w:rPr>
              <w:t xml:space="preserve"> Vokietijos </w:t>
            </w:r>
            <w:r>
              <w:rPr>
                <w:rFonts w:ascii="Times New Roman" w:hAnsi="Times New Roman"/>
                <w:sz w:val="24"/>
                <w:szCs w:val="24"/>
                <w:lang w:eastAsia="ja-JP"/>
              </w:rPr>
              <w:t>įstatymas</w:t>
            </w:r>
            <w:r w:rsidRPr="00ED3849">
              <w:rPr>
                <w:rFonts w:ascii="Times New Roman" w:hAnsi="Times New Roman"/>
                <w:sz w:val="24"/>
                <w:szCs w:val="24"/>
                <w:lang w:eastAsia="ja-JP"/>
              </w:rPr>
              <w:t xml:space="preserve"> reikalauja, kad įmonės nustatytų, įvertintų, užkirstų kelią ir ištaisytų bet kokius galimus žmogaus teisių ir aplinkos pažeidimus, net jei netiesiogiai, savo veikloje ir tiekimo grandinėse. Pažeidimai gali būti susiję su didelėmis baudomis ir verslo praradimu. Indijos įmonėms, kurioms jau taikomas Europos anglies dioksido mokestis, Vokietijos tiekimo grandinės taisyklės reikštų papildomas atitikties ir ataskaitų teikimo išlaidas, neskaitant baudų ir verslo galimybių praradimo už bet kokius pažeidimus.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CCD3CE9" w14:textId="08840EC8" w:rsidR="00ED3849" w:rsidRDefault="00ED3849" w:rsidP="00ED3849">
            <w:pPr>
              <w:spacing w:after="0" w:line="240" w:lineRule="auto"/>
              <w:jc w:val="both"/>
            </w:pPr>
            <w:hyperlink r:id="rId12" w:history="1">
              <w:r w:rsidRPr="005A4B09">
                <w:rPr>
                  <w:rStyle w:val="Hyperlink"/>
                </w:rPr>
                <w:t>https://www.livemint.com/companies/germany-supply-chain-law-scdda-europe-carbon-tax-</w:t>
              </w:r>
              <w:r w:rsidRPr="005A4B09">
                <w:rPr>
                  <w:rStyle w:val="Hyperlink"/>
                </w:rPr>
                <w:lastRenderedPageBreak/>
                <w:t>cbam-indian-companies-11713870704121.html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8A67583" w14:textId="77777777" w:rsidR="00ED3849" w:rsidRDefault="00ED3849" w:rsidP="00ED3849">
            <w:pPr>
              <w:spacing w:after="0" w:line="240" w:lineRule="auto"/>
              <w:jc w:val="both"/>
              <w:rPr>
                <w:rFonts w:ascii="Times New Roman" w:hAnsi="Times New Roman"/>
                <w:sz w:val="24"/>
                <w:szCs w:val="24"/>
                <w:lang w:eastAsia="ja-JP"/>
              </w:rPr>
            </w:pPr>
          </w:p>
        </w:tc>
      </w:tr>
      <w:tr w:rsidR="00ED3849" w:rsidRPr="009D3E27" w14:paraId="2F23928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0B16508" w14:textId="7FAA2EC9" w:rsidR="00ED3849" w:rsidRDefault="00ED3849" w:rsidP="00ED3849">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2024-04-26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07DA565" w14:textId="0BBE2F9D" w:rsidR="00ED3849" w:rsidRDefault="00ED3849" w:rsidP="00ED3849">
            <w:pPr>
              <w:jc w:val="both"/>
              <w:rPr>
                <w:rFonts w:ascii="Times New Roman" w:hAnsi="Times New Roman"/>
                <w:sz w:val="24"/>
                <w:szCs w:val="24"/>
                <w:lang w:eastAsia="ja-JP"/>
              </w:rPr>
            </w:pPr>
            <w:r w:rsidRPr="00ED3849">
              <w:rPr>
                <w:rFonts w:ascii="Times New Roman" w:hAnsi="Times New Roman"/>
                <w:sz w:val="24"/>
                <w:szCs w:val="24"/>
                <w:lang w:eastAsia="ja-JP"/>
              </w:rPr>
              <w:t xml:space="preserve">Remiantis </w:t>
            </w:r>
            <w:r>
              <w:rPr>
                <w:rFonts w:ascii="Times New Roman" w:hAnsi="Times New Roman"/>
                <w:sz w:val="24"/>
                <w:szCs w:val="24"/>
                <w:lang w:eastAsia="ja-JP"/>
              </w:rPr>
              <w:t>Jungtinių Tautų</w:t>
            </w:r>
            <w:r w:rsidRPr="00ED3849">
              <w:rPr>
                <w:rFonts w:ascii="Times New Roman" w:hAnsi="Times New Roman"/>
                <w:sz w:val="24"/>
                <w:szCs w:val="24"/>
                <w:lang w:eastAsia="ja-JP"/>
              </w:rPr>
              <w:t xml:space="preserve"> ataskaita, Indijos paslaugų eksportas 2023 m. šoktelėjo 11,4% iki 345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ED3849">
              <w:rPr>
                <w:rFonts w:ascii="Times New Roman" w:hAnsi="Times New Roman"/>
                <w:sz w:val="24"/>
                <w:szCs w:val="24"/>
                <w:lang w:eastAsia="ja-JP"/>
              </w:rPr>
              <w:t xml:space="preserve">, nepaisant pasaulio ekonomikos neapibrėžtumo. Sektoriai, prisidedantys prie Indijos paslaugų eksporto augimo, yra kelionių, transporto, medicinos ir </w:t>
            </w:r>
            <w:r>
              <w:rPr>
                <w:rFonts w:ascii="Times New Roman" w:hAnsi="Times New Roman"/>
                <w:sz w:val="24"/>
                <w:szCs w:val="24"/>
                <w:lang w:eastAsia="ja-JP"/>
              </w:rPr>
              <w:t>apgyvendinimo</w:t>
            </w:r>
            <w:r w:rsidRPr="00ED3849">
              <w:rPr>
                <w:rFonts w:ascii="Times New Roman" w:hAnsi="Times New Roman"/>
                <w:sz w:val="24"/>
                <w:szCs w:val="24"/>
                <w:lang w:eastAsia="ja-JP"/>
              </w:rPr>
              <w:t xml:space="preserve"> sektoriai. Tačiau Indijos paslaugų importas praėjusiais metais sumažėjo 0,4 % iki 248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sidRPr="00ED3849">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F3EE417" w14:textId="62026176" w:rsidR="00ED3849" w:rsidRDefault="00ED3849" w:rsidP="00ED3849">
            <w:pPr>
              <w:spacing w:after="0" w:line="240" w:lineRule="auto"/>
              <w:jc w:val="both"/>
            </w:pPr>
            <w:hyperlink r:id="rId13" w:history="1">
              <w:r w:rsidRPr="005A4B09">
                <w:rPr>
                  <w:rStyle w:val="Hyperlink"/>
                </w:rPr>
                <w:t>https://economictimes.indiatimes.com/news/economy/foreign-trade/indias-services-exports-grow-11-4-in-2023-unctad-report/articleshow/109602819.cms?from=mdr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AC127E1" w14:textId="77777777" w:rsidR="00ED3849" w:rsidRDefault="00ED3849" w:rsidP="00ED3849">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22B03B9C"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 xml:space="preserve">LR ambasados Indijoje </w:t>
      </w:r>
      <w:r w:rsidR="00AF4AB2">
        <w:rPr>
          <w:rFonts w:ascii="Times New Roman" w:hAnsi="Times New Roman"/>
        </w:rPr>
        <w:t>trečiasis sekretorius</w:t>
      </w:r>
      <w:r w:rsidR="00BE5AD6">
        <w:rPr>
          <w:rFonts w:ascii="Times New Roman" w:hAnsi="Times New Roman"/>
        </w:rPr>
        <w:t>.</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7"/>
    <w:rsid w:val="00002710"/>
    <w:rsid w:val="000468B6"/>
    <w:rsid w:val="0004753E"/>
    <w:rsid w:val="000809D1"/>
    <w:rsid w:val="00085DD9"/>
    <w:rsid w:val="0009371C"/>
    <w:rsid w:val="00094E54"/>
    <w:rsid w:val="00097A3C"/>
    <w:rsid w:val="000B3189"/>
    <w:rsid w:val="000D1E6C"/>
    <w:rsid w:val="00130365"/>
    <w:rsid w:val="00144827"/>
    <w:rsid w:val="001516E8"/>
    <w:rsid w:val="0015389D"/>
    <w:rsid w:val="00163526"/>
    <w:rsid w:val="00173246"/>
    <w:rsid w:val="00186970"/>
    <w:rsid w:val="001B1A4B"/>
    <w:rsid w:val="001B2791"/>
    <w:rsid w:val="001C21C9"/>
    <w:rsid w:val="001E35DF"/>
    <w:rsid w:val="00201584"/>
    <w:rsid w:val="00230385"/>
    <w:rsid w:val="0025765F"/>
    <w:rsid w:val="002608C4"/>
    <w:rsid w:val="00261906"/>
    <w:rsid w:val="00263DE5"/>
    <w:rsid w:val="002848E4"/>
    <w:rsid w:val="00290311"/>
    <w:rsid w:val="002932E9"/>
    <w:rsid w:val="002B4C7B"/>
    <w:rsid w:val="002F746E"/>
    <w:rsid w:val="00304184"/>
    <w:rsid w:val="00312C64"/>
    <w:rsid w:val="00324E2E"/>
    <w:rsid w:val="00374DDF"/>
    <w:rsid w:val="00382E79"/>
    <w:rsid w:val="003A7DDB"/>
    <w:rsid w:val="003D663B"/>
    <w:rsid w:val="004010EB"/>
    <w:rsid w:val="004465FA"/>
    <w:rsid w:val="00456824"/>
    <w:rsid w:val="00485E4C"/>
    <w:rsid w:val="004A0120"/>
    <w:rsid w:val="004C68FC"/>
    <w:rsid w:val="004F1DE9"/>
    <w:rsid w:val="00531064"/>
    <w:rsid w:val="00543223"/>
    <w:rsid w:val="00555D3D"/>
    <w:rsid w:val="00563E44"/>
    <w:rsid w:val="00564839"/>
    <w:rsid w:val="005730A2"/>
    <w:rsid w:val="005811F8"/>
    <w:rsid w:val="00586747"/>
    <w:rsid w:val="00592414"/>
    <w:rsid w:val="005A4393"/>
    <w:rsid w:val="005C2EB8"/>
    <w:rsid w:val="005C77CC"/>
    <w:rsid w:val="005E3043"/>
    <w:rsid w:val="005E35FA"/>
    <w:rsid w:val="005F4522"/>
    <w:rsid w:val="00631380"/>
    <w:rsid w:val="006324C9"/>
    <w:rsid w:val="00643896"/>
    <w:rsid w:val="00646FC2"/>
    <w:rsid w:val="00663D62"/>
    <w:rsid w:val="00665940"/>
    <w:rsid w:val="006945B2"/>
    <w:rsid w:val="006C4592"/>
    <w:rsid w:val="006D083E"/>
    <w:rsid w:val="006E33A1"/>
    <w:rsid w:val="006F370A"/>
    <w:rsid w:val="006F7682"/>
    <w:rsid w:val="0070134F"/>
    <w:rsid w:val="007039C6"/>
    <w:rsid w:val="00710875"/>
    <w:rsid w:val="00720344"/>
    <w:rsid w:val="00724486"/>
    <w:rsid w:val="007556DF"/>
    <w:rsid w:val="00772A0C"/>
    <w:rsid w:val="00795002"/>
    <w:rsid w:val="00795A59"/>
    <w:rsid w:val="007A3AB1"/>
    <w:rsid w:val="007D484B"/>
    <w:rsid w:val="007D7F47"/>
    <w:rsid w:val="0084182C"/>
    <w:rsid w:val="008476DE"/>
    <w:rsid w:val="00852A87"/>
    <w:rsid w:val="00866EC8"/>
    <w:rsid w:val="00882EB1"/>
    <w:rsid w:val="008868C4"/>
    <w:rsid w:val="008A34B2"/>
    <w:rsid w:val="008B3FD9"/>
    <w:rsid w:val="008B6673"/>
    <w:rsid w:val="008B6C42"/>
    <w:rsid w:val="008C0223"/>
    <w:rsid w:val="008C30AB"/>
    <w:rsid w:val="008C3EAF"/>
    <w:rsid w:val="008F07E1"/>
    <w:rsid w:val="0091041C"/>
    <w:rsid w:val="00917530"/>
    <w:rsid w:val="009212B4"/>
    <w:rsid w:val="009453D4"/>
    <w:rsid w:val="0095099A"/>
    <w:rsid w:val="00950B26"/>
    <w:rsid w:val="00950E68"/>
    <w:rsid w:val="009555AE"/>
    <w:rsid w:val="00962CB8"/>
    <w:rsid w:val="00986539"/>
    <w:rsid w:val="009A1498"/>
    <w:rsid w:val="009B07FC"/>
    <w:rsid w:val="009B2AEE"/>
    <w:rsid w:val="009D3E27"/>
    <w:rsid w:val="009D435D"/>
    <w:rsid w:val="009F63C1"/>
    <w:rsid w:val="00A15E21"/>
    <w:rsid w:val="00A220B8"/>
    <w:rsid w:val="00A26D44"/>
    <w:rsid w:val="00A642B5"/>
    <w:rsid w:val="00A8680B"/>
    <w:rsid w:val="00A9367F"/>
    <w:rsid w:val="00A96499"/>
    <w:rsid w:val="00AE7356"/>
    <w:rsid w:val="00AF19A7"/>
    <w:rsid w:val="00AF4AB2"/>
    <w:rsid w:val="00B10941"/>
    <w:rsid w:val="00B129CC"/>
    <w:rsid w:val="00B361A0"/>
    <w:rsid w:val="00B57A60"/>
    <w:rsid w:val="00B71428"/>
    <w:rsid w:val="00B857F2"/>
    <w:rsid w:val="00B8691B"/>
    <w:rsid w:val="00BA5393"/>
    <w:rsid w:val="00BB6A08"/>
    <w:rsid w:val="00BD5EFE"/>
    <w:rsid w:val="00BE5AD6"/>
    <w:rsid w:val="00BE5D45"/>
    <w:rsid w:val="00C04C2D"/>
    <w:rsid w:val="00C144A7"/>
    <w:rsid w:val="00C369D8"/>
    <w:rsid w:val="00C52337"/>
    <w:rsid w:val="00C56EF3"/>
    <w:rsid w:val="00C62907"/>
    <w:rsid w:val="00C62E1F"/>
    <w:rsid w:val="00C665FC"/>
    <w:rsid w:val="00C75C10"/>
    <w:rsid w:val="00C8359F"/>
    <w:rsid w:val="00CA0D9F"/>
    <w:rsid w:val="00CB321B"/>
    <w:rsid w:val="00CC54F7"/>
    <w:rsid w:val="00CE5C0E"/>
    <w:rsid w:val="00D1639B"/>
    <w:rsid w:val="00D805A4"/>
    <w:rsid w:val="00D97E60"/>
    <w:rsid w:val="00DB62D4"/>
    <w:rsid w:val="00DC2373"/>
    <w:rsid w:val="00DC4047"/>
    <w:rsid w:val="00DC58E1"/>
    <w:rsid w:val="00DC64F4"/>
    <w:rsid w:val="00DD41DA"/>
    <w:rsid w:val="00DF4A3F"/>
    <w:rsid w:val="00E1101E"/>
    <w:rsid w:val="00E22615"/>
    <w:rsid w:val="00E42682"/>
    <w:rsid w:val="00E53E57"/>
    <w:rsid w:val="00E54B37"/>
    <w:rsid w:val="00E67958"/>
    <w:rsid w:val="00E902F0"/>
    <w:rsid w:val="00E926E6"/>
    <w:rsid w:val="00E931A5"/>
    <w:rsid w:val="00EB0714"/>
    <w:rsid w:val="00EB2110"/>
    <w:rsid w:val="00EC41A6"/>
    <w:rsid w:val="00ED3849"/>
    <w:rsid w:val="00EF1DB7"/>
    <w:rsid w:val="00EF6C0F"/>
    <w:rsid w:val="00EF7B76"/>
    <w:rsid w:val="00F040E1"/>
    <w:rsid w:val="00F046D0"/>
    <w:rsid w:val="00F1371F"/>
    <w:rsid w:val="00F47497"/>
    <w:rsid w:val="00F7229B"/>
    <w:rsid w:val="00F72DFF"/>
    <w:rsid w:val="00F83E09"/>
    <w:rsid w:val="00FC27F2"/>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paragraph" w:styleId="Heading3">
    <w:name w:val="heading 3"/>
    <w:basedOn w:val="Normal"/>
    <w:next w:val="Normal"/>
    <w:link w:val="Heading3Char"/>
    <w:uiPriority w:val="9"/>
    <w:semiHidden/>
    <w:unhideWhenUsed/>
    <w:qFormat/>
    <w:rsid w:val="00374D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 w:type="character" w:customStyle="1" w:styleId="Heading3Char">
    <w:name w:val="Heading 3 Char"/>
    <w:basedOn w:val="DefaultParagraphFont"/>
    <w:link w:val="Heading3"/>
    <w:uiPriority w:val="9"/>
    <w:semiHidden/>
    <w:rsid w:val="00374DDF"/>
    <w:rPr>
      <w:rFonts w:asciiTheme="majorHAnsi" w:eastAsiaTheme="majorEastAsia" w:hAnsiTheme="majorHAnsi" w:cstheme="majorBidi"/>
      <w:color w:val="1F4D78"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 w:id="888691956">
      <w:bodyDiv w:val="1"/>
      <w:marLeft w:val="0"/>
      <w:marRight w:val="0"/>
      <w:marTop w:val="0"/>
      <w:marBottom w:val="0"/>
      <w:divBdr>
        <w:top w:val="none" w:sz="0" w:space="0" w:color="auto"/>
        <w:left w:val="none" w:sz="0" w:space="0" w:color="auto"/>
        <w:bottom w:val="none" w:sz="0" w:space="0" w:color="auto"/>
        <w:right w:val="none" w:sz="0" w:space="0" w:color="auto"/>
      </w:divBdr>
    </w:div>
    <w:div w:id="20931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news/national/indias-exports-register-healthy-growth-to-european-latin-american-nations-in-2023/article68032229.ece" TargetMode="External"/><Relationship Id="rId13" Type="http://schemas.openxmlformats.org/officeDocument/2006/relationships/hyperlink" Target="https://economictimes.indiatimes.com/news/economy/foreign-trade/indias-services-exports-grow-11-4-in-2023-unctad-report/articleshow/109602819.cms?from=mdr" TargetMode="External"/><Relationship Id="rId3" Type="http://schemas.openxmlformats.org/officeDocument/2006/relationships/webSettings" Target="webSettings.xml"/><Relationship Id="rId7" Type="http://schemas.openxmlformats.org/officeDocument/2006/relationships/hyperlink" Target="https://economictimes.indiatimes.com/small-biz/trade/exports/insights/india-eurasian-economic-union-bloc-officials-hold-talks-to-formally-start-negotiation-for-fta/articleshow/108992604.cms?from=mdr" TargetMode="External"/><Relationship Id="rId12" Type="http://schemas.openxmlformats.org/officeDocument/2006/relationships/hyperlink" Target="https://www.livemint.com/companies/germany-supply-chain-law-scdda-europe-carbon-tax-cbam-indian-companies-1171387070412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hindu.com/news/national/indias-defence-exports-crossed-all-time-high-of-21000-crore-rajnath/article68016346.ece" TargetMode="External"/><Relationship Id="rId11" Type="http://schemas.openxmlformats.org/officeDocument/2006/relationships/hyperlink" Target="https://economictimes.indiatimes.com/news/economy/foreign-trade/indias-exports-to-europe-may-be-affected-due-to-iran-israel-conflict/articleshow/109294304.cms?from=mdr" TargetMode="External"/><Relationship Id="rId5" Type="http://schemas.openxmlformats.org/officeDocument/2006/relationships/hyperlink" Target="https://www.livemint.com/economy/india-plans-to-make-carbon-fibre-in-response-to-eu-carbon-tax-11711968558679.html" TargetMode="External"/><Relationship Id="rId15" Type="http://schemas.openxmlformats.org/officeDocument/2006/relationships/theme" Target="theme/theme1.xml"/><Relationship Id="rId10" Type="http://schemas.openxmlformats.org/officeDocument/2006/relationships/hyperlink" Target="https://www.business-standard.com/economy/news/moody-s-analytics-projects-india-s-economy-to-expand-by-6-1-in-2024-124041200712_1.html" TargetMode="External"/><Relationship Id="rId4" Type="http://schemas.openxmlformats.org/officeDocument/2006/relationships/hyperlink" Target="https://indianexpress.com/article/india/india-a-potential-superpower-will-seal-ftas-on-our-terms-goyal-9241002/" TargetMode="External"/><Relationship Id="rId9" Type="http://schemas.openxmlformats.org/officeDocument/2006/relationships/hyperlink" Target="https://government.economictimes.indiatimes.com/news/economy/india-records-17-jump-to-become-4th-largest-exporter-of-digital-services-wto-report/1092315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5412</Words>
  <Characters>3086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2</cp:revision>
  <dcterms:created xsi:type="dcterms:W3CDTF">2024-05-10T04:13:00Z</dcterms:created>
  <dcterms:modified xsi:type="dcterms:W3CDTF">2024-05-10T04:13:00Z</dcterms:modified>
</cp:coreProperties>
</file>