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57" w:rsidRPr="00A0165E" w:rsidRDefault="00150F57" w:rsidP="00150F57">
      <w:pPr>
        <w:jc w:val="center"/>
        <w:rPr>
          <w:sz w:val="20"/>
          <w:szCs w:val="20"/>
        </w:rPr>
      </w:pPr>
      <w:r w:rsidRPr="00A0165E">
        <w:rPr>
          <w:b/>
        </w:rPr>
        <w:t>LIETUVOS RESPUBLIKOS AMBASADOS ITALIJOS RESPUBLIKOJE</w:t>
      </w:r>
    </w:p>
    <w:p w:rsidR="00150F57" w:rsidRPr="00A0165E" w:rsidRDefault="00150F57" w:rsidP="00150F57">
      <w:pPr>
        <w:rPr>
          <w:sz w:val="20"/>
          <w:szCs w:val="20"/>
        </w:rPr>
      </w:pPr>
    </w:p>
    <w:p w:rsidR="00150F57" w:rsidRPr="00A0165E" w:rsidRDefault="00150F57" w:rsidP="00150F57">
      <w:pPr>
        <w:jc w:val="center"/>
        <w:rPr>
          <w:b/>
        </w:rPr>
      </w:pPr>
      <w:r w:rsidRPr="00A0165E">
        <w:rPr>
          <w:b/>
        </w:rPr>
        <w:t>AKTUALIOS EKONOMINĖS INFORMACIJOS SUVESTINĖ</w:t>
      </w:r>
    </w:p>
    <w:p w:rsidR="00150F57" w:rsidRPr="00A0165E" w:rsidRDefault="00150F57" w:rsidP="00150F57">
      <w:pPr>
        <w:jc w:val="center"/>
        <w:rPr>
          <w:b/>
          <w:sz w:val="20"/>
          <w:szCs w:val="20"/>
        </w:rPr>
      </w:pPr>
    </w:p>
    <w:p w:rsidR="00150F57" w:rsidRPr="00A0165E" w:rsidRDefault="00D0065A" w:rsidP="00150F57">
      <w:pPr>
        <w:jc w:val="center"/>
        <w:rPr>
          <w:sz w:val="20"/>
          <w:szCs w:val="20"/>
        </w:rPr>
      </w:pPr>
      <w:r>
        <w:t>2024</w:t>
      </w:r>
      <w:r w:rsidR="00150F57" w:rsidRPr="00A0165E">
        <w:t xml:space="preserve"> m. </w:t>
      </w:r>
      <w:r w:rsidR="001E2BAE">
        <w:t>balandžio</w:t>
      </w:r>
      <w:r w:rsidR="007D7201">
        <w:t xml:space="preserve"> mėn.</w:t>
      </w:r>
      <w:r w:rsidR="00A81BB9">
        <w:t xml:space="preserve"> </w:t>
      </w:r>
    </w:p>
    <w:p w:rsidR="00150F57" w:rsidRPr="00A0165E" w:rsidRDefault="00150F57" w:rsidP="00150F57">
      <w:pPr>
        <w:rPr>
          <w:sz w:val="20"/>
          <w:szCs w:val="20"/>
        </w:rPr>
      </w:pPr>
    </w:p>
    <w:tbl>
      <w:tblPr>
        <w:tblW w:w="1051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4656"/>
        <w:gridCol w:w="2573"/>
        <w:gridCol w:w="1870"/>
      </w:tblGrid>
      <w:tr w:rsidR="00150F57" w:rsidRPr="00A0165E" w:rsidTr="00AF2ECD">
        <w:trPr>
          <w:trHeight w:val="394"/>
          <w:tblHeader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50F57" w:rsidRPr="00A0165E" w:rsidRDefault="00150F57" w:rsidP="00AF2ECD">
            <w:pPr>
              <w:pStyle w:val="Titolo1"/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6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50F57" w:rsidRPr="00A0165E" w:rsidRDefault="00150F57" w:rsidP="00AF2ECD">
            <w:pPr>
              <w:pStyle w:val="Titolo1"/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Pateikiamos informacijos apibendrinimas</w:t>
            </w:r>
          </w:p>
        </w:tc>
        <w:tc>
          <w:tcPr>
            <w:tcW w:w="257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50F57" w:rsidRPr="00A0165E" w:rsidRDefault="00150F57" w:rsidP="00AF2ECD">
            <w:pPr>
              <w:pStyle w:val="Titolo1"/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Informacijos šaltinis</w:t>
            </w:r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50F57" w:rsidRPr="00A0165E" w:rsidRDefault="00150F57" w:rsidP="00AF2ECD">
            <w:pPr>
              <w:pStyle w:val="Titolo1"/>
              <w:spacing w:after="60" w:line="240" w:lineRule="auto"/>
              <w:ind w:firstLine="3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Pastabos</w:t>
            </w:r>
          </w:p>
        </w:tc>
      </w:tr>
      <w:tr w:rsidR="00150F57" w:rsidRPr="004B4FE8" w:rsidTr="00AF2ECD">
        <w:trPr>
          <w:trHeight w:val="221"/>
        </w:trPr>
        <w:tc>
          <w:tcPr>
            <w:tcW w:w="10517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0F57" w:rsidRPr="00345510" w:rsidRDefault="00150F57" w:rsidP="00AF2ECD">
            <w:pPr>
              <w:spacing w:after="60"/>
              <w:rPr>
                <w:b/>
              </w:rPr>
            </w:pPr>
            <w:r w:rsidRPr="00345510">
              <w:rPr>
                <w:b/>
                <w:sz w:val="22"/>
                <w:szCs w:val="22"/>
              </w:rPr>
              <w:t>Lietuvos verslo plėtrai aktuali informacija</w:t>
            </w:r>
          </w:p>
        </w:tc>
      </w:tr>
      <w:tr w:rsidR="00B65D1E" w:rsidRPr="00A0165E" w:rsidTr="00B65D1E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5D1E" w:rsidRPr="004C2DDF" w:rsidRDefault="0021096A" w:rsidP="00D54582">
            <w:pPr>
              <w:rPr>
                <w:sz w:val="20"/>
                <w:szCs w:val="20"/>
                <w:lang w:val="it-IT"/>
              </w:rPr>
            </w:pPr>
            <w:r w:rsidRPr="004C2DDF">
              <w:rPr>
                <w:sz w:val="20"/>
                <w:szCs w:val="20"/>
                <w:lang w:val="it-IT"/>
              </w:rPr>
              <w:t>2024-04-30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5D1E" w:rsidRPr="004C2DDF" w:rsidRDefault="006242A3" w:rsidP="004C2DDF">
            <w:pPr>
              <w:jc w:val="both"/>
              <w:rPr>
                <w:rStyle w:val="Collegamentoipertestuale"/>
                <w:sz w:val="20"/>
                <w:szCs w:val="20"/>
              </w:rPr>
            </w:pPr>
            <w:r w:rsidRPr="004C2DDF">
              <w:rPr>
                <w:sz w:val="20"/>
                <w:szCs w:val="20"/>
              </w:rPr>
              <w:t>2024 m. rugsėjo 16-17 d. Romoje vyks pasaulinis forumas  „Greentech Global Forum“, kur daugiausia dėmesio skiriama pažangiausioms technologijoms, skirt</w:t>
            </w:r>
            <w:r w:rsidR="004C2DDF">
              <w:rPr>
                <w:sz w:val="20"/>
                <w:szCs w:val="20"/>
              </w:rPr>
              <w:t xml:space="preserve">oms perėjimui prie energetikos </w:t>
            </w:r>
            <w:r w:rsidRPr="004C2DDF">
              <w:rPr>
                <w:sz w:val="20"/>
                <w:szCs w:val="20"/>
              </w:rPr>
              <w:t>ir išmaniųjų miestų pritaikymui: žalioji energija, elektroninis mobilumas, pažangios paslaugos gyventojams</w:t>
            </w:r>
            <w:r w:rsidR="004C2DDF">
              <w:rPr>
                <w:sz w:val="20"/>
                <w:szCs w:val="20"/>
              </w:rPr>
              <w:t xml:space="preserve"> </w:t>
            </w:r>
            <w:r w:rsidRPr="004C2DDF">
              <w:rPr>
                <w:sz w:val="20"/>
                <w:szCs w:val="20"/>
              </w:rPr>
              <w:t>žiedinė ekonomika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5D1E" w:rsidRPr="004C2DDF" w:rsidRDefault="00DD06DF" w:rsidP="00D54582">
            <w:pPr>
              <w:jc w:val="both"/>
              <w:rPr>
                <w:rStyle w:val="Collegamentoipertestuale"/>
                <w:sz w:val="16"/>
                <w:szCs w:val="16"/>
              </w:rPr>
            </w:pPr>
            <w:hyperlink r:id="rId8" w:history="1">
              <w:r w:rsidR="0021096A" w:rsidRPr="004C2DDF">
                <w:rPr>
                  <w:rStyle w:val="Collegamentoipertestuale"/>
                  <w:sz w:val="16"/>
                  <w:szCs w:val="16"/>
                </w:rPr>
                <w:t>https://www.lazioinnova.it/laziointernation</w:t>
              </w:r>
              <w:r w:rsidR="0021096A" w:rsidRPr="004C2DDF">
                <w:rPr>
                  <w:rStyle w:val="Collegamentoipertestuale"/>
                  <w:sz w:val="16"/>
                  <w:szCs w:val="16"/>
                </w:rPr>
                <w:t>a</w:t>
              </w:r>
              <w:r w:rsidR="0021096A" w:rsidRPr="004C2DDF">
                <w:rPr>
                  <w:rStyle w:val="Collegamentoipertestuale"/>
                  <w:sz w:val="16"/>
                  <w:szCs w:val="16"/>
                </w:rPr>
                <w:t>l/2024/04/16/greentech-global-forum/</w:t>
              </w:r>
            </w:hyperlink>
          </w:p>
        </w:tc>
        <w:tc>
          <w:tcPr>
            <w:tcW w:w="187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5D1E" w:rsidRPr="00A0165E" w:rsidRDefault="00B65D1E" w:rsidP="00D54582">
            <w:pPr>
              <w:spacing w:after="60"/>
              <w:rPr>
                <w:sz w:val="16"/>
                <w:szCs w:val="16"/>
              </w:rPr>
            </w:pPr>
          </w:p>
        </w:tc>
      </w:tr>
      <w:tr w:rsidR="00345828" w:rsidRPr="00A0165E" w:rsidTr="00B467BB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45828" w:rsidRPr="00576AA2" w:rsidRDefault="0021096A" w:rsidP="00D5458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2023 04 30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45828" w:rsidRPr="0039505A" w:rsidRDefault="0021096A" w:rsidP="006347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8-9 d. Milane vyks Fintech Summit.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45828" w:rsidRPr="00345828" w:rsidRDefault="00DD06DF" w:rsidP="00D54582">
            <w:pPr>
              <w:jc w:val="both"/>
              <w:rPr>
                <w:sz w:val="16"/>
                <w:szCs w:val="16"/>
              </w:rPr>
            </w:pPr>
            <w:hyperlink r:id="rId9" w:history="1">
              <w:r w:rsidR="0021096A" w:rsidRPr="0021096A">
                <w:rPr>
                  <w:rStyle w:val="Collegamentoipertestuale"/>
                  <w:sz w:val="16"/>
                  <w:szCs w:val="16"/>
                </w:rPr>
                <w:t>https://www.milanfintechsummit.com/</w:t>
              </w:r>
            </w:hyperlink>
          </w:p>
        </w:tc>
        <w:tc>
          <w:tcPr>
            <w:tcW w:w="187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45828" w:rsidRPr="00A0165E" w:rsidRDefault="00345828" w:rsidP="00D54582">
            <w:pPr>
              <w:spacing w:after="60"/>
              <w:rPr>
                <w:sz w:val="16"/>
                <w:szCs w:val="16"/>
              </w:rPr>
            </w:pPr>
          </w:p>
        </w:tc>
      </w:tr>
      <w:tr w:rsidR="000C2CF2" w:rsidRPr="00A0165E" w:rsidTr="00B467BB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2CF2" w:rsidRDefault="000C2CF2" w:rsidP="00D54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2024-04-26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2CF2" w:rsidRDefault="000C2CF2" w:rsidP="005C046F">
            <w:pPr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</w:pPr>
            <w:r w:rsidRPr="000C2CF2"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>Balandžio 24 d. pristatyta „Investuok Italijoje“ - Įmonių ir „</w:t>
            </w:r>
            <w:r w:rsidR="005C046F"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>Made in Italy</w:t>
            </w:r>
            <w:r w:rsidRPr="000C2CF2"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 xml:space="preserve">“ </w:t>
            </w:r>
            <w:r w:rsidR="005C046F"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 xml:space="preserve">ministerijos </w:t>
            </w:r>
            <w:r w:rsidRPr="000C2CF2"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>platforma, skirta padėti užsienio investuotojams atlikti visus formalumus ir tvarkyti dokumentus, susijusius su gamybos investicijomis Italijoje, nuo derybų etapo iki jų įgyvendinimo, įskaitant galimų lengvatų pritaikymą.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2CF2" w:rsidRPr="004E6DB5" w:rsidRDefault="005C046F" w:rsidP="005C046F">
            <w:pPr>
              <w:jc w:val="both"/>
              <w:rPr>
                <w:sz w:val="16"/>
                <w:szCs w:val="16"/>
              </w:rPr>
            </w:pPr>
            <w:hyperlink r:id="rId10" w:history="1">
              <w:r w:rsidRPr="005C046F">
                <w:rPr>
                  <w:rStyle w:val="Collegamentoipertestuale"/>
                  <w:sz w:val="16"/>
                  <w:szCs w:val="16"/>
                </w:rPr>
                <w:t>https://www.investinitaly.gov.it/en</w:t>
              </w:r>
            </w:hyperlink>
          </w:p>
        </w:tc>
        <w:tc>
          <w:tcPr>
            <w:tcW w:w="187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2CF2" w:rsidRPr="00A0165E" w:rsidRDefault="000C2CF2" w:rsidP="00D54582">
            <w:pPr>
              <w:spacing w:after="60"/>
              <w:rPr>
                <w:sz w:val="16"/>
                <w:szCs w:val="16"/>
              </w:rPr>
            </w:pPr>
          </w:p>
        </w:tc>
      </w:tr>
      <w:tr w:rsidR="004E6DB5" w:rsidRPr="00A0165E" w:rsidTr="00B467BB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E6DB5" w:rsidRPr="004E6DB5" w:rsidRDefault="004E6DB5" w:rsidP="00D5458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2024-04-26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E6DB5" w:rsidRDefault="00A97E2F" w:rsidP="005B6605">
            <w:pPr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</w:pPr>
            <w:r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 xml:space="preserve"> „L Catterton“ – JAV </w:t>
            </w:r>
            <w:r w:rsidR="00DB2F23" w:rsidRPr="00DB2F23"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 xml:space="preserve">pasaulinio </w:t>
            </w:r>
            <w:r w:rsidR="005B6605"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>garso</w:t>
            </w:r>
            <w:r w:rsidR="00DB2F23" w:rsidRPr="00DB2F23"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 xml:space="preserve"> investuotojas į vartojimo prekių sektorių, pasirašė susitarimą dėl Percassi šeimos įkurto Ital</w:t>
            </w:r>
            <w:r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>ijos Kosmetikos prekių ženklo „</w:t>
            </w:r>
            <w:r w:rsidR="00DB2F23" w:rsidRPr="00DB2F23"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>Kiko Milano</w:t>
            </w:r>
            <w:r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>“</w:t>
            </w:r>
            <w:r w:rsidR="00DB2F23" w:rsidRPr="00DB2F23"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 xml:space="preserve"> kontrolinio akcijų paketo įsigij</w:t>
            </w:r>
            <w:r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 xml:space="preserve">imo. Sandorio sąlygos yra slaptos, tačiau, remiantis kai kuriais </w:t>
            </w:r>
            <w:r w:rsidR="00DB2F23" w:rsidRPr="00DB2F23"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 xml:space="preserve">šaltiniais, įmonės vertė </w:t>
            </w:r>
            <w:r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>siekė</w:t>
            </w:r>
            <w:r w:rsidR="00DB2F23" w:rsidRPr="00DB2F23"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 xml:space="preserve"> apie 1,4 mlrd.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E6DB5" w:rsidRPr="004E6DB5" w:rsidRDefault="004E6DB5" w:rsidP="00D54582">
            <w:pPr>
              <w:jc w:val="both"/>
              <w:rPr>
                <w:sz w:val="16"/>
                <w:szCs w:val="16"/>
              </w:rPr>
            </w:pPr>
            <w:hyperlink r:id="rId11" w:history="1">
              <w:r w:rsidRPr="004E6DB5">
                <w:rPr>
                  <w:rStyle w:val="Collegamentoipertestuale"/>
                  <w:sz w:val="16"/>
                  <w:szCs w:val="16"/>
                </w:rPr>
                <w:t>https://www.ilsole24ore.com/art/l-catterton-accordo-acquisizione-maggioranza-kiko-milano-AFbaogkD</w:t>
              </w:r>
            </w:hyperlink>
          </w:p>
        </w:tc>
        <w:tc>
          <w:tcPr>
            <w:tcW w:w="187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E6DB5" w:rsidRPr="00A0165E" w:rsidRDefault="004E6DB5" w:rsidP="00D54582">
            <w:pPr>
              <w:spacing w:after="60"/>
              <w:rPr>
                <w:sz w:val="16"/>
                <w:szCs w:val="16"/>
              </w:rPr>
            </w:pPr>
          </w:p>
        </w:tc>
      </w:tr>
      <w:tr w:rsidR="00D54582" w:rsidRPr="00A0165E" w:rsidTr="00B467BB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4582" w:rsidRPr="00CB4953" w:rsidRDefault="00CB4953" w:rsidP="00D5458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2024-04-21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4582" w:rsidRPr="00E6355D" w:rsidRDefault="00CB4953" w:rsidP="00E6355D">
            <w:pPr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</w:pPr>
            <w:r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 xml:space="preserve">Balandžio </w:t>
            </w:r>
            <w:r w:rsidR="00E6355D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16-21 d. </w:t>
            </w:r>
            <w:proofErr w:type="spellStart"/>
            <w:r w:rsidR="00E6355D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Milane</w:t>
            </w:r>
            <w:proofErr w:type="spellEnd"/>
            <w:r w:rsidR="00E6355D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="00E6355D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vyk</w:t>
            </w:r>
            <w:proofErr w:type="spellEnd"/>
            <w:r w:rsidR="00E6355D"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>usi baldų paroda „Salone del Mobile“</w:t>
            </w:r>
            <w:r w:rsidR="00E6355D" w:rsidRPr="00E6355D"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 xml:space="preserve"> </w:t>
            </w:r>
            <w:r w:rsidR="00E6355D"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>sulaukė 361 tūkst. lankytojų: +17,1 proc.</w:t>
            </w:r>
            <w:r w:rsidR="00E6355D" w:rsidRPr="00E6355D"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>, palyginti su 2023 m. Pirkėjų iš užsienio antplūdis ir masinis pirkėjų iš Kinijos sugrįžimas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4582" w:rsidRPr="001B34C3" w:rsidRDefault="00DD06DF" w:rsidP="00D54582">
            <w:pPr>
              <w:jc w:val="both"/>
              <w:rPr>
                <w:sz w:val="16"/>
                <w:szCs w:val="16"/>
              </w:rPr>
            </w:pPr>
            <w:hyperlink r:id="rId12" w:history="1">
              <w:r w:rsidR="00E6355D" w:rsidRPr="00E6355D">
                <w:rPr>
                  <w:rStyle w:val="Collegamentoipertestuale"/>
                  <w:sz w:val="16"/>
                  <w:szCs w:val="16"/>
                </w:rPr>
                <w:t>https://www.ilsole24ore.com/art/salone-mobile-la-chiusura-attese-oltre-350mila-presenze-AFAwQ9fD</w:t>
              </w:r>
            </w:hyperlink>
          </w:p>
        </w:tc>
        <w:tc>
          <w:tcPr>
            <w:tcW w:w="187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4582" w:rsidRPr="00A0165E" w:rsidRDefault="00D54582" w:rsidP="00D54582">
            <w:pPr>
              <w:spacing w:after="60"/>
              <w:rPr>
                <w:sz w:val="16"/>
                <w:szCs w:val="16"/>
              </w:rPr>
            </w:pPr>
          </w:p>
        </w:tc>
      </w:tr>
      <w:tr w:rsidR="00016976" w:rsidRPr="00A0165E" w:rsidTr="003D6860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6976" w:rsidRPr="003B01DA" w:rsidRDefault="00AE5230" w:rsidP="00D925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2024-04-02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6976" w:rsidRPr="001A47FC" w:rsidRDefault="00AE5230" w:rsidP="00AE5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Musk bendrovės „Starlink“</w:t>
            </w:r>
            <w:r w:rsidRPr="00AE52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skundas IT ryšių priežiūros institucijai ir </w:t>
            </w:r>
            <w:r w:rsidRPr="00AE5230">
              <w:rPr>
                <w:i/>
                <w:sz w:val="20"/>
                <w:szCs w:val="20"/>
              </w:rPr>
              <w:t>Įmonių ir Made in Italy</w:t>
            </w:r>
            <w:r>
              <w:rPr>
                <w:sz w:val="20"/>
                <w:szCs w:val="20"/>
              </w:rPr>
              <w:t xml:space="preserve"> mnisterijai</w:t>
            </w:r>
            <w:r w:rsidRPr="00AE523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dėl</w:t>
            </w:r>
            <w:r w:rsidRPr="00AE52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to, kad </w:t>
            </w:r>
            <w:r w:rsidRPr="00AE5230">
              <w:rPr>
                <w:sz w:val="20"/>
                <w:szCs w:val="20"/>
              </w:rPr>
              <w:t xml:space="preserve">greitojo interneto diegimui Italijoje trukdo didžiausias </w:t>
            </w:r>
            <w:r>
              <w:rPr>
                <w:sz w:val="20"/>
                <w:szCs w:val="20"/>
              </w:rPr>
              <w:t>IT</w:t>
            </w:r>
            <w:r w:rsidRPr="00AE5230">
              <w:rPr>
                <w:sz w:val="20"/>
                <w:szCs w:val="20"/>
              </w:rPr>
              <w:t xml:space="preserve"> telefono ryšio operatorius </w:t>
            </w:r>
            <w:r>
              <w:rPr>
                <w:i/>
                <w:sz w:val="20"/>
                <w:szCs w:val="20"/>
              </w:rPr>
              <w:t xml:space="preserve">TIM, </w:t>
            </w:r>
            <w:r w:rsidRPr="00AE5230">
              <w:rPr>
                <w:sz w:val="20"/>
                <w:szCs w:val="20"/>
              </w:rPr>
              <w:t xml:space="preserve"> o tai gali turėti įtakos paslaugoms Pietų Europoje ir Šiaurės Afrikoje.</w:t>
            </w:r>
            <w:r>
              <w:rPr>
                <w:sz w:val="20"/>
                <w:szCs w:val="20"/>
              </w:rPr>
              <w:t>„</w:t>
            </w:r>
            <w:r w:rsidRPr="00AE5230">
              <w:rPr>
                <w:sz w:val="20"/>
                <w:szCs w:val="20"/>
              </w:rPr>
              <w:t>Starlink</w:t>
            </w:r>
            <w:r>
              <w:rPr>
                <w:sz w:val="20"/>
                <w:szCs w:val="20"/>
              </w:rPr>
              <w:t>“ teigimu, TIM</w:t>
            </w:r>
            <w:r w:rsidRPr="00AE5230">
              <w:rPr>
                <w:sz w:val="20"/>
                <w:szCs w:val="20"/>
              </w:rPr>
              <w:t xml:space="preserve"> kelis mėnesius nesilaikė taisyklių, pagal kurias reikalaujama dalytis dažnių spektro duomenimis, kad būtų išvengta </w:t>
            </w:r>
            <w:r>
              <w:rPr>
                <w:sz w:val="20"/>
                <w:szCs w:val="20"/>
              </w:rPr>
              <w:t>jos įrenginių veikimo trukdžių.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37930" w:rsidRPr="00016976" w:rsidRDefault="00DD06DF" w:rsidP="003D6860">
            <w:pPr>
              <w:jc w:val="both"/>
              <w:rPr>
                <w:sz w:val="16"/>
                <w:szCs w:val="16"/>
              </w:rPr>
            </w:pPr>
            <w:hyperlink r:id="rId13" w:history="1">
              <w:r w:rsidR="00AE5230" w:rsidRPr="00AE5230">
                <w:rPr>
                  <w:rStyle w:val="Collegamentoipertestuale"/>
                  <w:sz w:val="16"/>
                  <w:szCs w:val="16"/>
                </w:rPr>
                <w:t>https://www.ilsole24ore.com/art/musk-contro-telecom-italia-blocca-sviluppo-internet-veloce-AF91yWHD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6976" w:rsidRPr="00A0165E" w:rsidRDefault="00016976" w:rsidP="003D6860">
            <w:pPr>
              <w:spacing w:after="60"/>
              <w:rPr>
                <w:sz w:val="16"/>
                <w:szCs w:val="16"/>
              </w:rPr>
            </w:pPr>
          </w:p>
        </w:tc>
      </w:tr>
      <w:tr w:rsidR="00150F57" w:rsidRPr="00A0165E" w:rsidTr="00AF2ECD">
        <w:trPr>
          <w:trHeight w:val="239"/>
        </w:trPr>
        <w:tc>
          <w:tcPr>
            <w:tcW w:w="10517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0F57" w:rsidRPr="00A0165E" w:rsidRDefault="00150F57" w:rsidP="00AF2ECD">
            <w:pPr>
              <w:spacing w:after="60"/>
              <w:rPr>
                <w:b/>
              </w:rPr>
            </w:pPr>
            <w:r w:rsidRPr="00A0165E">
              <w:rPr>
                <w:b/>
                <w:sz w:val="22"/>
                <w:szCs w:val="22"/>
              </w:rPr>
              <w:t>Lietuvos turizmo sektoriui aktuali informacija</w:t>
            </w:r>
          </w:p>
        </w:tc>
      </w:tr>
      <w:tr w:rsidR="00687075" w:rsidRPr="00A0165E" w:rsidTr="005B1C28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87075" w:rsidRDefault="00495156" w:rsidP="005B1C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2024-04-21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87075" w:rsidRPr="001C13D5" w:rsidRDefault="00661AFD" w:rsidP="00661AFD">
            <w:pPr>
              <w:jc w:val="both"/>
              <w:rPr>
                <w:sz w:val="20"/>
                <w:szCs w:val="20"/>
              </w:rPr>
            </w:pPr>
            <w:r w:rsidRPr="00661AFD">
              <w:rPr>
                <w:i/>
                <w:sz w:val="20"/>
                <w:szCs w:val="20"/>
              </w:rPr>
              <w:t>Assoviaggi Confesercenti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61AFD">
              <w:rPr>
                <w:sz w:val="20"/>
                <w:szCs w:val="20"/>
              </w:rPr>
              <w:t>užsakymu</w:t>
            </w:r>
            <w:r>
              <w:rPr>
                <w:sz w:val="20"/>
                <w:szCs w:val="20"/>
              </w:rPr>
              <w:t xml:space="preserve">, </w:t>
            </w:r>
            <w:r w:rsidRPr="00661AFD">
              <w:rPr>
                <w:i/>
                <w:sz w:val="20"/>
                <w:szCs w:val="20"/>
              </w:rPr>
              <w:t xml:space="preserve">Florencijos </w:t>
            </w:r>
            <w:r>
              <w:rPr>
                <w:i/>
                <w:sz w:val="20"/>
                <w:szCs w:val="20"/>
              </w:rPr>
              <w:t>turizmo studijų centro</w:t>
            </w:r>
            <w:r w:rsidRPr="00661AFD">
              <w:rPr>
                <w:i/>
                <w:sz w:val="20"/>
                <w:szCs w:val="20"/>
              </w:rPr>
              <w:t xml:space="preserve"> (Centro Studi Turistici di Firenze</w:t>
            </w:r>
            <w:r w:rsidRPr="00495156">
              <w:rPr>
                <w:sz w:val="20"/>
                <w:szCs w:val="20"/>
              </w:rPr>
              <w:t>), a</w:t>
            </w:r>
            <w:r>
              <w:rPr>
                <w:sz w:val="20"/>
                <w:szCs w:val="20"/>
              </w:rPr>
              <w:t xml:space="preserve">pklausiusio 769 kelionių agentūrų, teigimu, </w:t>
            </w:r>
            <w:r w:rsidR="00495156" w:rsidRPr="00495156">
              <w:rPr>
                <w:sz w:val="20"/>
                <w:szCs w:val="20"/>
              </w:rPr>
              <w:t xml:space="preserve">2024 m. </w:t>
            </w:r>
            <w:r w:rsidR="00495156">
              <w:rPr>
                <w:sz w:val="20"/>
                <w:szCs w:val="20"/>
              </w:rPr>
              <w:t>I</w:t>
            </w:r>
            <w:r w:rsidR="00495156" w:rsidRPr="00495156">
              <w:rPr>
                <w:sz w:val="20"/>
                <w:szCs w:val="20"/>
              </w:rPr>
              <w:t xml:space="preserve"> ketvirtį kelionių agentūrų pajamos, palyginti su tuo pačiu 2023 m. laikotarpiu, i</w:t>
            </w:r>
            <w:r w:rsidR="00495156">
              <w:rPr>
                <w:sz w:val="20"/>
                <w:szCs w:val="20"/>
              </w:rPr>
              <w:t>šaugo beveik 9 proc.</w:t>
            </w:r>
            <w:r w:rsidR="00495156" w:rsidRPr="00495156">
              <w:rPr>
                <w:sz w:val="20"/>
                <w:szCs w:val="20"/>
              </w:rPr>
              <w:t>, nepaisa</w:t>
            </w:r>
            <w:r w:rsidR="00495156">
              <w:rPr>
                <w:sz w:val="20"/>
                <w:szCs w:val="20"/>
              </w:rPr>
              <w:t>nt dviženkliais skaičiais (+18 proc.</w:t>
            </w:r>
            <w:r w:rsidR="00495156" w:rsidRPr="00495156">
              <w:rPr>
                <w:sz w:val="20"/>
                <w:szCs w:val="20"/>
              </w:rPr>
              <w:t xml:space="preserve">) išaugusių kelionių paketų ir kelionių draudimo polisų su apsaugos ir pagalbos garantijomis kainų, kurios per dvylika mėnesių vidutiniškai padidėjo 26,7 </w:t>
            </w:r>
            <w:r w:rsidR="00495156">
              <w:rPr>
                <w:sz w:val="20"/>
                <w:szCs w:val="20"/>
              </w:rPr>
              <w:t>proc.</w:t>
            </w:r>
            <w:r w:rsidRPr="001C13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87075" w:rsidRPr="00687075" w:rsidRDefault="00495156" w:rsidP="00A70BF9">
            <w:pPr>
              <w:rPr>
                <w:sz w:val="16"/>
                <w:szCs w:val="16"/>
              </w:rPr>
            </w:pPr>
            <w:hyperlink r:id="rId14" w:history="1">
              <w:r w:rsidRPr="00495156">
                <w:rPr>
                  <w:rStyle w:val="Collegamentoipertestuale"/>
                  <w:sz w:val="16"/>
                  <w:szCs w:val="16"/>
                </w:rPr>
                <w:t>https://www.ilsole24ore.com/art/assoviaggi-cst-bene-89percento-fatturato-agenzie-viaggio-primo-trimestre-AFHIXvfD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87075" w:rsidRPr="00A0165E" w:rsidRDefault="00687075" w:rsidP="005B1C28">
            <w:pPr>
              <w:spacing w:after="60"/>
              <w:rPr>
                <w:sz w:val="16"/>
                <w:szCs w:val="16"/>
              </w:rPr>
            </w:pPr>
          </w:p>
        </w:tc>
      </w:tr>
      <w:tr w:rsidR="009F4308" w:rsidRPr="00A0165E" w:rsidTr="005B1C28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4308" w:rsidRPr="00A70BF9" w:rsidRDefault="005A0227" w:rsidP="005B1C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2024-04-20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4308" w:rsidRPr="001C13D5" w:rsidRDefault="005A0227" w:rsidP="005A0227">
            <w:pPr>
              <w:jc w:val="both"/>
            </w:pPr>
            <w:r w:rsidRPr="00F72563">
              <w:rPr>
                <w:i/>
                <w:sz w:val="20"/>
                <w:szCs w:val="20"/>
              </w:rPr>
              <w:t>Istat</w:t>
            </w:r>
            <w:r>
              <w:rPr>
                <w:sz w:val="20"/>
                <w:szCs w:val="20"/>
              </w:rPr>
              <w:t xml:space="preserve"> ataskaitos patvirtina a</w:t>
            </w:r>
            <w:r w:rsidRPr="005A0227">
              <w:rPr>
                <w:sz w:val="20"/>
                <w:szCs w:val="20"/>
              </w:rPr>
              <w:t xml:space="preserve">groturizmo </w:t>
            </w:r>
            <w:r>
              <w:rPr>
                <w:sz w:val="20"/>
                <w:szCs w:val="20"/>
              </w:rPr>
              <w:t>įmonių IT augimą: 2022 m. - +1,8 proc.</w:t>
            </w:r>
            <w:r w:rsidRPr="005A0227">
              <w:rPr>
                <w:sz w:val="20"/>
                <w:szCs w:val="20"/>
              </w:rPr>
              <w:t>, palyginti s</w:t>
            </w:r>
            <w:r>
              <w:rPr>
                <w:sz w:val="20"/>
                <w:szCs w:val="20"/>
              </w:rPr>
              <w:t>u ankstesniais metais, ir +5,2 proc., palyginti su 2019 m.</w:t>
            </w:r>
            <w:r w:rsidRPr="005A022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N</w:t>
            </w:r>
            <w:r w:rsidRPr="005A0227">
              <w:rPr>
                <w:sz w:val="20"/>
                <w:szCs w:val="20"/>
              </w:rPr>
              <w:t xml:space="preserve">uo 2004 m. vidutinis metinis šios apgyvendinimo formos </w:t>
            </w:r>
            <w:r w:rsidRPr="005A0227">
              <w:rPr>
                <w:sz w:val="20"/>
                <w:szCs w:val="20"/>
              </w:rPr>
              <w:lastRenderedPageBreak/>
              <w:t xml:space="preserve">augimas buvo 3,8 </w:t>
            </w:r>
            <w:r>
              <w:rPr>
                <w:sz w:val="20"/>
                <w:szCs w:val="20"/>
              </w:rPr>
              <w:t>proc.</w:t>
            </w:r>
            <w:r w:rsidRPr="005A0227">
              <w:rPr>
                <w:sz w:val="20"/>
                <w:szCs w:val="20"/>
              </w:rPr>
              <w:t>. Didžiausi rodikliai, palyginti su prieš pandemiją buvusia verte, užfiksuoti dviejuose pietiniuose regionuose: Sicilijoje ir Kampanijoje.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4308" w:rsidRPr="009F4308" w:rsidRDefault="00DD06DF" w:rsidP="00A70BF9">
            <w:pPr>
              <w:rPr>
                <w:sz w:val="16"/>
                <w:szCs w:val="16"/>
              </w:rPr>
            </w:pPr>
            <w:hyperlink r:id="rId15" w:history="1">
              <w:r w:rsidR="005A0227" w:rsidRPr="005A0227">
                <w:rPr>
                  <w:rStyle w:val="Collegamentoipertestuale"/>
                  <w:sz w:val="16"/>
                  <w:szCs w:val="16"/>
                </w:rPr>
                <w:t>https://www.ilsole24ore.com/art/agriturismi-crescita-costante-ascesa-sicilia-e-campania-AFW6bDbD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4308" w:rsidRPr="00A0165E" w:rsidRDefault="009F4308" w:rsidP="005B1C28">
            <w:pPr>
              <w:spacing w:after="60"/>
              <w:rPr>
                <w:sz w:val="16"/>
                <w:szCs w:val="16"/>
              </w:rPr>
            </w:pPr>
          </w:p>
        </w:tc>
      </w:tr>
      <w:tr w:rsidR="002B7922" w:rsidRPr="00A0165E" w:rsidTr="005B1C28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B7922" w:rsidRDefault="002B7922" w:rsidP="005B1C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lastRenderedPageBreak/>
              <w:t>2024-04-19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B7922" w:rsidRPr="004060B3" w:rsidRDefault="002B7922" w:rsidP="002B7922">
            <w:pPr>
              <w:jc w:val="both"/>
              <w:rPr>
                <w:sz w:val="20"/>
                <w:szCs w:val="20"/>
              </w:rPr>
            </w:pPr>
            <w:r w:rsidRPr="002B7922">
              <w:rPr>
                <w:sz w:val="20"/>
                <w:szCs w:val="20"/>
              </w:rPr>
              <w:t xml:space="preserve">60-ojoje tarptautinėje Venecijos meno bienalės </w:t>
            </w:r>
            <w:r>
              <w:rPr>
                <w:sz w:val="20"/>
                <w:szCs w:val="20"/>
              </w:rPr>
              <w:t>parodoje Lietuvos paviljonas</w:t>
            </w:r>
            <w:r w:rsidRPr="002B7922">
              <w:rPr>
                <w:sz w:val="20"/>
                <w:szCs w:val="20"/>
              </w:rPr>
              <w:t xml:space="preserve"> eksponuojamas Šv. Antano bažnyčioje nuo 2024 m. balandžio 19 d. iki lapkričio 24 d., parodos darbo laikas kasdien nuo 11 iki 19 val.</w:t>
            </w:r>
            <w:r>
              <w:rPr>
                <w:sz w:val="20"/>
                <w:szCs w:val="20"/>
              </w:rPr>
              <w:t xml:space="preserve"> Parodos  „</w:t>
            </w:r>
            <w:r w:rsidRPr="002B7922">
              <w:rPr>
                <w:sz w:val="20"/>
                <w:szCs w:val="20"/>
              </w:rPr>
              <w:t>Inflammation</w:t>
            </w:r>
            <w:r>
              <w:rPr>
                <w:sz w:val="20"/>
                <w:szCs w:val="20"/>
              </w:rPr>
              <w:t>“</w:t>
            </w:r>
            <w:r w:rsidRPr="002B7922">
              <w:rPr>
                <w:sz w:val="20"/>
                <w:szCs w:val="20"/>
              </w:rPr>
              <w:t xml:space="preserve"> atidarymas </w:t>
            </w:r>
            <w:r>
              <w:rPr>
                <w:sz w:val="20"/>
                <w:szCs w:val="20"/>
              </w:rPr>
              <w:t>įvyko</w:t>
            </w:r>
            <w:r w:rsidRPr="002B7922">
              <w:rPr>
                <w:sz w:val="20"/>
                <w:szCs w:val="20"/>
              </w:rPr>
              <w:t xml:space="preserve"> balandžio 19 d. 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B7922" w:rsidRPr="002B7922" w:rsidRDefault="00DD06DF" w:rsidP="005B1C28">
            <w:pPr>
              <w:jc w:val="both"/>
              <w:rPr>
                <w:sz w:val="16"/>
                <w:szCs w:val="16"/>
              </w:rPr>
            </w:pPr>
            <w:hyperlink r:id="rId16" w:history="1">
              <w:r w:rsidR="002B7922" w:rsidRPr="002B7922">
                <w:rPr>
                  <w:rStyle w:val="Collegamentoipertestuale"/>
                  <w:sz w:val="16"/>
                  <w:szCs w:val="16"/>
                </w:rPr>
                <w:t>https://www.hostariacastello.com/la-biennale-venezia-2024-padiglione-lituania/amp/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B7922" w:rsidRPr="00A0165E" w:rsidRDefault="002B7922" w:rsidP="005B1C28">
            <w:pPr>
              <w:spacing w:after="60"/>
              <w:rPr>
                <w:sz w:val="16"/>
                <w:szCs w:val="16"/>
              </w:rPr>
            </w:pPr>
          </w:p>
        </w:tc>
      </w:tr>
      <w:tr w:rsidR="008E05ED" w:rsidRPr="00A0165E" w:rsidTr="005B1C28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E05ED" w:rsidRPr="00B367C4" w:rsidRDefault="004060B3" w:rsidP="005B1C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2024-04-17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E05ED" w:rsidRPr="00DC5EB5" w:rsidRDefault="004060B3" w:rsidP="004060B3">
            <w:pPr>
              <w:jc w:val="both"/>
              <w:rPr>
                <w:sz w:val="20"/>
                <w:szCs w:val="20"/>
              </w:rPr>
            </w:pPr>
            <w:r w:rsidRPr="004060B3">
              <w:rPr>
                <w:sz w:val="20"/>
                <w:szCs w:val="20"/>
              </w:rPr>
              <w:t>Balandžio 17 d. atidarytas pirmasis Veneto</w:t>
            </w:r>
            <w:r>
              <w:rPr>
                <w:sz w:val="20"/>
                <w:szCs w:val="20"/>
              </w:rPr>
              <w:t xml:space="preserve"> regiono</w:t>
            </w:r>
            <w:r w:rsidRPr="004060B3">
              <w:rPr>
                <w:sz w:val="20"/>
                <w:szCs w:val="20"/>
              </w:rPr>
              <w:t xml:space="preserve"> viešasis parkas, skirtas Lietuvai. Parko pavadinimo</w:t>
            </w:r>
            <w:r>
              <w:rPr>
                <w:sz w:val="20"/>
                <w:szCs w:val="20"/>
              </w:rPr>
              <w:t xml:space="preserve"> (Parco della Lituania)</w:t>
            </w:r>
            <w:r w:rsidRPr="004060B3">
              <w:rPr>
                <w:sz w:val="20"/>
                <w:szCs w:val="20"/>
              </w:rPr>
              <w:t xml:space="preserve"> suteikimas yra kelerius metus trukusio Veneto lietuvių bendruomenės ir Cadoneghe savivaldybės administracijos bendradarbiavimo rezultatas ir žingsnis </w:t>
            </w:r>
            <w:r>
              <w:rPr>
                <w:sz w:val="20"/>
                <w:szCs w:val="20"/>
              </w:rPr>
              <w:t>ES</w:t>
            </w:r>
            <w:r w:rsidRPr="004060B3">
              <w:rPr>
                <w:sz w:val="20"/>
                <w:szCs w:val="20"/>
              </w:rPr>
              <w:t xml:space="preserve"> tautų kultūrinės integracijos link.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E05ED" w:rsidRPr="008932C5" w:rsidRDefault="00DD06DF" w:rsidP="005B1C28">
            <w:pPr>
              <w:jc w:val="both"/>
              <w:rPr>
                <w:sz w:val="16"/>
                <w:szCs w:val="16"/>
              </w:rPr>
            </w:pPr>
            <w:hyperlink r:id="rId17" w:history="1">
              <w:r w:rsidR="004060B3" w:rsidRPr="004060B3">
                <w:rPr>
                  <w:rStyle w:val="Collegamentoipertestuale"/>
                  <w:sz w:val="16"/>
                  <w:szCs w:val="16"/>
                </w:rPr>
                <w:t>https://www.padovaoggi.it/attualita/cadoneghe-dedica-parco-alla-lituania-padova-17-aprile-2024.html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E05ED" w:rsidRPr="00A0165E" w:rsidRDefault="008E05ED" w:rsidP="005B1C28">
            <w:pPr>
              <w:spacing w:after="60"/>
              <w:rPr>
                <w:sz w:val="16"/>
                <w:szCs w:val="16"/>
              </w:rPr>
            </w:pPr>
          </w:p>
        </w:tc>
      </w:tr>
      <w:tr w:rsidR="00576236" w:rsidRPr="00D03E30" w:rsidTr="00576236">
        <w:trPr>
          <w:trHeight w:val="268"/>
        </w:trPr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76236" w:rsidRDefault="006C0AF1" w:rsidP="005B1C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</w:t>
            </w:r>
            <w:r w:rsidR="00EB23BA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76236" w:rsidRPr="006C0AF1" w:rsidRDefault="006C0AF1" w:rsidP="00F72563">
            <w:pPr>
              <w:pStyle w:val="Body"/>
              <w:pBdr>
                <w:left w:val="nil"/>
              </w:pBdr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Balandžio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14-17 d.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Veronoje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vyko</w:t>
            </w:r>
            <w:proofErr w:type="spellEnd"/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AA6C5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56-asis </w:t>
            </w:r>
            <w:proofErr w:type="spellStart"/>
            <w:r w:rsidR="00AA6C5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vyno</w:t>
            </w:r>
            <w:proofErr w:type="spellEnd"/>
            <w:r w:rsidR="00AA6C5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72563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industrijos</w:t>
            </w:r>
            <w:proofErr w:type="spellEnd"/>
            <w:r w:rsidR="00AA6C5A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dalyvių</w:t>
            </w:r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„</w:t>
            </w:r>
            <w:proofErr w:type="spellStart"/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Vinitaly</w:t>
            </w:r>
            <w:proofErr w:type="spellEnd"/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”</w:t>
            </w:r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renginys</w:t>
            </w:r>
            <w:proofErr w:type="spellEnd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kuriame</w:t>
            </w:r>
            <w:proofErr w:type="spellEnd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dalyvavo</w:t>
            </w:r>
            <w:proofErr w:type="spellEnd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97 000 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lankytojų</w:t>
            </w:r>
            <w:proofErr w:type="spellEnd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.</w:t>
            </w:r>
            <w:r w:rsidR="00EB23BA" w:rsidRP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P</w:t>
            </w:r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adaugėjo</w:t>
            </w:r>
            <w:proofErr w:type="spellEnd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tarptautinių</w:t>
            </w:r>
            <w:proofErr w:type="spellEnd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rinkos</w:t>
            </w:r>
            <w:proofErr w:type="spellEnd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dalyvių</w:t>
            </w:r>
            <w:proofErr w:type="spellEnd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iš 140 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šalių</w:t>
            </w:r>
            <w:proofErr w:type="spellEnd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- 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iki</w:t>
            </w:r>
            <w:proofErr w:type="spellEnd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30 070 (31 proc. 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visų</w:t>
            </w:r>
            <w:proofErr w:type="spellEnd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dalyvių</w:t>
            </w:r>
            <w:proofErr w:type="spellEnd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), 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įskaitant</w:t>
            </w:r>
            <w:proofErr w:type="spellEnd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1200 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geriausių</w:t>
            </w:r>
            <w:proofErr w:type="spellEnd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pirkėjų</w:t>
            </w:r>
            <w:proofErr w:type="spellEnd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(+20 proc. 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daugiau</w:t>
            </w:r>
            <w:proofErr w:type="spellEnd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nei 2023 m.) iš 65 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šalių</w:t>
            </w:r>
            <w:proofErr w:type="spellEnd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kuriuo</w:t>
            </w:r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s</w:t>
            </w:r>
            <w:proofErr w:type="spellEnd"/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atrinko</w:t>
            </w:r>
            <w:proofErr w:type="spellEnd"/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pakvietė</w:t>
            </w:r>
            <w:proofErr w:type="spellEnd"/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ir</w:t>
            </w:r>
            <w:proofErr w:type="spellEnd"/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surengė</w:t>
            </w:r>
            <w:proofErr w:type="spellEnd"/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„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VeronaFiere</w:t>
            </w:r>
            <w:proofErr w:type="spellEnd"/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”, </w:t>
            </w:r>
            <w:proofErr w:type="spellStart"/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bendradarbiaudama</w:t>
            </w:r>
            <w:proofErr w:type="spellEnd"/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su </w:t>
            </w:r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„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Ice</w:t>
            </w:r>
            <w:proofErr w:type="spellEnd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Agency</w:t>
            </w:r>
            <w:proofErr w:type="spellEnd"/>
            <w:r w:rsidR="00EB23BA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”</w:t>
            </w:r>
            <w:r w:rsidRPr="006C0AF1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76236" w:rsidRPr="00576236" w:rsidRDefault="00DD06DF" w:rsidP="005B1C28">
            <w:pPr>
              <w:jc w:val="both"/>
              <w:rPr>
                <w:sz w:val="16"/>
                <w:szCs w:val="16"/>
              </w:rPr>
            </w:pPr>
            <w:hyperlink r:id="rId18" w:history="1">
              <w:r w:rsidR="00EB23BA" w:rsidRPr="00EB23BA">
                <w:rPr>
                  <w:rStyle w:val="Collegamentoipertestuale"/>
                  <w:sz w:val="16"/>
                  <w:szCs w:val="16"/>
                </w:rPr>
                <w:t>https://finanza.repubblica.it/News/2024/04/17/vinitaly_chiusura_con_97mila_presenze_e_oltre_30_mila_operatori_esteri_+31percento_-141/</w:t>
              </w:r>
            </w:hyperlink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76236" w:rsidRPr="00D03E30" w:rsidRDefault="00576236" w:rsidP="005B1C28">
            <w:pPr>
              <w:spacing w:after="60"/>
              <w:rPr>
                <w:sz w:val="16"/>
                <w:szCs w:val="16"/>
              </w:rPr>
            </w:pPr>
          </w:p>
        </w:tc>
      </w:tr>
      <w:tr w:rsidR="008E05ED" w:rsidRPr="00D03E30" w:rsidTr="00BC7000">
        <w:trPr>
          <w:trHeight w:val="976"/>
        </w:trPr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E05ED" w:rsidRPr="00E23C82" w:rsidRDefault="00515FF2" w:rsidP="005B1C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2024-04-08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E05ED" w:rsidRPr="00FD654B" w:rsidRDefault="00515FF2" w:rsidP="00515FF2">
            <w:pPr>
              <w:pStyle w:val="Body"/>
              <w:pBdr>
                <w:left w:val="nil"/>
              </w:pBdr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Labiausiai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perkamo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Italijos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sostinės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Romos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dienraščio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straipsnis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apie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pavasarinę</w:t>
            </w:r>
            <w:proofErr w:type="spellEnd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kelionė</w:t>
            </w:r>
            <w:proofErr w:type="spellEnd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į </w:t>
            </w:r>
            <w:proofErr w:type="spellStart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Lietuvą</w:t>
            </w:r>
            <w:proofErr w:type="spellEnd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nuo</w:t>
            </w:r>
            <w:proofErr w:type="spellEnd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pirties</w:t>
            </w:r>
            <w:proofErr w:type="spellEnd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iki</w:t>
            </w:r>
            <w:proofErr w:type="spellEnd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pasivaikščiojimo</w:t>
            </w:r>
            <w:proofErr w:type="spellEnd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aukštikalnėse</w:t>
            </w:r>
            <w:proofErr w:type="spellEnd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- 7 </w:t>
            </w:r>
            <w:proofErr w:type="spellStart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priežastys</w:t>
            </w:r>
            <w:proofErr w:type="spellEnd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atrasti</w:t>
            </w:r>
            <w:proofErr w:type="spellEnd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15FF2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Lietuvą</w:t>
            </w:r>
            <w:proofErr w:type="spellEnd"/>
            <w:r w:rsidR="002D23D4">
              <w:rPr>
                <w:rFonts w:ascii="Times New Roman" w:hAnsi="Times New Roman"/>
                <w:bCs/>
                <w:color w:val="auto"/>
                <w:sz w:val="20"/>
                <w:szCs w:val="20"/>
                <w:lang w:val="it-IT"/>
              </w:rPr>
              <w:t>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4834" w:rsidRPr="00211BCE" w:rsidRDefault="00DD06DF" w:rsidP="005B1C28">
            <w:pPr>
              <w:jc w:val="both"/>
              <w:rPr>
                <w:sz w:val="16"/>
                <w:szCs w:val="16"/>
              </w:rPr>
            </w:pPr>
            <w:hyperlink r:id="rId19" w:history="1">
              <w:r w:rsidR="00515FF2" w:rsidRPr="00515FF2">
                <w:rPr>
                  <w:rStyle w:val="Collegamentoipertestuale"/>
                  <w:sz w:val="16"/>
                  <w:szCs w:val="16"/>
                </w:rPr>
                <w:t>https://www.ilmessaggero.it/schede/lituania_viaggiare_andare_cosa_vedere_dalla_sauna_passeggiata_ad_alta_quota_7_motivi_scoprirla-8039794.html</w:t>
              </w:r>
            </w:hyperlink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E05ED" w:rsidRPr="00D03E30" w:rsidRDefault="008E05ED" w:rsidP="005B1C28">
            <w:pPr>
              <w:spacing w:after="60"/>
              <w:rPr>
                <w:sz w:val="16"/>
                <w:szCs w:val="16"/>
              </w:rPr>
            </w:pPr>
          </w:p>
        </w:tc>
      </w:tr>
      <w:tr w:rsidR="00271E75" w:rsidRPr="00A0165E" w:rsidTr="00AF2ECD">
        <w:trPr>
          <w:trHeight w:val="239"/>
        </w:trPr>
        <w:tc>
          <w:tcPr>
            <w:tcW w:w="10517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1E75" w:rsidRPr="00A0165E" w:rsidRDefault="00271E75" w:rsidP="00271E75">
            <w:pPr>
              <w:spacing w:after="60"/>
              <w:rPr>
                <w:b/>
              </w:rPr>
            </w:pPr>
            <w:r w:rsidRPr="00A0165E">
              <w:rPr>
                <w:b/>
                <w:sz w:val="22"/>
                <w:szCs w:val="22"/>
              </w:rPr>
              <w:t>Bendradarbiavimui MTEPI</w:t>
            </w:r>
            <w:r w:rsidRPr="00A0165E">
              <w:rPr>
                <w:b/>
                <w:sz w:val="22"/>
                <w:szCs w:val="22"/>
                <w:vertAlign w:val="superscript"/>
              </w:rPr>
              <w:footnoteReference w:id="1"/>
            </w:r>
            <w:r w:rsidRPr="00A0165E">
              <w:rPr>
                <w:b/>
                <w:sz w:val="22"/>
                <w:szCs w:val="22"/>
              </w:rPr>
              <w:t xml:space="preserve"> srityse aktuali informacija</w:t>
            </w:r>
          </w:p>
        </w:tc>
      </w:tr>
      <w:tr w:rsidR="009E386A" w:rsidRPr="00AF3265" w:rsidTr="00A518E5">
        <w:trPr>
          <w:trHeight w:val="239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E386A" w:rsidRDefault="00B24952" w:rsidP="00271E75">
            <w:pPr>
              <w:spacing w:after="6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2024-04-23</w:t>
            </w:r>
          </w:p>
        </w:tc>
        <w:tc>
          <w:tcPr>
            <w:tcW w:w="4656" w:type="dxa"/>
            <w:tcBorders>
              <w:bottom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E386A" w:rsidRPr="003B776F" w:rsidRDefault="00495156" w:rsidP="0049515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 vyriausybė</w:t>
            </w:r>
            <w:r w:rsidR="00B24952" w:rsidRPr="00B24952">
              <w:rPr>
                <w:color w:val="000000"/>
                <w:sz w:val="20"/>
                <w:szCs w:val="20"/>
              </w:rPr>
              <w:t xml:space="preserve"> uždegė žalią šviesą naujoms </w:t>
            </w:r>
            <w:r>
              <w:rPr>
                <w:color w:val="000000"/>
                <w:sz w:val="20"/>
                <w:szCs w:val="20"/>
              </w:rPr>
              <w:t>DI taisyklėms, kuriomis</w:t>
            </w:r>
            <w:r w:rsidRPr="00495156">
              <w:rPr>
                <w:color w:val="000000"/>
                <w:sz w:val="20"/>
                <w:szCs w:val="20"/>
              </w:rPr>
              <w:t xml:space="preserve"> numatoma intervencija į penkias sritis: nacionalinė strategija, nacionalinės valdžios institucijos, reklaminiai veiksmai, autorių teisių apsauga, baudžiamosios sankcijos</w:t>
            </w:r>
            <w:r w:rsidR="00B24952" w:rsidRPr="00B2495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73" w:type="dxa"/>
            <w:tcBorders>
              <w:bottom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E386A" w:rsidRPr="006A63ED" w:rsidRDefault="00495156" w:rsidP="00271E75">
            <w:pPr>
              <w:rPr>
                <w:sz w:val="16"/>
                <w:szCs w:val="16"/>
              </w:rPr>
            </w:pPr>
            <w:hyperlink r:id="rId20" w:history="1">
              <w:r w:rsidRPr="00495156">
                <w:rPr>
                  <w:rStyle w:val="Collegamentoipertestuale"/>
                  <w:sz w:val="16"/>
                  <w:szCs w:val="16"/>
                </w:rPr>
                <w:t>https://www.ilsole24ore.com/art/in-corso-cdm-tavolo-regole-sull-intelligenza-artificiale-AFU7U1hD</w:t>
              </w:r>
            </w:hyperlink>
          </w:p>
        </w:tc>
        <w:tc>
          <w:tcPr>
            <w:tcW w:w="1870" w:type="dxa"/>
            <w:tcBorders>
              <w:bottom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E386A" w:rsidRPr="00AF3265" w:rsidRDefault="009E386A" w:rsidP="00271E75">
            <w:pPr>
              <w:spacing w:after="60"/>
              <w:rPr>
                <w:color w:val="FF0000"/>
                <w:sz w:val="16"/>
                <w:szCs w:val="16"/>
              </w:rPr>
            </w:pPr>
          </w:p>
        </w:tc>
      </w:tr>
      <w:tr w:rsidR="006A63ED" w:rsidRPr="00AF3265" w:rsidTr="00A518E5">
        <w:trPr>
          <w:trHeight w:val="239"/>
        </w:trPr>
        <w:tc>
          <w:tcPr>
            <w:tcW w:w="1418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63ED" w:rsidRDefault="00517216" w:rsidP="00271E75">
            <w:pPr>
              <w:spacing w:after="6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2024-04-18</w:t>
            </w:r>
          </w:p>
        </w:tc>
        <w:tc>
          <w:tcPr>
            <w:tcW w:w="4656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63ED" w:rsidRPr="003B776F" w:rsidRDefault="00517216" w:rsidP="005172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Kompiuterija ir neutrinų fizika. </w:t>
            </w:r>
            <w:r w:rsidRPr="005172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JAV </w:t>
            </w:r>
            <w:r w:rsidRPr="00517216">
              <w:rPr>
                <w:color w:val="000000"/>
                <w:sz w:val="20"/>
                <w:szCs w:val="20"/>
              </w:rPr>
              <w:t xml:space="preserve">Energetikos departamentas (DOE) ir </w:t>
            </w:r>
            <w:r>
              <w:rPr>
                <w:color w:val="000000"/>
                <w:sz w:val="20"/>
                <w:szCs w:val="20"/>
              </w:rPr>
              <w:t>IT U</w:t>
            </w:r>
            <w:r w:rsidRPr="00517216">
              <w:rPr>
                <w:color w:val="000000"/>
                <w:sz w:val="20"/>
                <w:szCs w:val="20"/>
              </w:rPr>
              <w:t xml:space="preserve">niversitetų ir mokslinių tyrimų ministerija (MUR) pasirašė du susitarimus dėl pažangiųjų skaičiavimo ir kvantinės informacijos technologijų, skirtų didelės energijos ir astrodalelių fizikai, ir dėl </w:t>
            </w:r>
            <w:r>
              <w:rPr>
                <w:color w:val="000000"/>
                <w:sz w:val="20"/>
                <w:szCs w:val="20"/>
              </w:rPr>
              <w:t>JAV</w:t>
            </w:r>
            <w:r w:rsidRPr="00517216">
              <w:rPr>
                <w:color w:val="000000"/>
                <w:sz w:val="20"/>
                <w:szCs w:val="20"/>
              </w:rPr>
              <w:t xml:space="preserve"> kuriamo didelio tarptautinio neutrinų fizikos mokslinio eksperimento </w:t>
            </w:r>
            <w:r>
              <w:rPr>
                <w:color w:val="000000"/>
                <w:sz w:val="20"/>
                <w:szCs w:val="20"/>
              </w:rPr>
              <w:t>„</w:t>
            </w:r>
            <w:r w:rsidRPr="00517216">
              <w:rPr>
                <w:color w:val="000000"/>
                <w:sz w:val="20"/>
                <w:szCs w:val="20"/>
              </w:rPr>
              <w:t xml:space="preserve">Deep </w:t>
            </w:r>
            <w:r>
              <w:rPr>
                <w:color w:val="000000"/>
                <w:sz w:val="20"/>
                <w:szCs w:val="20"/>
              </w:rPr>
              <w:t>Underground Neutrino Experiment“</w:t>
            </w:r>
            <w:r w:rsidRPr="00517216">
              <w:rPr>
                <w:color w:val="000000"/>
                <w:sz w:val="20"/>
                <w:szCs w:val="20"/>
              </w:rPr>
              <w:t xml:space="preserve"> (DUNE) mokslinių tyrimų programos.</w:t>
            </w:r>
          </w:p>
        </w:tc>
        <w:tc>
          <w:tcPr>
            <w:tcW w:w="2573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63ED" w:rsidRPr="00803432" w:rsidRDefault="00DD06DF" w:rsidP="00271E75">
            <w:pPr>
              <w:rPr>
                <w:sz w:val="16"/>
                <w:szCs w:val="16"/>
                <w:lang w:val="it-IT"/>
              </w:rPr>
            </w:pPr>
            <w:hyperlink r:id="rId21" w:history="1">
              <w:r w:rsidR="00517216" w:rsidRPr="00517216">
                <w:rPr>
                  <w:rStyle w:val="Collegamentoipertestuale"/>
                  <w:sz w:val="16"/>
                  <w:szCs w:val="16"/>
                  <w:lang w:val="it-IT"/>
                </w:rPr>
                <w:t>https://www.aise.it/ambiente-e-ricerca/computing-e-fisica-dei-neutrini-firmati-due-nuovi-accordi-tra-italia-e-stati-uniti/204079/1/1/13656</w:t>
              </w:r>
            </w:hyperlink>
          </w:p>
        </w:tc>
        <w:tc>
          <w:tcPr>
            <w:tcW w:w="187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63ED" w:rsidRPr="00AF3265" w:rsidRDefault="006A63ED" w:rsidP="00271E75">
            <w:pPr>
              <w:spacing w:after="60"/>
              <w:rPr>
                <w:color w:val="FF0000"/>
                <w:sz w:val="16"/>
                <w:szCs w:val="16"/>
              </w:rPr>
            </w:pPr>
          </w:p>
        </w:tc>
      </w:tr>
      <w:tr w:rsidR="00933933" w:rsidRPr="00AF3265" w:rsidTr="007B5265">
        <w:trPr>
          <w:trHeight w:val="239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3933" w:rsidRPr="0021078C" w:rsidRDefault="002030EC" w:rsidP="007B5265">
            <w:pPr>
              <w:spacing w:after="6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2024-04-09</w:t>
            </w:r>
          </w:p>
        </w:tc>
        <w:tc>
          <w:tcPr>
            <w:tcW w:w="46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3933" w:rsidRPr="002B2A91" w:rsidRDefault="002E771B" w:rsidP="004A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„Thales Alenia Space“</w:t>
            </w:r>
            <w:r w:rsidRPr="002E771B">
              <w:rPr>
                <w:sz w:val="20"/>
                <w:szCs w:val="20"/>
              </w:rPr>
              <w:t xml:space="preserve"> pasirašė 522 mln. eurų vertės sutar</w:t>
            </w:r>
            <w:r>
              <w:rPr>
                <w:sz w:val="20"/>
                <w:szCs w:val="20"/>
              </w:rPr>
              <w:t>tį su Europos kosmoso agentūra</w:t>
            </w:r>
            <w:r w:rsidR="004A7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A790B">
              <w:rPr>
                <w:sz w:val="20"/>
                <w:szCs w:val="20"/>
              </w:rPr>
              <w:t xml:space="preserve">(EKA) </w:t>
            </w:r>
            <w:r w:rsidRPr="002E771B">
              <w:rPr>
                <w:sz w:val="20"/>
                <w:szCs w:val="20"/>
              </w:rPr>
              <w:t xml:space="preserve">dėl tolesnės veiklos, kurios metu Europos </w:t>
            </w:r>
            <w:r>
              <w:rPr>
                <w:sz w:val="20"/>
                <w:szCs w:val="20"/>
              </w:rPr>
              <w:t>marsaeigis</w:t>
            </w:r>
            <w:r w:rsidRPr="002E771B">
              <w:rPr>
                <w:sz w:val="20"/>
                <w:szCs w:val="20"/>
              </w:rPr>
              <w:t xml:space="preserve"> vyks </w:t>
            </w:r>
            <w:r>
              <w:rPr>
                <w:sz w:val="20"/>
                <w:szCs w:val="20"/>
              </w:rPr>
              <w:t>į Marsą ieškoti gyvybės pėdsakų</w:t>
            </w:r>
            <w:r w:rsidRPr="002E771B">
              <w:rPr>
                <w:sz w:val="20"/>
                <w:szCs w:val="20"/>
              </w:rPr>
              <w:t xml:space="preserve">. </w:t>
            </w:r>
            <w:r w:rsidR="00713023">
              <w:rPr>
                <w:sz w:val="20"/>
                <w:szCs w:val="20"/>
              </w:rPr>
              <w:t>I</w:t>
            </w:r>
            <w:r w:rsidRPr="002E771B">
              <w:rPr>
                <w:sz w:val="20"/>
                <w:szCs w:val="20"/>
              </w:rPr>
              <w:t xml:space="preserve">šlaikant visus mokslinius tikslus, Europos misija į Marsą vėl pradedama dėl Europos kosmoso agentūros ryžto, remiant </w:t>
            </w:r>
            <w:r w:rsidR="004A790B">
              <w:rPr>
                <w:sz w:val="20"/>
                <w:szCs w:val="20"/>
              </w:rPr>
              <w:t>IT</w:t>
            </w:r>
            <w:r w:rsidRPr="002E771B">
              <w:rPr>
                <w:sz w:val="20"/>
                <w:szCs w:val="20"/>
              </w:rPr>
              <w:t xml:space="preserve"> kosmoso agentūrai, </w:t>
            </w:r>
            <w:r w:rsidR="004A790B">
              <w:rPr>
                <w:sz w:val="20"/>
                <w:szCs w:val="20"/>
              </w:rPr>
              <w:t>JK</w:t>
            </w:r>
            <w:r w:rsidRPr="002E771B">
              <w:rPr>
                <w:sz w:val="20"/>
                <w:szCs w:val="20"/>
              </w:rPr>
              <w:t xml:space="preserve"> kosmoso agentūrai ir atnaujintai partnerystei su Nasa</w:t>
            </w:r>
            <w:r>
              <w:rPr>
                <w:sz w:val="20"/>
                <w:szCs w:val="20"/>
              </w:rPr>
              <w:t xml:space="preserve">. </w:t>
            </w:r>
            <w:r w:rsidRPr="002E771B">
              <w:rPr>
                <w:sz w:val="20"/>
                <w:szCs w:val="20"/>
              </w:rPr>
              <w:t xml:space="preserve">Rusijos ir Europos misija, kurios tikslas – išlaipinti marsaeigį Marse, buvo sustabdyta dėl sankcijų, įvestų dėl </w:t>
            </w:r>
            <w:r>
              <w:rPr>
                <w:sz w:val="20"/>
                <w:szCs w:val="20"/>
              </w:rPr>
              <w:t>RU</w:t>
            </w:r>
            <w:r w:rsidRPr="002E771B">
              <w:rPr>
                <w:sz w:val="20"/>
                <w:szCs w:val="20"/>
              </w:rPr>
              <w:t xml:space="preserve"> invazijos į </w:t>
            </w:r>
            <w:r>
              <w:rPr>
                <w:sz w:val="20"/>
                <w:szCs w:val="20"/>
              </w:rPr>
              <w:t>UA.</w:t>
            </w:r>
            <w:r w:rsidRPr="002E77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3933" w:rsidRPr="00A5700D" w:rsidRDefault="00DD06DF" w:rsidP="00A5700D">
            <w:pPr>
              <w:rPr>
                <w:sz w:val="16"/>
                <w:szCs w:val="16"/>
              </w:rPr>
            </w:pPr>
            <w:hyperlink r:id="rId22" w:history="1">
              <w:r w:rsidR="002E771B" w:rsidRPr="002E771B">
                <w:rPr>
                  <w:rStyle w:val="Collegamentoipertestuale"/>
                  <w:sz w:val="16"/>
                  <w:szCs w:val="16"/>
                </w:rPr>
                <w:t>ww.ilfattoquotidiano.it/2024/04/09/obiettivo-marte-riparte-la-missione-exomars-2028-il-rover-europeo-cerchera-tracce-di-vita-con-una-trivella-sviluppata-in-italia/7506298/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3933" w:rsidRPr="00AF3265" w:rsidRDefault="00933933" w:rsidP="007B5265">
            <w:pPr>
              <w:spacing w:after="60"/>
              <w:rPr>
                <w:color w:val="FF0000"/>
                <w:sz w:val="16"/>
                <w:szCs w:val="16"/>
              </w:rPr>
            </w:pPr>
          </w:p>
        </w:tc>
      </w:tr>
      <w:tr w:rsidR="00AF3265" w:rsidRPr="00AF3265" w:rsidTr="00AF2ECD">
        <w:trPr>
          <w:trHeight w:val="239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F3265" w:rsidRPr="00206CC1" w:rsidRDefault="00BC2F76" w:rsidP="00271E75">
            <w:pPr>
              <w:spacing w:after="6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lastRenderedPageBreak/>
              <w:t>2024-04-08</w:t>
            </w:r>
          </w:p>
        </w:tc>
        <w:tc>
          <w:tcPr>
            <w:tcW w:w="46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F528E" w:rsidRPr="00206CC1" w:rsidRDefault="002C2BA1" w:rsidP="00515FF2">
            <w:pPr>
              <w:jc w:val="both"/>
              <w:rPr>
                <w:sz w:val="20"/>
                <w:szCs w:val="20"/>
              </w:rPr>
            </w:pPr>
            <w:r w:rsidRPr="002C2BA1">
              <w:rPr>
                <w:sz w:val="20"/>
                <w:szCs w:val="20"/>
              </w:rPr>
              <w:t xml:space="preserve">Bolonijos universitete </w:t>
            </w:r>
            <w:r>
              <w:rPr>
                <w:sz w:val="20"/>
                <w:szCs w:val="20"/>
              </w:rPr>
              <w:t>įkurta elektrocheminių tyrimų centro „</w:t>
            </w:r>
            <w:r w:rsidRPr="002C2BA1">
              <w:rPr>
                <w:sz w:val="20"/>
                <w:szCs w:val="20"/>
              </w:rPr>
              <w:t>E-Cells Lab</w:t>
            </w:r>
            <w:r>
              <w:rPr>
                <w:sz w:val="20"/>
                <w:szCs w:val="20"/>
              </w:rPr>
              <w:t>“ laboratorija</w:t>
            </w:r>
            <w:r w:rsidR="00515FF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</w:t>
            </w:r>
            <w:r w:rsidRPr="002C2BA1">
              <w:rPr>
                <w:sz w:val="20"/>
                <w:szCs w:val="20"/>
              </w:rPr>
              <w:t xml:space="preserve">ikslas - gilinti žinias apie medžiagas ir ličio elementų chemines bei fizikines savybes. </w:t>
            </w:r>
            <w:r w:rsidR="00BC2F76" w:rsidRPr="00BC2F76">
              <w:rPr>
                <w:sz w:val="20"/>
                <w:szCs w:val="20"/>
              </w:rPr>
              <w:t>Laboratorija yra universiteto, Italijos automobilių gamintojo</w:t>
            </w:r>
            <w:r w:rsidR="00BC2F76">
              <w:rPr>
                <w:sz w:val="20"/>
                <w:szCs w:val="20"/>
              </w:rPr>
              <w:t xml:space="preserve"> </w:t>
            </w:r>
            <w:r w:rsidR="00BC2F76" w:rsidRPr="00BC2F76">
              <w:rPr>
                <w:i/>
                <w:sz w:val="20"/>
                <w:szCs w:val="20"/>
              </w:rPr>
              <w:t>Ferrari</w:t>
            </w:r>
            <w:r w:rsidR="00BC2F76">
              <w:rPr>
                <w:sz w:val="20"/>
                <w:szCs w:val="20"/>
              </w:rPr>
              <w:t xml:space="preserve"> ir </w:t>
            </w:r>
            <w:r>
              <w:rPr>
                <w:i/>
                <w:sz w:val="20"/>
                <w:szCs w:val="20"/>
              </w:rPr>
              <w:t xml:space="preserve">elektronikos bendrovės </w:t>
            </w:r>
            <w:r w:rsidRPr="00BC2F76">
              <w:rPr>
                <w:i/>
                <w:sz w:val="20"/>
                <w:szCs w:val="20"/>
              </w:rPr>
              <w:t>NXP</w:t>
            </w:r>
            <w:r w:rsidR="00BC2F76">
              <w:rPr>
                <w:sz w:val="20"/>
                <w:szCs w:val="20"/>
              </w:rPr>
              <w:t xml:space="preserve">, </w:t>
            </w:r>
            <w:r w:rsidR="00BC2F76" w:rsidRPr="00BC2F76">
              <w:rPr>
                <w:sz w:val="20"/>
                <w:szCs w:val="20"/>
              </w:rPr>
              <w:t>pasirašiusių penkerių metų bendros mokslinių tyrimų veiklos sutartį, bendradarbiavimo rezultatas.</w:t>
            </w:r>
          </w:p>
        </w:tc>
        <w:tc>
          <w:tcPr>
            <w:tcW w:w="257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B2A91" w:rsidRPr="00AF3265" w:rsidRDefault="00DD06DF" w:rsidP="00271E75">
            <w:pPr>
              <w:rPr>
                <w:color w:val="FF0000"/>
                <w:sz w:val="16"/>
                <w:szCs w:val="16"/>
              </w:rPr>
            </w:pPr>
            <w:hyperlink r:id="rId23" w:history="1">
              <w:r w:rsidR="00BC2F76" w:rsidRPr="00BC2F76">
                <w:rPr>
                  <w:rStyle w:val="Collegamentoipertestuale"/>
                  <w:sz w:val="16"/>
                  <w:szCs w:val="16"/>
                </w:rPr>
                <w:t>https://www.ansa.it/sito/notizie/economia/2024/04/08/nasce-e-cells-lab-la-ferrari-studiera-le-celle-al-litio_ca7653ae-ab1c-44e9-b51a-0578d6887044.html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F3265" w:rsidRPr="00AF3265" w:rsidRDefault="00AF3265" w:rsidP="00271E75">
            <w:pPr>
              <w:spacing w:after="60"/>
              <w:rPr>
                <w:color w:val="FF0000"/>
                <w:sz w:val="16"/>
                <w:szCs w:val="16"/>
              </w:rPr>
            </w:pPr>
          </w:p>
        </w:tc>
      </w:tr>
      <w:tr w:rsidR="00271E75" w:rsidRPr="00A0165E" w:rsidTr="00AF2ECD">
        <w:trPr>
          <w:trHeight w:val="221"/>
        </w:trPr>
        <w:tc>
          <w:tcPr>
            <w:tcW w:w="10517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1E75" w:rsidRPr="00A0165E" w:rsidRDefault="00271E75" w:rsidP="00271E75">
            <w:pPr>
              <w:spacing w:after="60"/>
              <w:rPr>
                <w:b/>
              </w:rPr>
            </w:pPr>
            <w:r w:rsidRPr="00A0165E">
              <w:rPr>
                <w:b/>
                <w:sz w:val="22"/>
                <w:szCs w:val="22"/>
              </w:rPr>
              <w:t>Finansų sektoriui aktuali informacija</w:t>
            </w:r>
          </w:p>
        </w:tc>
      </w:tr>
      <w:tr w:rsidR="002556B8" w:rsidRPr="00A0165E" w:rsidTr="00CE6C82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56B8" w:rsidRDefault="007D3908" w:rsidP="00DA5F7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2024-04-30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56B8" w:rsidRDefault="00983FFB" w:rsidP="002C3525">
            <w:pPr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</w:pP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Vyriausybė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priėmė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naujas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darbo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dek</w:t>
            </w:r>
            <w:r w:rsidR="002C3525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reto</w:t>
            </w:r>
            <w:proofErr w:type="spellEnd"/>
            <w:r w:rsidR="002C3525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="002C3525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priemones</w:t>
            </w:r>
            <w:proofErr w:type="spellEnd"/>
            <w:r w:rsidR="002C3525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: </w:t>
            </w:r>
            <w:proofErr w:type="spellStart"/>
            <w:r w:rsidR="002C3525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numatyta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100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eurų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premiją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dar</w:t>
            </w:r>
            <w:r w:rsidR="002C3525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buotojams</w:t>
            </w:r>
            <w:proofErr w:type="spellEnd"/>
            <w:r w:rsidR="002C3525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su </w:t>
            </w:r>
            <w:proofErr w:type="spellStart"/>
            <w:r w:rsidR="002C3525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mažu</w:t>
            </w:r>
            <w:proofErr w:type="spellEnd"/>
            <w:r w:rsidR="002C3525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="002C3525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pajamų</w:t>
            </w:r>
            <w:proofErr w:type="spellEnd"/>
            <w:r w:rsidR="002C3525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="002C3525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lygiu</w:t>
            </w:r>
            <w:proofErr w:type="spellEnd"/>
            <w:r w:rsidR="002C3525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;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patvirtintos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iniciatyvos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,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skirtos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skatinti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darbo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vietų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kūrimą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jauniems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,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moterims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ir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kitiems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socialiai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pažeidžiamiems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darbuotojams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,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taip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siekiant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prisidėti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prie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šalies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ekonominės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plėtros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ir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socialinės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sanglaudos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.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Taip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pat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sprendimai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dėl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greitesnio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ES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fondų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panaudojimo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šalies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užimtumo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ir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verslo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paramos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politikoms</w:t>
            </w:r>
            <w:proofErr w:type="spellEnd"/>
            <w:r w:rsidRPr="00983FFB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.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56B8" w:rsidRPr="007D3908" w:rsidRDefault="00DD06DF" w:rsidP="00DA5F79">
            <w:pPr>
              <w:jc w:val="both"/>
              <w:rPr>
                <w:sz w:val="16"/>
                <w:szCs w:val="16"/>
              </w:rPr>
            </w:pPr>
            <w:hyperlink r:id="rId24" w:history="1">
              <w:r w:rsidR="007D3908" w:rsidRPr="007D3908">
                <w:rPr>
                  <w:rStyle w:val="Collegamentoipertestuale"/>
                  <w:sz w:val="16"/>
                  <w:szCs w:val="16"/>
                </w:rPr>
                <w:t>https://www.corriere.it/economia/lavoro/cards/bonus-100-euro-e-sgravi-per-chi-assume-donne-e-giovani-il-cdm-approva-le-nuove-misure-sul-lavoro/gli-sgravi-per-le-assunzioni-di-donne-e-giovani.shtml</w:t>
              </w:r>
            </w:hyperlink>
          </w:p>
        </w:tc>
        <w:tc>
          <w:tcPr>
            <w:tcW w:w="187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56B8" w:rsidRPr="00A0165E" w:rsidRDefault="002556B8" w:rsidP="00DA5F79">
            <w:pPr>
              <w:spacing w:after="60"/>
              <w:rPr>
                <w:sz w:val="16"/>
                <w:szCs w:val="16"/>
              </w:rPr>
            </w:pPr>
          </w:p>
        </w:tc>
      </w:tr>
      <w:tr w:rsidR="00C546FA" w:rsidRPr="00A0165E" w:rsidTr="00DA5F79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546FA" w:rsidRPr="001D4E3A" w:rsidRDefault="004060B3" w:rsidP="00DA5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2024-04-19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546FA" w:rsidRPr="001D4E3A" w:rsidRDefault="00E211C2" w:rsidP="00E211C2">
            <w:pPr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</w:pPr>
            <w:r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 xml:space="preserve">Reitingų agentūra </w:t>
            </w:r>
            <w:r w:rsidR="004060B3">
              <w:rPr>
                <w:rFonts w:eastAsia="Calibri"/>
                <w:color w:val="000000"/>
                <w:sz w:val="20"/>
                <w:szCs w:val="20"/>
                <w:u w:color="000000"/>
                <w:lang w:eastAsia="lt-LT"/>
              </w:rPr>
              <w:t>„</w:t>
            </w:r>
            <w:proofErr w:type="spellStart"/>
            <w:r w:rsidR="004060B3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S&amp;P</w:t>
            </w:r>
            <w:proofErr w:type="spellEnd"/>
            <w:r w:rsidR="004060B3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”</w:t>
            </w:r>
            <w:r w:rsidR="004060B3" w:rsidRPr="004060B3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E211C2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patvirtino</w:t>
            </w:r>
            <w:proofErr w:type="spellEnd"/>
            <w:r w:rsidRPr="00E211C2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Italijos</w:t>
            </w:r>
            <w:proofErr w:type="spellEnd"/>
            <w:r w:rsidRPr="00E211C2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E211C2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skolinimosi</w:t>
            </w:r>
            <w:proofErr w:type="spellEnd"/>
            <w:r w:rsidRPr="00E211C2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E211C2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reitingą</w:t>
            </w:r>
            <w:proofErr w:type="spellEnd"/>
            <w:r w:rsidRPr="00E211C2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BBB su </w:t>
            </w:r>
            <w:proofErr w:type="spellStart"/>
            <w:r w:rsidRPr="00E211C2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stabilia</w:t>
            </w:r>
            <w:proofErr w:type="spellEnd"/>
            <w:r w:rsidRPr="00E211C2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 xml:space="preserve"> </w:t>
            </w:r>
            <w:proofErr w:type="spellStart"/>
            <w:r w:rsidRPr="00E211C2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perspektyva</w:t>
            </w:r>
            <w:proofErr w:type="spellEnd"/>
            <w:r w:rsidR="00AE6D03">
              <w:rPr>
                <w:rFonts w:eastAsia="Calibri"/>
                <w:color w:val="000000"/>
                <w:sz w:val="20"/>
                <w:szCs w:val="20"/>
                <w:u w:color="000000"/>
                <w:lang w:val="it-IT" w:eastAsia="lt-LT"/>
              </w:rPr>
              <w:t>.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546FA" w:rsidRPr="001D4E3A" w:rsidRDefault="00DD06DF" w:rsidP="00DA5F79">
            <w:pPr>
              <w:jc w:val="both"/>
              <w:rPr>
                <w:sz w:val="16"/>
                <w:szCs w:val="16"/>
              </w:rPr>
            </w:pPr>
            <w:hyperlink r:id="rId25" w:history="1">
              <w:r w:rsidR="004060B3" w:rsidRPr="004060B3">
                <w:rPr>
                  <w:rStyle w:val="Collegamentoipertestuale"/>
                  <w:sz w:val="16"/>
                  <w:szCs w:val="16"/>
                </w:rPr>
                <w:t>https://www.ilsole24ore.com/art/sp-conferma-rating-dell-italia-bbb-outlook-stabile-AFP6DYeD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546FA" w:rsidRPr="00A0165E" w:rsidRDefault="00C546FA" w:rsidP="00DA5F79">
            <w:pPr>
              <w:spacing w:after="60"/>
              <w:rPr>
                <w:sz w:val="16"/>
                <w:szCs w:val="16"/>
              </w:rPr>
            </w:pPr>
          </w:p>
        </w:tc>
      </w:tr>
      <w:tr w:rsidR="00BB047C" w:rsidRPr="00A0165E" w:rsidTr="00DA5F79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047C" w:rsidRPr="00C64B69" w:rsidRDefault="00D50BCB" w:rsidP="00DA5F7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</w:t>
            </w:r>
            <w:r w:rsidR="004A790B">
              <w:rPr>
                <w:sz w:val="20"/>
                <w:szCs w:val="20"/>
                <w:lang w:val="it-IT"/>
              </w:rPr>
              <w:t>-</w:t>
            </w:r>
            <w:r>
              <w:rPr>
                <w:sz w:val="20"/>
                <w:szCs w:val="20"/>
                <w:lang w:val="it-IT"/>
              </w:rPr>
              <w:t>04-16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E4566" w:rsidRPr="00C64B69" w:rsidRDefault="00D50BCB" w:rsidP="00C838C7">
            <w:pPr>
              <w:pStyle w:val="Body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BCB">
              <w:rPr>
                <w:rFonts w:ascii="Times New Roman" w:hAnsi="Times New Roman"/>
                <w:sz w:val="20"/>
                <w:szCs w:val="20"/>
              </w:rPr>
              <w:t>Tarptautinis valiutos fondas</w:t>
            </w:r>
            <w:r w:rsidR="00C838C7">
              <w:rPr>
                <w:rFonts w:ascii="Times New Roman" w:hAnsi="Times New Roman"/>
                <w:sz w:val="20"/>
                <w:szCs w:val="20"/>
              </w:rPr>
              <w:t xml:space="preserve"> (IMF)</w:t>
            </w:r>
            <w:r w:rsidRPr="00D50BCB">
              <w:rPr>
                <w:rFonts w:ascii="Times New Roman" w:hAnsi="Times New Roman"/>
                <w:sz w:val="20"/>
                <w:szCs w:val="20"/>
              </w:rPr>
              <w:t xml:space="preserve"> prognozuoja, kad</w:t>
            </w:r>
            <w:r w:rsidR="00C838C7">
              <w:rPr>
                <w:rFonts w:ascii="Times New Roman" w:hAnsi="Times New Roman"/>
                <w:sz w:val="20"/>
                <w:szCs w:val="20"/>
              </w:rPr>
              <w:t xml:space="preserve"> 2024 m. Italijos BVP augs 0,7 proc.</w:t>
            </w:r>
            <w:r w:rsidRPr="00D50BCB">
              <w:rPr>
                <w:rFonts w:ascii="Times New Roman" w:hAnsi="Times New Roman"/>
                <w:sz w:val="20"/>
                <w:szCs w:val="20"/>
              </w:rPr>
              <w:t xml:space="preserve">, tačiau kitais metais ekonomika augs </w:t>
            </w:r>
            <w:r w:rsidR="00C838C7">
              <w:rPr>
                <w:rFonts w:ascii="Times New Roman" w:hAnsi="Times New Roman"/>
                <w:sz w:val="20"/>
                <w:szCs w:val="20"/>
              </w:rPr>
              <w:t>daug lėčiau nei tikėtasi - 0,7 proc., palyginti su ankstesniu 1,1 proc.</w:t>
            </w:r>
            <w:r w:rsidRPr="00D50BCB">
              <w:rPr>
                <w:rFonts w:ascii="Times New Roman" w:hAnsi="Times New Roman"/>
                <w:sz w:val="20"/>
                <w:szCs w:val="20"/>
              </w:rPr>
              <w:t xml:space="preserve"> įverčiu. </w:t>
            </w:r>
            <w:r w:rsidR="00C838C7">
              <w:rPr>
                <w:rFonts w:ascii="Times New Roman" w:hAnsi="Times New Roman"/>
                <w:sz w:val="20"/>
                <w:szCs w:val="20"/>
              </w:rPr>
              <w:t>IMF</w:t>
            </w:r>
            <w:r w:rsidRPr="00D50BCB">
              <w:rPr>
                <w:rFonts w:ascii="Times New Roman" w:hAnsi="Times New Roman"/>
                <w:sz w:val="20"/>
                <w:szCs w:val="20"/>
              </w:rPr>
              <w:t xml:space="preserve"> vertinimais, </w:t>
            </w:r>
            <w:r w:rsidR="00C838C7">
              <w:rPr>
                <w:rFonts w:ascii="Times New Roman" w:hAnsi="Times New Roman"/>
                <w:sz w:val="20"/>
                <w:szCs w:val="20"/>
              </w:rPr>
              <w:t>IT ekonomika augs mažiausiai, palyginus su kitomis G7 šalimis. Prognozuojama, kad 2025 m. Vokietijos ekonomika augs 1,3 proc., Prancūzijos - 1,4 proc., Japonijos - 1 proc., Jungtinės Karalystės - 1,5 proc, Kanados - 2,3 proc., o JAV - 1,9 proc</w:t>
            </w:r>
            <w:r w:rsidRPr="00D50B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047C" w:rsidRPr="001C5723" w:rsidRDefault="00DD06DF" w:rsidP="00DA5F79">
            <w:pPr>
              <w:jc w:val="both"/>
              <w:rPr>
                <w:sz w:val="16"/>
                <w:szCs w:val="16"/>
              </w:rPr>
            </w:pPr>
            <w:hyperlink r:id="rId26" w:history="1">
              <w:r w:rsidR="00D50BCB" w:rsidRPr="00D50BCB">
                <w:rPr>
                  <w:rStyle w:val="Collegamentoipertestuale"/>
                  <w:sz w:val="16"/>
                  <w:szCs w:val="16"/>
                </w:rPr>
                <w:t>https://www.corriere.it/economia/finanza/24_aprile_16/fmi-conferma-le-stime-di-crescita-dell-italia-per-il-2024-e-taglia-quelle-per-il-2025-f4723d34-9aec-477c-9372-1610b9ac4xlk.shtml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047C" w:rsidRPr="00A0165E" w:rsidRDefault="00BB047C" w:rsidP="00DA5F79">
            <w:pPr>
              <w:spacing w:after="60"/>
              <w:rPr>
                <w:sz w:val="16"/>
                <w:szCs w:val="16"/>
              </w:rPr>
            </w:pPr>
          </w:p>
        </w:tc>
      </w:tr>
      <w:tr w:rsidR="00635402" w:rsidRPr="00A0165E" w:rsidTr="00DA5F79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5402" w:rsidRPr="00635402" w:rsidRDefault="00992F65" w:rsidP="00DA5F7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2024-04-09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5402" w:rsidRPr="0074251B" w:rsidRDefault="0074251B" w:rsidP="001233CF">
            <w:pPr>
              <w:jc w:val="both"/>
              <w:rPr>
                <w:sz w:val="20"/>
                <w:szCs w:val="20"/>
              </w:rPr>
            </w:pPr>
            <w:r w:rsidRPr="0074251B">
              <w:rPr>
                <w:sz w:val="20"/>
                <w:szCs w:val="20"/>
                <w:lang w:val="it-IT"/>
              </w:rPr>
              <w:t xml:space="preserve">IT </w:t>
            </w:r>
            <w:proofErr w:type="spellStart"/>
            <w:r w:rsidR="001233CF">
              <w:rPr>
                <w:sz w:val="20"/>
                <w:szCs w:val="20"/>
                <w:lang w:val="it-IT"/>
              </w:rPr>
              <w:t>Parlamentas</w:t>
            </w:r>
            <w:proofErr w:type="spellEnd"/>
            <w:r w:rsidRPr="0074251B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4251B">
              <w:rPr>
                <w:sz w:val="20"/>
                <w:szCs w:val="20"/>
                <w:lang w:val="it-IT"/>
              </w:rPr>
              <w:t>patvirtino</w:t>
            </w:r>
            <w:proofErr w:type="spellEnd"/>
            <w:r w:rsidRPr="0074251B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4251B">
              <w:rPr>
                <w:sz w:val="20"/>
                <w:szCs w:val="20"/>
                <w:lang w:val="it-IT"/>
              </w:rPr>
              <w:t>ekonominį</w:t>
            </w:r>
            <w:proofErr w:type="spellEnd"/>
            <w:r w:rsidRPr="0074251B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4251B">
              <w:rPr>
                <w:sz w:val="20"/>
                <w:szCs w:val="20"/>
                <w:lang w:val="it-IT"/>
              </w:rPr>
              <w:t>ir</w:t>
            </w:r>
            <w:proofErr w:type="spellEnd"/>
            <w:r w:rsidRPr="0074251B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4251B">
              <w:rPr>
                <w:sz w:val="20"/>
                <w:szCs w:val="20"/>
                <w:lang w:val="it-IT"/>
              </w:rPr>
              <w:t>finansinį</w:t>
            </w:r>
            <w:proofErr w:type="spellEnd"/>
            <w:r w:rsidRPr="0074251B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4251B">
              <w:rPr>
                <w:sz w:val="20"/>
                <w:szCs w:val="20"/>
                <w:lang w:val="it-IT"/>
              </w:rPr>
              <w:t>dokumentą</w:t>
            </w:r>
            <w:proofErr w:type="spellEnd"/>
            <w:r w:rsidRPr="0074251B">
              <w:rPr>
                <w:sz w:val="20"/>
                <w:szCs w:val="20"/>
                <w:lang w:val="it-IT"/>
              </w:rPr>
              <w:t>. 2024 m.</w:t>
            </w:r>
            <w:r w:rsidR="001233CF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1233CF">
              <w:rPr>
                <w:sz w:val="20"/>
                <w:szCs w:val="20"/>
                <w:lang w:val="it-IT"/>
              </w:rPr>
              <w:t>numatomas</w:t>
            </w:r>
            <w:proofErr w:type="spellEnd"/>
            <w:r w:rsidRPr="0074251B">
              <w:rPr>
                <w:sz w:val="20"/>
                <w:szCs w:val="20"/>
                <w:lang w:val="it-IT"/>
              </w:rPr>
              <w:t xml:space="preserve"> BVP +1</w:t>
            </w:r>
            <w:r>
              <w:rPr>
                <w:sz w:val="20"/>
                <w:szCs w:val="20"/>
                <w:lang w:val="it-IT"/>
              </w:rPr>
              <w:t xml:space="preserve"> proc.</w:t>
            </w:r>
            <w:r w:rsidR="00AF4DE6">
              <w:t xml:space="preserve">, </w:t>
            </w:r>
            <w:proofErr w:type="spellStart"/>
            <w:r w:rsidR="00AF4DE6" w:rsidRPr="00AF4DE6">
              <w:rPr>
                <w:sz w:val="20"/>
                <w:szCs w:val="20"/>
                <w:lang w:val="it-IT"/>
              </w:rPr>
              <w:t>de</w:t>
            </w:r>
            <w:r w:rsidR="00AF4DE6">
              <w:rPr>
                <w:sz w:val="20"/>
                <w:szCs w:val="20"/>
                <w:lang w:val="it-IT"/>
              </w:rPr>
              <w:t>ficito</w:t>
            </w:r>
            <w:proofErr w:type="spellEnd"/>
            <w:r w:rsidR="00AF4DE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AF4DE6">
              <w:rPr>
                <w:sz w:val="20"/>
                <w:szCs w:val="20"/>
                <w:lang w:val="it-IT"/>
              </w:rPr>
              <w:t>ir</w:t>
            </w:r>
            <w:proofErr w:type="spellEnd"/>
            <w:r w:rsidR="00AF4DE6">
              <w:rPr>
                <w:sz w:val="20"/>
                <w:szCs w:val="20"/>
                <w:lang w:val="it-IT"/>
              </w:rPr>
              <w:t xml:space="preserve"> BVP </w:t>
            </w:r>
            <w:proofErr w:type="spellStart"/>
            <w:r w:rsidR="00AF4DE6">
              <w:rPr>
                <w:sz w:val="20"/>
                <w:szCs w:val="20"/>
                <w:lang w:val="it-IT"/>
              </w:rPr>
              <w:t>santykis</w:t>
            </w:r>
            <w:proofErr w:type="spellEnd"/>
            <w:r w:rsidR="00AF4DE6">
              <w:rPr>
                <w:sz w:val="20"/>
                <w:szCs w:val="20"/>
                <w:lang w:val="it-IT"/>
              </w:rPr>
              <w:t xml:space="preserve"> bus 4,3 proc.</w:t>
            </w:r>
            <w:r w:rsidR="00AF4DE6" w:rsidRPr="00AF4DE6">
              <w:rPr>
                <w:sz w:val="20"/>
                <w:szCs w:val="20"/>
                <w:lang w:val="it-IT"/>
              </w:rPr>
              <w:t xml:space="preserve">, o </w:t>
            </w:r>
            <w:proofErr w:type="spellStart"/>
            <w:r w:rsidR="00AF4DE6" w:rsidRPr="00AF4DE6">
              <w:rPr>
                <w:sz w:val="20"/>
                <w:szCs w:val="20"/>
                <w:lang w:val="it-IT"/>
              </w:rPr>
              <w:t>skolos</w:t>
            </w:r>
            <w:proofErr w:type="spellEnd"/>
            <w:r w:rsidR="00AF4DE6" w:rsidRPr="00AF4DE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AF4DE6" w:rsidRPr="00AF4DE6">
              <w:rPr>
                <w:sz w:val="20"/>
                <w:szCs w:val="20"/>
                <w:lang w:val="it-IT"/>
              </w:rPr>
              <w:t>ir</w:t>
            </w:r>
            <w:proofErr w:type="spellEnd"/>
            <w:r w:rsidR="00AF4DE6" w:rsidRPr="00AF4DE6">
              <w:rPr>
                <w:sz w:val="20"/>
                <w:szCs w:val="20"/>
                <w:lang w:val="it-IT"/>
              </w:rPr>
              <w:t xml:space="preserve"> BVP </w:t>
            </w:r>
            <w:r w:rsidR="00AF4DE6">
              <w:rPr>
                <w:sz w:val="20"/>
                <w:szCs w:val="20"/>
                <w:lang w:val="it-IT"/>
              </w:rPr>
              <w:t xml:space="preserve">- 137,8 %proc. 2025 m. BVP </w:t>
            </w:r>
            <w:proofErr w:type="spellStart"/>
            <w:r w:rsidR="00AF4DE6">
              <w:rPr>
                <w:sz w:val="20"/>
                <w:szCs w:val="20"/>
                <w:lang w:val="it-IT"/>
              </w:rPr>
              <w:t>padidės</w:t>
            </w:r>
            <w:proofErr w:type="spellEnd"/>
            <w:r w:rsidR="00AF4DE6">
              <w:rPr>
                <w:sz w:val="20"/>
                <w:szCs w:val="20"/>
                <w:lang w:val="it-IT"/>
              </w:rPr>
              <w:t xml:space="preserve"> 1,2 proc., 2026 m. - 1,1 proc., 2027 m. - 0,9 proc.</w:t>
            </w:r>
            <w:r w:rsidR="00AF4DE6" w:rsidRPr="00AF4DE6">
              <w:rPr>
                <w:sz w:val="20"/>
                <w:szCs w:val="20"/>
                <w:lang w:val="it-IT"/>
              </w:rPr>
              <w:t xml:space="preserve">; </w:t>
            </w:r>
            <w:proofErr w:type="spellStart"/>
            <w:r w:rsidR="00AF4DE6" w:rsidRPr="00AF4DE6">
              <w:rPr>
                <w:sz w:val="20"/>
                <w:szCs w:val="20"/>
                <w:lang w:val="it-IT"/>
              </w:rPr>
              <w:t>deficito</w:t>
            </w:r>
            <w:proofErr w:type="spellEnd"/>
            <w:r w:rsidR="00AF4DE6" w:rsidRPr="00AF4DE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AF4DE6" w:rsidRPr="00AF4DE6">
              <w:rPr>
                <w:sz w:val="20"/>
                <w:szCs w:val="20"/>
                <w:lang w:val="it-IT"/>
              </w:rPr>
              <w:t>ir</w:t>
            </w:r>
            <w:proofErr w:type="spellEnd"/>
            <w:r w:rsidR="00AF4DE6" w:rsidRPr="00AF4DE6">
              <w:rPr>
                <w:sz w:val="20"/>
                <w:szCs w:val="20"/>
                <w:lang w:val="it-IT"/>
              </w:rPr>
              <w:t xml:space="preserve"> BVP </w:t>
            </w:r>
            <w:proofErr w:type="spellStart"/>
            <w:r w:rsidR="00AF4DE6" w:rsidRPr="00AF4DE6">
              <w:rPr>
                <w:sz w:val="20"/>
                <w:szCs w:val="20"/>
                <w:lang w:val="it-IT"/>
              </w:rPr>
              <w:t>santykis</w:t>
            </w:r>
            <w:proofErr w:type="spellEnd"/>
            <w:r w:rsidR="00AF4DE6" w:rsidRPr="00AF4DE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AF4DE6" w:rsidRPr="00AF4DE6">
              <w:rPr>
                <w:sz w:val="20"/>
                <w:szCs w:val="20"/>
                <w:lang w:val="it-IT"/>
              </w:rPr>
              <w:t>turės</w:t>
            </w:r>
            <w:proofErr w:type="spellEnd"/>
            <w:r w:rsidR="00AF4DE6" w:rsidRPr="00AF4DE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AF4DE6" w:rsidRPr="00AF4DE6">
              <w:rPr>
                <w:sz w:val="20"/>
                <w:szCs w:val="20"/>
                <w:lang w:val="it-IT"/>
              </w:rPr>
              <w:t>mažėjimo</w:t>
            </w:r>
            <w:proofErr w:type="spellEnd"/>
            <w:r w:rsidR="00AF4DE6" w:rsidRPr="00AF4DE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AF4DE6" w:rsidRPr="00AF4DE6">
              <w:rPr>
                <w:sz w:val="20"/>
                <w:szCs w:val="20"/>
                <w:lang w:val="it-IT"/>
              </w:rPr>
              <w:t>tendenciją</w:t>
            </w:r>
            <w:proofErr w:type="spellEnd"/>
            <w:r w:rsidR="00AF4DE6" w:rsidRPr="00AF4DE6">
              <w:rPr>
                <w:sz w:val="20"/>
                <w:szCs w:val="20"/>
                <w:lang w:val="it-IT"/>
              </w:rPr>
              <w:t xml:space="preserve">: 2025 m. - 3,7 </w:t>
            </w:r>
            <w:r w:rsidR="00AF4DE6">
              <w:rPr>
                <w:sz w:val="20"/>
                <w:szCs w:val="20"/>
                <w:lang w:val="it-IT"/>
              </w:rPr>
              <w:t>proc., 2026 m. - 3 proc., 2027 m. - 2,2 proc.</w:t>
            </w:r>
            <w:r w:rsidR="00AF4DE6" w:rsidRPr="00AF4DE6">
              <w:rPr>
                <w:sz w:val="20"/>
                <w:szCs w:val="20"/>
                <w:lang w:val="it-IT"/>
              </w:rPr>
              <w:t xml:space="preserve">; </w:t>
            </w:r>
            <w:proofErr w:type="spellStart"/>
            <w:r w:rsidR="00AF4DE6" w:rsidRPr="00AF4DE6">
              <w:rPr>
                <w:sz w:val="20"/>
                <w:szCs w:val="20"/>
                <w:lang w:val="it-IT"/>
              </w:rPr>
              <w:t>galiausiai</w:t>
            </w:r>
            <w:proofErr w:type="spellEnd"/>
            <w:r w:rsidR="00AF4DE6" w:rsidRPr="00AF4DE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AF4DE6" w:rsidRPr="00AF4DE6">
              <w:rPr>
                <w:sz w:val="20"/>
                <w:szCs w:val="20"/>
                <w:lang w:val="it-IT"/>
              </w:rPr>
              <w:t>skolos</w:t>
            </w:r>
            <w:proofErr w:type="spellEnd"/>
            <w:r w:rsidR="00AF4DE6" w:rsidRPr="00AF4DE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AF4DE6" w:rsidRPr="00AF4DE6">
              <w:rPr>
                <w:sz w:val="20"/>
                <w:szCs w:val="20"/>
                <w:lang w:val="it-IT"/>
              </w:rPr>
              <w:t>ir</w:t>
            </w:r>
            <w:proofErr w:type="spellEnd"/>
            <w:r w:rsidR="00AF4DE6" w:rsidRPr="00AF4DE6">
              <w:rPr>
                <w:sz w:val="20"/>
                <w:szCs w:val="20"/>
                <w:lang w:val="it-IT"/>
              </w:rPr>
              <w:t xml:space="preserve"> BVP </w:t>
            </w:r>
            <w:proofErr w:type="spellStart"/>
            <w:r w:rsidR="00AF4DE6" w:rsidRPr="00AF4DE6">
              <w:rPr>
                <w:sz w:val="20"/>
                <w:szCs w:val="20"/>
                <w:lang w:val="it-IT"/>
              </w:rPr>
              <w:t>santykis</w:t>
            </w:r>
            <w:proofErr w:type="spellEnd"/>
            <w:r w:rsidR="00AF4DE6" w:rsidRPr="00AF4DE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AF4DE6" w:rsidRPr="00AF4DE6">
              <w:rPr>
                <w:sz w:val="20"/>
                <w:szCs w:val="20"/>
                <w:lang w:val="it-IT"/>
              </w:rPr>
              <w:t>turės</w:t>
            </w:r>
            <w:proofErr w:type="spellEnd"/>
            <w:r w:rsidR="00AF4DE6" w:rsidRPr="00AF4DE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AF4DE6" w:rsidRPr="00AF4DE6">
              <w:rPr>
                <w:sz w:val="20"/>
                <w:szCs w:val="20"/>
                <w:lang w:val="it-IT"/>
              </w:rPr>
              <w:t>didėji</w:t>
            </w:r>
            <w:r w:rsidR="00AF4DE6">
              <w:rPr>
                <w:sz w:val="20"/>
                <w:szCs w:val="20"/>
                <w:lang w:val="it-IT"/>
              </w:rPr>
              <w:t>mo</w:t>
            </w:r>
            <w:proofErr w:type="spellEnd"/>
            <w:r w:rsidR="00AF4DE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AF4DE6">
              <w:rPr>
                <w:sz w:val="20"/>
                <w:szCs w:val="20"/>
                <w:lang w:val="it-IT"/>
              </w:rPr>
              <w:t>tendenciją</w:t>
            </w:r>
            <w:proofErr w:type="spellEnd"/>
            <w:r w:rsidR="00AF4DE6">
              <w:rPr>
                <w:sz w:val="20"/>
                <w:szCs w:val="20"/>
                <w:lang w:val="it-IT"/>
              </w:rPr>
              <w:t>: 2025 m. - 138,9 proc., 2026 m. - 139,8 proc., 2027 m. - 139,6 proc.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5402" w:rsidRPr="00136690" w:rsidRDefault="00DD06DF" w:rsidP="00DA5F79">
            <w:pPr>
              <w:jc w:val="both"/>
              <w:rPr>
                <w:sz w:val="16"/>
                <w:szCs w:val="16"/>
              </w:rPr>
            </w:pPr>
            <w:hyperlink r:id="rId27" w:history="1">
              <w:r w:rsidR="0074251B" w:rsidRPr="0074251B">
                <w:rPr>
                  <w:rStyle w:val="Collegamentoipertestuale"/>
                  <w:sz w:val="16"/>
                  <w:szCs w:val="16"/>
                </w:rPr>
                <w:t>https://www.ilsole24ore.com/radiocor/nRC_09.04.2024_13.09_34310343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5402" w:rsidRPr="00A0165E" w:rsidRDefault="00635402" w:rsidP="00DA5F79">
            <w:pPr>
              <w:spacing w:after="60"/>
              <w:rPr>
                <w:sz w:val="16"/>
                <w:szCs w:val="16"/>
              </w:rPr>
            </w:pPr>
          </w:p>
        </w:tc>
      </w:tr>
      <w:tr w:rsidR="000560C5" w:rsidRPr="00A0165E" w:rsidTr="00DA5F79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560C5" w:rsidRPr="001F4E0B" w:rsidRDefault="003A4D53" w:rsidP="00DA5F7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2024-04-06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560C5" w:rsidRPr="0074251B" w:rsidRDefault="003A4D53" w:rsidP="007D0E6C">
            <w:pPr>
              <w:jc w:val="both"/>
              <w:rPr>
                <w:sz w:val="20"/>
                <w:szCs w:val="20"/>
              </w:rPr>
            </w:pPr>
            <w:r w:rsidRPr="003A4D53">
              <w:rPr>
                <w:sz w:val="20"/>
                <w:szCs w:val="20"/>
              </w:rPr>
              <w:t xml:space="preserve">2024 m. - svarbiausi </w:t>
            </w:r>
            <w:r>
              <w:rPr>
                <w:sz w:val="20"/>
                <w:szCs w:val="20"/>
              </w:rPr>
              <w:t xml:space="preserve">IT </w:t>
            </w:r>
            <w:r w:rsidR="007D0E6C" w:rsidRPr="007D0E6C">
              <w:rPr>
                <w:sz w:val="20"/>
                <w:szCs w:val="20"/>
              </w:rPr>
              <w:t>ekonomikos gaivinimo ir atsparumo didinimo</w:t>
            </w:r>
            <w:r>
              <w:rPr>
                <w:sz w:val="20"/>
                <w:szCs w:val="20"/>
              </w:rPr>
              <w:t xml:space="preserve"> (Pnrr)</w:t>
            </w:r>
            <w:r w:rsidRPr="003A4D53">
              <w:rPr>
                <w:sz w:val="20"/>
                <w:szCs w:val="20"/>
              </w:rPr>
              <w:t xml:space="preserve"> metai, per kuriuos turi būti pasiekta 113 tikslų, susijusių su reformomis ir investicijomis. Remiant</w:t>
            </w:r>
            <w:r>
              <w:rPr>
                <w:sz w:val="20"/>
                <w:szCs w:val="20"/>
              </w:rPr>
              <w:t>is „</w:t>
            </w:r>
            <w:r w:rsidRPr="003A4D53">
              <w:rPr>
                <w:sz w:val="20"/>
                <w:szCs w:val="20"/>
              </w:rPr>
              <w:t>The European</w:t>
            </w:r>
            <w:r>
              <w:rPr>
                <w:sz w:val="20"/>
                <w:szCs w:val="20"/>
              </w:rPr>
              <w:t xml:space="preserve"> House - Ambrosetti Observatory“</w:t>
            </w:r>
            <w:r w:rsidRPr="003A4D53">
              <w:rPr>
                <w:sz w:val="20"/>
                <w:szCs w:val="20"/>
              </w:rPr>
              <w:t xml:space="preserve"> duomenimis</w:t>
            </w:r>
            <w:r>
              <w:t xml:space="preserve"> </w:t>
            </w:r>
            <w:r>
              <w:rPr>
                <w:sz w:val="20"/>
                <w:szCs w:val="20"/>
              </w:rPr>
              <w:t>IT antra pagal plano įgyvendinimą, t</w:t>
            </w:r>
            <w:r w:rsidRPr="003A4D53">
              <w:rPr>
                <w:sz w:val="20"/>
                <w:szCs w:val="20"/>
              </w:rPr>
              <w:t>ačiau 8 iš 10 įmonių susiduria su sunkumais dalyvaudamos viešuose konkursuose</w:t>
            </w:r>
            <w:r>
              <w:rPr>
                <w:sz w:val="20"/>
                <w:szCs w:val="20"/>
              </w:rPr>
              <w:t>.</w:t>
            </w:r>
            <w:r w:rsidR="007D0E6C">
              <w:rPr>
                <w:sz w:val="20"/>
                <w:szCs w:val="20"/>
              </w:rPr>
              <w:t xml:space="preserve"> </w:t>
            </w:r>
            <w:r w:rsidR="007D0E6C" w:rsidRPr="007D0E6C">
              <w:rPr>
                <w:i/>
                <w:sz w:val="20"/>
                <w:szCs w:val="20"/>
              </w:rPr>
              <w:t>Pnrr</w:t>
            </w:r>
            <w:r w:rsidR="007D0E6C">
              <w:rPr>
                <w:sz w:val="20"/>
                <w:szCs w:val="20"/>
              </w:rPr>
              <w:t xml:space="preserve"> projektai turi būti įgyvendinti iki </w:t>
            </w:r>
            <w:r w:rsidR="007D0E6C">
              <w:rPr>
                <w:sz w:val="20"/>
                <w:szCs w:val="20"/>
                <w:lang w:val="it-IT"/>
              </w:rPr>
              <w:t xml:space="preserve">2026 m.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Todėl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per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ateinančius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dvejus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metus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jis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turi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pereiti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iš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parengiamojo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etapo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į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į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galutinį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projekto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užba</w:t>
            </w:r>
            <w:r w:rsidR="007D0E6C">
              <w:rPr>
                <w:sz w:val="20"/>
                <w:szCs w:val="20"/>
                <w:lang w:val="it-IT"/>
              </w:rPr>
              <w:t>igimo</w:t>
            </w:r>
            <w:proofErr w:type="spellEnd"/>
            <w:r w:rsid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>
              <w:rPr>
                <w:sz w:val="20"/>
                <w:szCs w:val="20"/>
                <w:lang w:val="it-IT"/>
              </w:rPr>
              <w:t>etapą</w:t>
            </w:r>
            <w:proofErr w:type="spellEnd"/>
            <w:r w:rsidR="007D0E6C">
              <w:rPr>
                <w:sz w:val="20"/>
                <w:szCs w:val="20"/>
                <w:lang w:val="it-IT"/>
              </w:rPr>
              <w:t>. IT</w:t>
            </w:r>
            <w:r w:rsidR="007D0E6C" w:rsidRPr="007D0E6C">
              <w:rPr>
                <w:sz w:val="20"/>
                <w:szCs w:val="20"/>
                <w:lang w:val="it-IT"/>
              </w:rPr>
              <w:t xml:space="preserve"> užima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pirmąją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vietą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pagal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gautų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išmokų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dydį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- 102,5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mlrd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eurų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arba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54 proc.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visos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sumos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ir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yra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vienintelė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šalis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(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kartu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su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Portugalija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),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gavusi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ketvirtąją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lėšų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dalį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>.</w:t>
            </w:r>
            <w:r w:rsidR="007D0E6C">
              <w:rPr>
                <w:sz w:val="20"/>
                <w:szCs w:val="20"/>
                <w:lang w:val="it-IT"/>
              </w:rPr>
              <w:t xml:space="preserve"> 2023 m. </w:t>
            </w:r>
            <w:proofErr w:type="spellStart"/>
            <w:r w:rsidR="007D0E6C">
              <w:rPr>
                <w:sz w:val="20"/>
                <w:szCs w:val="20"/>
                <w:lang w:val="it-IT"/>
              </w:rPr>
              <w:t>pabaigoje</w:t>
            </w:r>
            <w:proofErr w:type="spellEnd"/>
            <w:r w:rsidR="007D0E6C">
              <w:rPr>
                <w:sz w:val="20"/>
                <w:szCs w:val="20"/>
                <w:lang w:val="it-IT"/>
              </w:rPr>
              <w:t xml:space="preserve"> IT</w:t>
            </w:r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vyriausybė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paprašė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>
              <w:rPr>
                <w:sz w:val="20"/>
                <w:szCs w:val="20"/>
                <w:lang w:val="it-IT"/>
              </w:rPr>
              <w:t>penktosios</w:t>
            </w:r>
            <w:proofErr w:type="spellEnd"/>
            <w:r w:rsid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i/>
                <w:sz w:val="20"/>
                <w:szCs w:val="20"/>
                <w:lang w:val="it-IT"/>
              </w:rPr>
              <w:t>Pnrr</w:t>
            </w:r>
            <w:proofErr w:type="spellEnd"/>
            <w:r w:rsid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>
              <w:rPr>
                <w:sz w:val="20"/>
                <w:szCs w:val="20"/>
                <w:lang w:val="it-IT"/>
              </w:rPr>
              <w:t>išmokos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informuodama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ES,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kad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ji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pasiekė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2023 m.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pabaigoje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nustatytus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0E6C" w:rsidRPr="007D0E6C">
              <w:rPr>
                <w:sz w:val="20"/>
                <w:szCs w:val="20"/>
                <w:lang w:val="it-IT"/>
              </w:rPr>
              <w:t>tikslus</w:t>
            </w:r>
            <w:proofErr w:type="spellEnd"/>
            <w:r w:rsidR="007D0E6C" w:rsidRPr="007D0E6C">
              <w:rPr>
                <w:sz w:val="20"/>
                <w:szCs w:val="20"/>
                <w:lang w:val="it-IT"/>
              </w:rPr>
              <w:t>.</w:t>
            </w:r>
            <w:r w:rsidR="007D0E6C">
              <w:rPr>
                <w:sz w:val="20"/>
                <w:szCs w:val="20"/>
                <w:lang w:val="it-IT"/>
              </w:rPr>
              <w:t xml:space="preserve"> Vis dar </w:t>
            </w:r>
            <w:proofErr w:type="spellStart"/>
            <w:r w:rsidR="007D0E6C">
              <w:rPr>
                <w:sz w:val="20"/>
                <w:szCs w:val="20"/>
                <w:lang w:val="it-IT"/>
              </w:rPr>
              <w:t>laukiama</w:t>
            </w:r>
            <w:proofErr w:type="spellEnd"/>
            <w:r w:rsidR="007D0E6C">
              <w:rPr>
                <w:sz w:val="20"/>
                <w:szCs w:val="20"/>
                <w:lang w:val="it-IT"/>
              </w:rPr>
              <w:t xml:space="preserve"> EK </w:t>
            </w:r>
            <w:proofErr w:type="spellStart"/>
            <w:r w:rsidR="007D0E6C">
              <w:rPr>
                <w:sz w:val="20"/>
                <w:szCs w:val="20"/>
                <w:lang w:val="it-IT"/>
              </w:rPr>
              <w:t>pritarimo</w:t>
            </w:r>
            <w:proofErr w:type="spellEnd"/>
            <w:r w:rsidR="007D0E6C">
              <w:rPr>
                <w:sz w:val="20"/>
                <w:szCs w:val="20"/>
                <w:lang w:val="it-IT"/>
              </w:rPr>
              <w:t xml:space="preserve">. </w:t>
            </w:r>
            <w:r w:rsidR="0074251B">
              <w:rPr>
                <w:sz w:val="20"/>
                <w:szCs w:val="20"/>
                <w:lang w:val="it-IT"/>
              </w:rPr>
              <w:t xml:space="preserve">IT </w:t>
            </w:r>
            <w:proofErr w:type="spellStart"/>
            <w:r w:rsidR="0074251B">
              <w:rPr>
                <w:sz w:val="20"/>
                <w:szCs w:val="20"/>
                <w:lang w:val="it-IT"/>
              </w:rPr>
              <w:t>taip</w:t>
            </w:r>
            <w:proofErr w:type="spellEnd"/>
            <w:r w:rsidR="0074251B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4251B">
              <w:rPr>
                <w:sz w:val="20"/>
                <w:szCs w:val="20"/>
                <w:lang w:val="it-IT"/>
              </w:rPr>
              <w:t>pat</w:t>
            </w:r>
            <w:proofErr w:type="spellEnd"/>
            <w:r w:rsidR="0074251B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4251B">
              <w:rPr>
                <w:sz w:val="20"/>
                <w:szCs w:val="20"/>
                <w:lang w:val="it-IT"/>
              </w:rPr>
              <w:t>prašo</w:t>
            </w:r>
            <w:proofErr w:type="spellEnd"/>
            <w:r w:rsidR="0074251B">
              <w:rPr>
                <w:sz w:val="20"/>
                <w:szCs w:val="20"/>
                <w:lang w:val="it-IT"/>
              </w:rPr>
              <w:t xml:space="preserve"> ES </w:t>
            </w:r>
            <w:proofErr w:type="spellStart"/>
            <w:r w:rsidR="0074251B">
              <w:rPr>
                <w:sz w:val="20"/>
                <w:szCs w:val="20"/>
                <w:lang w:val="it-IT"/>
              </w:rPr>
              <w:t>pratęsti</w:t>
            </w:r>
            <w:proofErr w:type="spellEnd"/>
            <w:r w:rsidR="0074251B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4251B">
              <w:rPr>
                <w:sz w:val="20"/>
                <w:szCs w:val="20"/>
                <w:lang w:val="it-IT"/>
              </w:rPr>
              <w:t>Pnrr</w:t>
            </w:r>
            <w:proofErr w:type="spellEnd"/>
            <w:r w:rsidR="0074251B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4251B">
              <w:rPr>
                <w:sz w:val="20"/>
                <w:szCs w:val="20"/>
                <w:lang w:val="it-IT"/>
              </w:rPr>
              <w:t>įgyvendinimo</w:t>
            </w:r>
            <w:proofErr w:type="spellEnd"/>
            <w:r w:rsidR="0074251B">
              <w:rPr>
                <w:sz w:val="20"/>
                <w:szCs w:val="20"/>
                <w:lang w:val="it-IT"/>
              </w:rPr>
              <w:t xml:space="preserve"> datą.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560C5" w:rsidRDefault="00DD06DF" w:rsidP="00DA5F79">
            <w:pPr>
              <w:jc w:val="both"/>
              <w:rPr>
                <w:sz w:val="16"/>
                <w:szCs w:val="16"/>
              </w:rPr>
            </w:pPr>
            <w:hyperlink r:id="rId28" w:history="1">
              <w:r w:rsidR="007D0E6C" w:rsidRPr="007D0E6C">
                <w:rPr>
                  <w:rStyle w:val="Collegamentoipertestuale"/>
                  <w:sz w:val="16"/>
                  <w:szCs w:val="16"/>
                </w:rPr>
                <w:t>https://www.milanofinanza.it/news/pnrr-ambrosetti-italia-seconda-nell-attuazione-del-piano-ma-8-aziende-su-10-hanno-difficolta-a-partecipare-202404061047569408?refresh_cens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560C5" w:rsidRPr="00A0165E" w:rsidRDefault="000560C5" w:rsidP="00DA5F79">
            <w:pPr>
              <w:spacing w:after="60"/>
              <w:rPr>
                <w:sz w:val="16"/>
                <w:szCs w:val="16"/>
              </w:rPr>
            </w:pPr>
          </w:p>
        </w:tc>
      </w:tr>
      <w:tr w:rsidR="00C20693" w:rsidRPr="00A0165E" w:rsidTr="00AF2ECD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20693" w:rsidRPr="00282EF2" w:rsidRDefault="00C67465" w:rsidP="00AF2EC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lastRenderedPageBreak/>
              <w:t>2024-04-04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AD5" w:rsidRPr="00273987" w:rsidRDefault="00C67465" w:rsidP="001233CF">
            <w:pPr>
              <w:jc w:val="both"/>
              <w:rPr>
                <w:iCs/>
                <w:sz w:val="20"/>
                <w:szCs w:val="20"/>
              </w:rPr>
            </w:pPr>
            <w:r w:rsidRPr="00C67465">
              <w:rPr>
                <w:iCs/>
                <w:sz w:val="20"/>
                <w:szCs w:val="20"/>
              </w:rPr>
              <w:t>Europos prokuratūra (EPPO) įtaria, kad pasisavinta 600 mln. Eur iš ES finansinės paramos</w:t>
            </w:r>
            <w:r w:rsidR="00AF6F91">
              <w:rPr>
                <w:iCs/>
                <w:sz w:val="20"/>
                <w:szCs w:val="20"/>
              </w:rPr>
              <w:t xml:space="preserve"> (IT</w:t>
            </w:r>
            <w:r w:rsidR="00AF6F91" w:rsidRPr="00C67465">
              <w:rPr>
                <w:iCs/>
                <w:sz w:val="20"/>
                <w:szCs w:val="20"/>
              </w:rPr>
              <w:t xml:space="preserve"> ekonomikos gaivinimo ir atsp</w:t>
            </w:r>
            <w:r w:rsidR="00AF6F91">
              <w:rPr>
                <w:iCs/>
                <w:sz w:val="20"/>
                <w:szCs w:val="20"/>
              </w:rPr>
              <w:t>arumo didinimo planui skirtų lėšų</w:t>
            </w:r>
            <w:r w:rsidR="00AF6F91">
              <w:rPr>
                <w:iCs/>
                <w:sz w:val="20"/>
                <w:szCs w:val="20"/>
                <w:lang w:val="it-IT"/>
              </w:rPr>
              <w:t>)</w:t>
            </w:r>
            <w:r w:rsidRPr="00C67465">
              <w:rPr>
                <w:iCs/>
                <w:sz w:val="20"/>
                <w:szCs w:val="20"/>
              </w:rPr>
              <w:t>, suteiktos pandemijos padariniams sušvelninti</w:t>
            </w:r>
            <w:r w:rsidR="00AF6F91">
              <w:rPr>
                <w:iCs/>
                <w:sz w:val="20"/>
                <w:szCs w:val="20"/>
              </w:rPr>
              <w:t xml:space="preserve"> Italijoje. N</w:t>
            </w:r>
            <w:r w:rsidR="00AF6F91" w:rsidRPr="00AF6F91">
              <w:rPr>
                <w:iCs/>
                <w:sz w:val="20"/>
                <w:szCs w:val="20"/>
              </w:rPr>
              <w:t>usikalstamos organizacijos naudojo suklastotus įmonių balansus, siekdamos gauti negrąžintinas dotacijas fiktyvioms smulkioms ir vidutinėms įmonėms, besi</w:t>
            </w:r>
            <w:r w:rsidR="001233CF">
              <w:rPr>
                <w:iCs/>
                <w:sz w:val="20"/>
                <w:szCs w:val="20"/>
              </w:rPr>
              <w:t xml:space="preserve">plečiančioms į užsienio rinkas, </w:t>
            </w:r>
            <w:r w:rsidR="00AF6F91" w:rsidRPr="00AF6F91">
              <w:rPr>
                <w:iCs/>
                <w:sz w:val="20"/>
                <w:szCs w:val="20"/>
              </w:rPr>
              <w:t>remti.</w:t>
            </w:r>
            <w:r w:rsidR="001233CF">
              <w:rPr>
                <w:iCs/>
                <w:sz w:val="20"/>
                <w:szCs w:val="20"/>
              </w:rPr>
              <w:t xml:space="preserve"> </w:t>
            </w:r>
            <w:r w:rsidR="00AF6F91" w:rsidRPr="00AF6F91">
              <w:rPr>
                <w:iCs/>
                <w:sz w:val="20"/>
                <w:szCs w:val="20"/>
              </w:rPr>
              <w:t>Tyrimas atskleidė sudėtingą pinigų plovimo sistemą ir pažangių technologijų, įskaitant vpn tinklus ir kvantinį kompiuterį, naudojimą.</w:t>
            </w:r>
            <w:r w:rsidRPr="00C6746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20693" w:rsidRPr="00273987" w:rsidRDefault="00DD06DF" w:rsidP="00AF2ECD">
            <w:pPr>
              <w:jc w:val="both"/>
              <w:rPr>
                <w:sz w:val="16"/>
                <w:szCs w:val="16"/>
              </w:rPr>
            </w:pPr>
            <w:hyperlink r:id="rId29" w:history="1">
              <w:r w:rsidR="00C67465" w:rsidRPr="00C67465">
                <w:rPr>
                  <w:rStyle w:val="Collegamentoipertestuale"/>
                  <w:sz w:val="16"/>
                  <w:szCs w:val="16"/>
                </w:rPr>
                <w:t>https://www.ilfattoquotidiano.it/2024/04/04/le-persone-e-le-aziende-coinvolti-nellinchiesta-sulle-frodi-sui-fondi-del-pnrr-ce-anche-lex-proprietario-della-pistoiese/7501983/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027D" w:rsidRPr="00A0165E" w:rsidRDefault="007B027D" w:rsidP="00AF2ECD">
            <w:pPr>
              <w:spacing w:after="60"/>
              <w:rPr>
                <w:sz w:val="16"/>
                <w:szCs w:val="16"/>
              </w:rPr>
            </w:pPr>
          </w:p>
        </w:tc>
      </w:tr>
      <w:tr w:rsidR="00271E75" w:rsidRPr="00A0165E" w:rsidTr="00AF2ECD">
        <w:trPr>
          <w:trHeight w:val="221"/>
        </w:trPr>
        <w:tc>
          <w:tcPr>
            <w:tcW w:w="10517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1E75" w:rsidRPr="00A0165E" w:rsidRDefault="00271E75" w:rsidP="00271E75">
            <w:pPr>
              <w:spacing w:after="60"/>
            </w:pPr>
            <w:r w:rsidRPr="00A0165E">
              <w:rPr>
                <w:b/>
                <w:sz w:val="22"/>
                <w:szCs w:val="22"/>
              </w:rPr>
              <w:t>Energetikos sektoriui aktuali informacija</w:t>
            </w:r>
          </w:p>
        </w:tc>
      </w:tr>
      <w:tr w:rsidR="00BC5D74" w:rsidRPr="0030082B" w:rsidTr="000F2B24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5D74" w:rsidRDefault="003140FD" w:rsidP="00271E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2024-04-30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5D74" w:rsidRDefault="003140FD" w:rsidP="000E0839">
            <w:pPr>
              <w:tabs>
                <w:tab w:val="left" w:pos="3030"/>
              </w:tabs>
              <w:jc w:val="both"/>
              <w:rPr>
                <w:iCs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  <w:lang w:val="it-IT"/>
              </w:rPr>
              <w:t xml:space="preserve">Po </w:t>
            </w:r>
            <w:proofErr w:type="spellStart"/>
            <w:r>
              <w:rPr>
                <w:iCs/>
                <w:sz w:val="20"/>
                <w:szCs w:val="20"/>
                <w:lang w:val="it-IT"/>
              </w:rPr>
              <w:t>b</w:t>
            </w:r>
            <w:r w:rsidR="00BE39AD">
              <w:rPr>
                <w:iCs/>
                <w:sz w:val="20"/>
                <w:szCs w:val="20"/>
                <w:lang w:val="it-IT"/>
              </w:rPr>
              <w:t>alandžio</w:t>
            </w:r>
            <w:proofErr w:type="spellEnd"/>
            <w:r w:rsidR="00BE39AD">
              <w:rPr>
                <w:iCs/>
                <w:sz w:val="20"/>
                <w:szCs w:val="20"/>
                <w:lang w:val="it-IT"/>
              </w:rPr>
              <w:t xml:space="preserve"> 28-30 d. </w:t>
            </w:r>
            <w:proofErr w:type="spellStart"/>
            <w:r w:rsidR="00BE39AD">
              <w:rPr>
                <w:iCs/>
                <w:sz w:val="20"/>
                <w:szCs w:val="20"/>
                <w:lang w:val="it-IT"/>
              </w:rPr>
              <w:t>Turine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it-IT"/>
              </w:rPr>
              <w:t>vykusio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G7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klimato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energetikos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i</w:t>
            </w:r>
            <w:r>
              <w:rPr>
                <w:iCs/>
                <w:sz w:val="20"/>
                <w:szCs w:val="20"/>
                <w:lang w:val="it-IT"/>
              </w:rPr>
              <w:t>r</w:t>
            </w:r>
            <w:proofErr w:type="spellEnd"/>
            <w:r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it-IT"/>
              </w:rPr>
              <w:t>aplinkos</w:t>
            </w:r>
            <w:proofErr w:type="spellEnd"/>
            <w:r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it-IT"/>
              </w:rPr>
              <w:t>ministrų</w:t>
            </w:r>
            <w:proofErr w:type="spellEnd"/>
            <w:r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it-IT"/>
              </w:rPr>
              <w:t>susitikimo</w:t>
            </w:r>
            <w:proofErr w:type="spellEnd"/>
            <w:r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it-IT"/>
              </w:rPr>
              <w:t>priimtoje</w:t>
            </w:r>
            <w:proofErr w:type="spellEnd"/>
            <w:r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bendr</w:t>
            </w:r>
            <w:r>
              <w:rPr>
                <w:iCs/>
                <w:sz w:val="20"/>
                <w:szCs w:val="20"/>
                <w:lang w:val="it-IT"/>
              </w:rPr>
              <w:t>oje</w:t>
            </w:r>
            <w:proofErr w:type="spellEnd"/>
            <w:r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it-IT"/>
              </w:rPr>
              <w:t>deklaracijoje</w:t>
            </w:r>
            <w:proofErr w:type="spellEnd"/>
            <w:r w:rsidR="000E0839">
              <w:rPr>
                <w:iCs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0E0839">
              <w:rPr>
                <w:iCs/>
                <w:sz w:val="20"/>
                <w:szCs w:val="20"/>
                <w:lang w:val="it-IT"/>
              </w:rPr>
              <w:t>kurioje</w:t>
            </w:r>
            <w:proofErr w:type="spellEnd"/>
            <w:r w:rsidR="000E0839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E0839">
              <w:rPr>
                <w:iCs/>
                <w:sz w:val="20"/>
                <w:szCs w:val="20"/>
                <w:lang w:val="it-IT"/>
              </w:rPr>
              <w:t>pateikiami</w:t>
            </w:r>
            <w:proofErr w:type="spellEnd"/>
            <w:r w:rsidR="000E0839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E0839">
              <w:rPr>
                <w:iCs/>
                <w:sz w:val="20"/>
                <w:szCs w:val="20"/>
                <w:lang w:val="it-IT"/>
              </w:rPr>
              <w:t>s</w:t>
            </w:r>
            <w:r>
              <w:rPr>
                <w:iCs/>
                <w:sz w:val="20"/>
                <w:szCs w:val="20"/>
                <w:lang w:val="it-IT"/>
              </w:rPr>
              <w:t>varbiausi</w:t>
            </w:r>
            <w:proofErr w:type="spellEnd"/>
            <w:r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it-IT"/>
              </w:rPr>
              <w:t>įsipareigojimai</w:t>
            </w:r>
            <w:proofErr w:type="spellEnd"/>
            <w:r>
              <w:rPr>
                <w:iCs/>
                <w:sz w:val="20"/>
                <w:szCs w:val="20"/>
                <w:lang w:val="it-IT"/>
              </w:rPr>
              <w:t xml:space="preserve"> bei </w:t>
            </w:r>
            <w:proofErr w:type="spellStart"/>
            <w:r>
              <w:rPr>
                <w:iCs/>
                <w:sz w:val="20"/>
                <w:szCs w:val="20"/>
                <w:lang w:val="it-IT"/>
              </w:rPr>
              <w:t>programos</w:t>
            </w:r>
            <w:proofErr w:type="spellEnd"/>
            <w:r>
              <w:rPr>
                <w:iCs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palaipsniui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atsisakyti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iškastinio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kuro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pirmiausia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atsisakant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anglies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>;</w:t>
            </w:r>
            <w:r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skatinti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spartų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atsinaujinančiųjų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energijos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išteklių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augimą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didinant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energijos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kaupimo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pajėgumus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>;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skatinti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G7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bendradarbiavimą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branduolių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sintezės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energetikos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srityje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>;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išsilaisvinti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nuo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likusio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Rusijos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dujų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importo;</w:t>
            </w:r>
            <w:r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mažinti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metano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išmetimą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>;</w:t>
            </w:r>
            <w:r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didinti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svarbiausių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žaliavų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saugumą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ir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tvarumą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>;</w:t>
            </w:r>
            <w:r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panaikinti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su CO2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nesusijusių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šiltnamio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efektą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sukeliančių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dujų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išmetimą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>;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sukurti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„G7 centrą“,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kad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būtų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paspartinti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prisitaikymo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veiksmai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>;</w:t>
            </w:r>
            <w:r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įsteigti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„G7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vandens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koaliciją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>“;</w:t>
            </w:r>
            <w:r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parengti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savanorišką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darbotvarkę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dėl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žiedinės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tekstilės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ir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mados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>;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užtikrinti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teisingą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perėjimą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prie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švarios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energijos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besivystančiose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šalyse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ypač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40FD">
              <w:rPr>
                <w:iCs/>
                <w:sz w:val="20"/>
                <w:szCs w:val="20"/>
                <w:lang w:val="it-IT"/>
              </w:rPr>
              <w:t>Afrikoje</w:t>
            </w:r>
            <w:proofErr w:type="spellEnd"/>
            <w:r w:rsidRPr="003140FD">
              <w:rPr>
                <w:iCs/>
                <w:sz w:val="20"/>
                <w:szCs w:val="20"/>
                <w:lang w:val="it-IT"/>
              </w:rPr>
              <w:t>.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5D74" w:rsidRPr="00572DB7" w:rsidRDefault="003140FD" w:rsidP="00572DB7">
            <w:pPr>
              <w:rPr>
                <w:sz w:val="16"/>
                <w:szCs w:val="16"/>
              </w:rPr>
            </w:pPr>
            <w:hyperlink r:id="rId30" w:history="1">
              <w:r w:rsidRPr="003140FD">
                <w:rPr>
                  <w:rStyle w:val="Collegamentoipertestuale"/>
                  <w:sz w:val="16"/>
                  <w:szCs w:val="16"/>
                </w:rPr>
                <w:t>https://www.ilfattoquotidiano.it/2024/04/30/g7-ambiente-in-piemonte-ce-lo-stop-al-carbone-entro-il-2035-ma-poco-sul-gas-successo-o-minimo-sindacale-gli-stati-hanno-19-mesi-per-mantenere-le-promesse/7531621/</w:t>
              </w:r>
            </w:hyperlink>
          </w:p>
        </w:tc>
        <w:tc>
          <w:tcPr>
            <w:tcW w:w="187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5D74" w:rsidRPr="0030082B" w:rsidRDefault="00BC5D74" w:rsidP="00271E75">
            <w:pPr>
              <w:spacing w:after="60"/>
              <w:rPr>
                <w:color w:val="FF0000"/>
                <w:sz w:val="16"/>
                <w:szCs w:val="16"/>
              </w:rPr>
            </w:pPr>
          </w:p>
        </w:tc>
      </w:tr>
      <w:tr w:rsidR="00676CD9" w:rsidRPr="0030082B" w:rsidTr="000F2B24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6CD9" w:rsidRPr="00FB42BF" w:rsidRDefault="00676CD9" w:rsidP="00271E75">
            <w:pPr>
              <w:rPr>
                <w:sz w:val="20"/>
                <w:szCs w:val="20"/>
              </w:rPr>
            </w:pPr>
            <w:r w:rsidRPr="00FB42BF">
              <w:rPr>
                <w:sz w:val="20"/>
                <w:szCs w:val="20"/>
              </w:rPr>
              <w:t>2024-04-29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6CD9" w:rsidRPr="00FB42BF" w:rsidRDefault="005B6605" w:rsidP="005B6605">
            <w:pPr>
              <w:jc w:val="both"/>
              <w:rPr>
                <w:iCs/>
                <w:sz w:val="20"/>
                <w:szCs w:val="20"/>
                <w:lang w:val="it-IT"/>
              </w:rPr>
            </w:pPr>
            <w:proofErr w:type="spellStart"/>
            <w:r w:rsidRPr="005B6605">
              <w:rPr>
                <w:iCs/>
                <w:sz w:val="20"/>
                <w:szCs w:val="20"/>
                <w:lang w:val="it-IT"/>
              </w:rPr>
              <w:t>„Snam</w:t>
            </w:r>
            <w:proofErr w:type="spellEnd"/>
            <w:r w:rsidRPr="005B6605">
              <w:rPr>
                <w:iCs/>
                <w:sz w:val="20"/>
                <w:szCs w:val="20"/>
                <w:lang w:val="it-IT"/>
              </w:rPr>
              <w:t xml:space="preserve">“ </w:t>
            </w:r>
            <w:proofErr w:type="spellStart"/>
            <w:r w:rsidRPr="005B6605">
              <w:rPr>
                <w:iCs/>
                <w:sz w:val="20"/>
                <w:szCs w:val="20"/>
                <w:lang w:val="it-IT"/>
              </w:rPr>
              <w:t>investuos</w:t>
            </w:r>
            <w:proofErr w:type="spellEnd"/>
            <w:r w:rsidRPr="005B6605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6605">
              <w:rPr>
                <w:iCs/>
                <w:sz w:val="20"/>
                <w:szCs w:val="20"/>
                <w:lang w:val="it-IT"/>
              </w:rPr>
              <w:t>apie</w:t>
            </w:r>
            <w:proofErr w:type="spellEnd"/>
            <w:r w:rsidRPr="005B6605">
              <w:rPr>
                <w:iCs/>
                <w:sz w:val="20"/>
                <w:szCs w:val="20"/>
                <w:lang w:val="it-IT"/>
              </w:rPr>
              <w:t xml:space="preserve"> 80 </w:t>
            </w:r>
            <w:proofErr w:type="spellStart"/>
            <w:r w:rsidRPr="005B6605">
              <w:rPr>
                <w:iCs/>
                <w:sz w:val="20"/>
                <w:szCs w:val="20"/>
                <w:lang w:val="it-IT"/>
              </w:rPr>
              <w:t>mln</w:t>
            </w:r>
            <w:proofErr w:type="spellEnd"/>
            <w:r w:rsidRPr="005B6605">
              <w:rPr>
                <w:iCs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5B6605">
              <w:rPr>
                <w:iCs/>
                <w:sz w:val="20"/>
                <w:szCs w:val="20"/>
                <w:lang w:val="it-IT"/>
              </w:rPr>
              <w:t>eurų</w:t>
            </w:r>
            <w:proofErr w:type="spellEnd"/>
            <w:r w:rsidRPr="005B6605">
              <w:rPr>
                <w:iCs/>
                <w:sz w:val="20"/>
                <w:szCs w:val="20"/>
                <w:lang w:val="it-IT"/>
              </w:rPr>
              <w:t xml:space="preserve"> į Livorno </w:t>
            </w:r>
            <w:proofErr w:type="spellStart"/>
            <w:r w:rsidRPr="005B6605">
              <w:rPr>
                <w:iCs/>
                <w:sz w:val="20"/>
                <w:szCs w:val="20"/>
                <w:lang w:val="it-IT"/>
              </w:rPr>
              <w:t>jūroje</w:t>
            </w:r>
            <w:proofErr w:type="spellEnd"/>
            <w:r w:rsidRPr="005B6605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6605">
              <w:rPr>
                <w:iCs/>
                <w:sz w:val="20"/>
                <w:szCs w:val="20"/>
                <w:lang w:val="it-IT"/>
              </w:rPr>
              <w:t>esančio</w:t>
            </w:r>
            <w:proofErr w:type="spellEnd"/>
            <w:r w:rsidRPr="005B6605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6605">
              <w:rPr>
                <w:iCs/>
                <w:sz w:val="20"/>
                <w:szCs w:val="20"/>
                <w:lang w:val="it-IT"/>
              </w:rPr>
              <w:t>pakartotinio</w:t>
            </w:r>
            <w:proofErr w:type="spellEnd"/>
            <w:r w:rsidRPr="005B6605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6605">
              <w:rPr>
                <w:iCs/>
                <w:sz w:val="20"/>
                <w:szCs w:val="20"/>
                <w:lang w:val="it-IT"/>
              </w:rPr>
              <w:t>dujinimo</w:t>
            </w:r>
            <w:proofErr w:type="spellEnd"/>
            <w:r w:rsidRPr="005B6605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6605">
              <w:rPr>
                <w:iCs/>
                <w:sz w:val="20"/>
                <w:szCs w:val="20"/>
                <w:lang w:val="it-IT"/>
              </w:rPr>
              <w:t>įrenginio</w:t>
            </w:r>
            <w:proofErr w:type="spellEnd"/>
            <w:r w:rsidRPr="005B6605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6605">
              <w:rPr>
                <w:iCs/>
                <w:sz w:val="20"/>
                <w:szCs w:val="20"/>
                <w:lang w:val="it-IT"/>
              </w:rPr>
              <w:t>atnaujinimą</w:t>
            </w:r>
            <w:proofErr w:type="spellEnd"/>
            <w:r w:rsidR="00676CD9" w:rsidRPr="00FB42BF">
              <w:rPr>
                <w:iCs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676CD9" w:rsidRPr="00FB42BF">
              <w:rPr>
                <w:iCs/>
                <w:sz w:val="20"/>
                <w:szCs w:val="20"/>
                <w:lang w:val="it-IT"/>
              </w:rPr>
              <w:t>kuri</w:t>
            </w:r>
            <w:proofErr w:type="spellEnd"/>
            <w:r w:rsidR="00676CD9" w:rsidRPr="00FB42BF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76CD9" w:rsidRPr="00FB42BF">
              <w:rPr>
                <w:iCs/>
                <w:sz w:val="20"/>
                <w:szCs w:val="20"/>
                <w:lang w:val="it-IT"/>
              </w:rPr>
              <w:t>leis</w:t>
            </w:r>
            <w:proofErr w:type="spellEnd"/>
            <w:r w:rsidR="00676CD9" w:rsidRPr="00FB42BF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76CD9" w:rsidRPr="00FB42BF">
              <w:rPr>
                <w:iCs/>
                <w:sz w:val="20"/>
                <w:szCs w:val="20"/>
                <w:lang w:val="it-IT"/>
              </w:rPr>
              <w:t>pratęsti</w:t>
            </w:r>
            <w:proofErr w:type="spellEnd"/>
            <w:r w:rsidR="00676CD9" w:rsidRPr="00FB42BF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76CD9" w:rsidRPr="00FB42BF">
              <w:rPr>
                <w:iCs/>
                <w:sz w:val="20"/>
                <w:szCs w:val="20"/>
                <w:lang w:val="it-IT"/>
              </w:rPr>
              <w:t>įrenginio</w:t>
            </w:r>
            <w:proofErr w:type="spellEnd"/>
            <w:r w:rsidR="00676CD9" w:rsidRPr="00FB42BF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76CD9" w:rsidRPr="00FB42BF">
              <w:rPr>
                <w:iCs/>
                <w:sz w:val="20"/>
                <w:szCs w:val="20"/>
                <w:lang w:val="it-IT"/>
              </w:rPr>
              <w:t>eksploatavimo</w:t>
            </w:r>
            <w:proofErr w:type="spellEnd"/>
            <w:r w:rsidR="00676CD9" w:rsidRPr="00FB42BF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76CD9" w:rsidRPr="00FB42BF">
              <w:rPr>
                <w:iCs/>
                <w:sz w:val="20"/>
                <w:szCs w:val="20"/>
                <w:lang w:val="it-IT"/>
              </w:rPr>
              <w:t>laiką</w:t>
            </w:r>
            <w:proofErr w:type="spellEnd"/>
            <w:r w:rsidR="00676CD9" w:rsidRPr="00FB42BF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76CD9" w:rsidRPr="00FB42BF">
              <w:rPr>
                <w:iCs/>
                <w:sz w:val="20"/>
                <w:szCs w:val="20"/>
                <w:lang w:val="it-IT"/>
              </w:rPr>
              <w:t>bent</w:t>
            </w:r>
            <w:proofErr w:type="spellEnd"/>
            <w:r w:rsidR="00676CD9" w:rsidRPr="00FB42BF">
              <w:rPr>
                <w:iCs/>
                <w:sz w:val="20"/>
                <w:szCs w:val="20"/>
                <w:lang w:val="it-IT"/>
              </w:rPr>
              <w:t xml:space="preserve"> 10 </w:t>
            </w:r>
            <w:proofErr w:type="spellStart"/>
            <w:r w:rsidR="00676CD9" w:rsidRPr="00FB42BF">
              <w:rPr>
                <w:iCs/>
                <w:sz w:val="20"/>
                <w:szCs w:val="20"/>
                <w:lang w:val="it-IT"/>
              </w:rPr>
              <w:t>metų</w:t>
            </w:r>
            <w:proofErr w:type="spellEnd"/>
            <w:r w:rsidR="00676CD9" w:rsidRPr="00FB42BF">
              <w:rPr>
                <w:iCs/>
                <w:sz w:val="20"/>
                <w:szCs w:val="20"/>
                <w:lang w:val="it-IT"/>
              </w:rPr>
              <w:t xml:space="preserve">. 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6CD9" w:rsidRPr="00676CD9" w:rsidRDefault="00676CD9" w:rsidP="00987BC5">
            <w:pPr>
              <w:jc w:val="both"/>
              <w:rPr>
                <w:sz w:val="16"/>
                <w:szCs w:val="16"/>
              </w:rPr>
            </w:pPr>
            <w:hyperlink r:id="rId31" w:anchor=":~:text=sviluppo%20dei%20servizi.%20.-,Snam%20investe%20circa%2080%20milioni%20per%20rimettere,il%20rigassificatore%20offsho" w:history="1">
              <w:r w:rsidRPr="00FB42BF">
                <w:rPr>
                  <w:rStyle w:val="Collegamentoipertestuale"/>
                  <w:sz w:val="16"/>
                  <w:szCs w:val="16"/>
                </w:rPr>
                <w:t>https://www.shippingitaly.it/2024/04/29/snam-investe-circa-80-milioni-per-rimettere-a-nuovo-il-rigassificatore-offshore-di-livorno/#:~:text=sviluppo%20dei%20servizi.%20.-,Snam%20investe%20circa%2080%20milioni%20per%20rimettere,il%20rigassificatore%20offsho</w:t>
              </w:r>
            </w:hyperlink>
          </w:p>
        </w:tc>
        <w:tc>
          <w:tcPr>
            <w:tcW w:w="187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6CD9" w:rsidRPr="0030082B" w:rsidRDefault="00676CD9" w:rsidP="00271E75">
            <w:pPr>
              <w:spacing w:after="60"/>
              <w:rPr>
                <w:color w:val="FF0000"/>
                <w:sz w:val="16"/>
                <w:szCs w:val="16"/>
              </w:rPr>
            </w:pPr>
          </w:p>
        </w:tc>
      </w:tr>
      <w:tr w:rsidR="000F2B24" w:rsidRPr="0030082B" w:rsidTr="000F2B24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F2B24" w:rsidRPr="00E211C2" w:rsidRDefault="00E211C2" w:rsidP="00271E7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2024-04-20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F2B24" w:rsidRPr="00502F8D" w:rsidRDefault="00E211C2" w:rsidP="00FC6519">
            <w:pPr>
              <w:jc w:val="both"/>
              <w:rPr>
                <w:iCs/>
                <w:sz w:val="20"/>
                <w:szCs w:val="20"/>
                <w:lang w:val="it-IT"/>
              </w:rPr>
            </w:pP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Tūkstantis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tonų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CO2 bus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pašalinta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iš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atmosferos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ir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sukaupta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jūros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vandenyse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taip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kovojant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su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visuotiniu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atšilimu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ir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jūros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rūgštėjimu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, </w:t>
            </w:r>
            <w:r w:rsidR="00FC6519">
              <w:rPr>
                <w:iCs/>
                <w:sz w:val="20"/>
                <w:szCs w:val="20"/>
                <w:lang w:val="it-IT"/>
              </w:rPr>
              <w:t xml:space="preserve">IT </w:t>
            </w:r>
            <w:proofErr w:type="spellStart"/>
            <w:r w:rsidR="00FC6519">
              <w:rPr>
                <w:iCs/>
                <w:sz w:val="20"/>
                <w:szCs w:val="20"/>
                <w:lang w:val="it-IT"/>
              </w:rPr>
              <w:t>bendrovei</w:t>
            </w:r>
            <w:proofErr w:type="spellEnd"/>
            <w:r w:rsidR="00FC6519">
              <w:rPr>
                <w:iCs/>
                <w:sz w:val="20"/>
                <w:szCs w:val="20"/>
                <w:lang w:val="it-IT"/>
              </w:rPr>
              <w:t xml:space="preserve"> </w:t>
            </w:r>
            <w:r w:rsidR="00FC6519">
              <w:rPr>
                <w:iCs/>
                <w:sz w:val="20"/>
                <w:szCs w:val="20"/>
              </w:rPr>
              <w:t>„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Limenet</w:t>
            </w:r>
            <w:proofErr w:type="spellEnd"/>
            <w:r w:rsidR="00FC6519">
              <w:rPr>
                <w:iCs/>
                <w:sz w:val="20"/>
                <w:szCs w:val="20"/>
                <w:lang w:val="it-IT"/>
              </w:rPr>
              <w:t>”</w:t>
            </w:r>
            <w:r w:rsidRPr="00E211C2">
              <w:rPr>
                <w:iCs/>
                <w:sz w:val="20"/>
                <w:szCs w:val="20"/>
                <w:lang w:val="it-IT"/>
              </w:rPr>
              <w:t xml:space="preserve"> ("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startuolis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",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sukūręs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CO2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surinkimo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iš oro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ir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jo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pavertimo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kalcio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bikarbonatais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kurie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bus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sukaupti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jūroje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t</w:t>
            </w:r>
            <w:r w:rsidR="00FC6519">
              <w:rPr>
                <w:iCs/>
                <w:sz w:val="20"/>
                <w:szCs w:val="20"/>
                <w:lang w:val="it-IT"/>
              </w:rPr>
              <w:t>echnologiją</w:t>
            </w:r>
            <w:proofErr w:type="spellEnd"/>
            <w:r w:rsidR="00FC6519">
              <w:rPr>
                <w:iCs/>
                <w:sz w:val="20"/>
                <w:szCs w:val="20"/>
                <w:lang w:val="it-IT"/>
              </w:rPr>
              <w:t xml:space="preserve">) </w:t>
            </w:r>
            <w:proofErr w:type="spellStart"/>
            <w:r w:rsidR="00FC6519">
              <w:rPr>
                <w:iCs/>
                <w:sz w:val="20"/>
                <w:szCs w:val="20"/>
                <w:lang w:val="it-IT"/>
              </w:rPr>
              <w:t>ir</w:t>
            </w:r>
            <w:proofErr w:type="spellEnd"/>
            <w:r w:rsidR="00FC6519">
              <w:rPr>
                <w:iCs/>
                <w:sz w:val="20"/>
                <w:szCs w:val="20"/>
                <w:lang w:val="it-IT"/>
              </w:rPr>
              <w:t xml:space="preserve"> JAV </w:t>
            </w:r>
            <w:proofErr w:type="spellStart"/>
            <w:r w:rsidR="00FC6519">
              <w:rPr>
                <w:iCs/>
                <w:sz w:val="20"/>
                <w:szCs w:val="20"/>
                <w:lang w:val="it-IT"/>
              </w:rPr>
              <w:t>platformai</w:t>
            </w:r>
            <w:proofErr w:type="spellEnd"/>
            <w:r w:rsidR="00FC6519">
              <w:rPr>
                <w:iCs/>
                <w:sz w:val="20"/>
                <w:szCs w:val="20"/>
                <w:lang w:val="it-IT"/>
              </w:rPr>
              <w:t xml:space="preserve"> </w:t>
            </w:r>
            <w:r w:rsidR="00FC6519">
              <w:rPr>
                <w:iCs/>
                <w:sz w:val="20"/>
                <w:szCs w:val="20"/>
              </w:rPr>
              <w:t>„</w:t>
            </w:r>
            <w:proofErr w:type="spellStart"/>
            <w:r w:rsidR="00FC6519">
              <w:rPr>
                <w:iCs/>
                <w:sz w:val="20"/>
                <w:szCs w:val="20"/>
                <w:lang w:val="it-IT"/>
              </w:rPr>
              <w:t>KlimaDao</w:t>
            </w:r>
            <w:proofErr w:type="spellEnd"/>
            <w:r w:rsidR="00FC6519">
              <w:rPr>
                <w:iCs/>
                <w:sz w:val="20"/>
                <w:szCs w:val="20"/>
                <w:lang w:val="it-IT"/>
              </w:rPr>
              <w:t>”</w:t>
            </w:r>
            <w:r w:rsidRPr="00E211C2">
              <w:rPr>
                <w:i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veikiančiai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savanoriško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anglies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dioksido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emisijos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kreditų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rinkoje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pasirašius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susitarimą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>.</w:t>
            </w:r>
            <w:r w:rsidR="00FC6519">
              <w:rPr>
                <w:iCs/>
                <w:sz w:val="20"/>
                <w:szCs w:val="20"/>
                <w:lang w:val="it-IT"/>
              </w:rPr>
              <w:t xml:space="preserve"> </w:t>
            </w:r>
            <w:r w:rsidR="00FC6519">
              <w:rPr>
                <w:iCs/>
                <w:sz w:val="20"/>
                <w:szCs w:val="20"/>
              </w:rPr>
              <w:t>„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Limenet</w:t>
            </w:r>
            <w:proofErr w:type="spellEnd"/>
            <w:r w:rsidR="00FC6519">
              <w:rPr>
                <w:iCs/>
                <w:sz w:val="20"/>
                <w:szCs w:val="20"/>
                <w:lang w:val="it-IT"/>
              </w:rPr>
              <w:t>”</w:t>
            </w:r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plės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savo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technologiją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statydama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gamyklą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Augustoje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Sicilija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),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galinčią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pašalinti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apie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4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tūkst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tonų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CO2 per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metus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Vėliau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standartizavusi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100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tūkst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tonų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gamyklą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bendrovė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ketina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pritraukti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kapitalą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kad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ga</w:t>
            </w:r>
            <w:r w:rsidR="00FC6519">
              <w:rPr>
                <w:iCs/>
                <w:sz w:val="20"/>
                <w:szCs w:val="20"/>
                <w:lang w:val="it-IT"/>
              </w:rPr>
              <w:t>lėtų</w:t>
            </w:r>
            <w:proofErr w:type="spellEnd"/>
            <w:r w:rsidR="00FC6519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C6519">
              <w:rPr>
                <w:iCs/>
                <w:sz w:val="20"/>
                <w:szCs w:val="20"/>
                <w:lang w:val="it-IT"/>
              </w:rPr>
              <w:t>pastatyti</w:t>
            </w:r>
            <w:proofErr w:type="spellEnd"/>
            <w:r w:rsidR="00FC6519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C6519">
              <w:rPr>
                <w:iCs/>
                <w:sz w:val="20"/>
                <w:szCs w:val="20"/>
                <w:lang w:val="it-IT"/>
              </w:rPr>
              <w:t>keletą</w:t>
            </w:r>
            <w:proofErr w:type="spellEnd"/>
            <w:r w:rsidR="00FC6519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C6519">
              <w:rPr>
                <w:iCs/>
                <w:sz w:val="20"/>
                <w:szCs w:val="20"/>
                <w:lang w:val="it-IT"/>
              </w:rPr>
              <w:t>objektų</w:t>
            </w:r>
            <w:proofErr w:type="spellEnd"/>
            <w:r w:rsidR="00FC6519">
              <w:rPr>
                <w:iCs/>
                <w:sz w:val="20"/>
                <w:szCs w:val="20"/>
                <w:lang w:val="it-IT"/>
              </w:rPr>
              <w:t xml:space="preserve">, </w:t>
            </w:r>
            <w:r w:rsidR="00FC6519">
              <w:rPr>
                <w:iCs/>
                <w:sz w:val="20"/>
                <w:szCs w:val="20"/>
              </w:rPr>
              <w:t>„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galinčių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absorbuoti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šimtus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tūkstančių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tonų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anglies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dioksido</w:t>
            </w:r>
            <w:proofErr w:type="spellEnd"/>
            <w:r w:rsidRPr="00E211C2">
              <w:rPr>
                <w:iCs/>
                <w:sz w:val="20"/>
                <w:szCs w:val="20"/>
                <w:lang w:val="it-IT"/>
              </w:rPr>
              <w:t xml:space="preserve"> per </w:t>
            </w:r>
            <w:proofErr w:type="spellStart"/>
            <w:r w:rsidRPr="00E211C2">
              <w:rPr>
                <w:iCs/>
                <w:sz w:val="20"/>
                <w:szCs w:val="20"/>
                <w:lang w:val="it-IT"/>
              </w:rPr>
              <w:t>metus</w:t>
            </w:r>
            <w:proofErr w:type="spellEnd"/>
            <w:r w:rsidR="00FC6519">
              <w:rPr>
                <w:iCs/>
                <w:sz w:val="20"/>
                <w:szCs w:val="20"/>
                <w:lang w:val="it-IT"/>
              </w:rPr>
              <w:t>”</w:t>
            </w:r>
            <w:r w:rsidRPr="00E211C2">
              <w:rPr>
                <w:iCs/>
                <w:sz w:val="20"/>
                <w:szCs w:val="20"/>
                <w:lang w:val="it-IT"/>
              </w:rPr>
              <w:t>.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6EBA" w:rsidRPr="000F2B24" w:rsidRDefault="00DD06DF" w:rsidP="00987BC5">
            <w:pPr>
              <w:jc w:val="both"/>
              <w:rPr>
                <w:sz w:val="16"/>
                <w:szCs w:val="16"/>
              </w:rPr>
            </w:pPr>
            <w:hyperlink r:id="rId32" w:history="1">
              <w:r w:rsidR="00FC6519" w:rsidRPr="00FC6519">
                <w:rPr>
                  <w:rStyle w:val="Collegamentoipertestuale"/>
                  <w:sz w:val="16"/>
                  <w:szCs w:val="16"/>
                </w:rPr>
                <w:t>https://www.ilsole24ore.com/art/limenet-start-up-che-immagazzina-co2-mare-vende-prime-mille-tonnellate-AFpD9ueD</w:t>
              </w:r>
            </w:hyperlink>
          </w:p>
        </w:tc>
        <w:tc>
          <w:tcPr>
            <w:tcW w:w="187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F2B24" w:rsidRPr="0030082B" w:rsidRDefault="000F2B24" w:rsidP="00271E75">
            <w:pPr>
              <w:spacing w:after="60"/>
              <w:rPr>
                <w:color w:val="FF0000"/>
                <w:sz w:val="16"/>
                <w:szCs w:val="16"/>
              </w:rPr>
            </w:pPr>
          </w:p>
        </w:tc>
      </w:tr>
      <w:tr w:rsidR="00271E75" w:rsidRPr="00A0165E" w:rsidTr="00AF2ECD">
        <w:trPr>
          <w:trHeight w:val="221"/>
        </w:trPr>
        <w:tc>
          <w:tcPr>
            <w:tcW w:w="10517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1E75" w:rsidRPr="00A0165E" w:rsidRDefault="00271E75" w:rsidP="00271E75">
            <w:pPr>
              <w:spacing w:after="60"/>
            </w:pPr>
            <w:r w:rsidRPr="00A0165E">
              <w:rPr>
                <w:b/>
                <w:sz w:val="22"/>
                <w:szCs w:val="22"/>
              </w:rPr>
              <w:t>Transporto sektoriui aktuali informacija</w:t>
            </w:r>
          </w:p>
        </w:tc>
      </w:tr>
      <w:tr w:rsidR="00B768D1" w:rsidRPr="00A0165E" w:rsidTr="00D05398">
        <w:trPr>
          <w:trHeight w:val="221"/>
        </w:trPr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768D1" w:rsidRDefault="003A2EAF" w:rsidP="00BC5D7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2024-04-21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768D1" w:rsidRDefault="003A2EAF" w:rsidP="00CA13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Italijos </w:t>
            </w:r>
            <w:r w:rsidRPr="003A2EAF">
              <w:rPr>
                <w:sz w:val="20"/>
                <w:szCs w:val="20"/>
              </w:rPr>
              <w:t>Veneto</w:t>
            </w:r>
            <w:r w:rsidR="00CA134B">
              <w:rPr>
                <w:sz w:val="20"/>
                <w:szCs w:val="20"/>
              </w:rPr>
              <w:t xml:space="preserve"> ir Lombardijos regionai skatins</w:t>
            </w:r>
            <w:r w:rsidRPr="003A2EAF">
              <w:rPr>
                <w:sz w:val="20"/>
                <w:szCs w:val="20"/>
              </w:rPr>
              <w:t xml:space="preserve"> įmones pakeisti taršias tarnybines transporto priem</w:t>
            </w:r>
            <w:r w:rsidR="00CA134B">
              <w:rPr>
                <w:sz w:val="20"/>
                <w:szCs w:val="20"/>
              </w:rPr>
              <w:t>ones ekologiškesniais modeliais, suteikdami negrąžintinas išmokas. Veneto regione s</w:t>
            </w:r>
            <w:r w:rsidR="00CA134B" w:rsidRPr="00CA134B">
              <w:rPr>
                <w:sz w:val="20"/>
                <w:szCs w:val="20"/>
              </w:rPr>
              <w:t>uteikiama nuo 2 000 iki 9 600 EUR negrą</w:t>
            </w:r>
            <w:r w:rsidR="00CA134B">
              <w:rPr>
                <w:sz w:val="20"/>
                <w:szCs w:val="20"/>
              </w:rPr>
              <w:t>žintinų išmokų, kurios priklausys</w:t>
            </w:r>
            <w:r w:rsidR="00CA134B" w:rsidRPr="00CA134B">
              <w:rPr>
                <w:sz w:val="20"/>
                <w:szCs w:val="20"/>
              </w:rPr>
              <w:t xml:space="preserve"> nuo transporto priemonės tipo ir įmonės dydžio. Mažoms </w:t>
            </w:r>
            <w:r w:rsidR="00CA134B" w:rsidRPr="00CA134B">
              <w:rPr>
                <w:sz w:val="20"/>
                <w:szCs w:val="20"/>
              </w:rPr>
              <w:lastRenderedPageBreak/>
              <w:t>įmonėms skiriama 10 proc. didesnė įmoka, o labai mažoms įmonėms - 20 proc. didesnė įmoka.</w:t>
            </w:r>
            <w:r w:rsidR="00CA134B">
              <w:t xml:space="preserve"> </w:t>
            </w:r>
            <w:r w:rsidR="00CA134B" w:rsidRPr="00CA134B">
              <w:rPr>
                <w:sz w:val="20"/>
                <w:szCs w:val="20"/>
              </w:rPr>
              <w:t xml:space="preserve">Lombardijoje veikiančios MVĮ </w:t>
            </w:r>
            <w:r w:rsidR="00CA134B">
              <w:rPr>
                <w:sz w:val="20"/>
                <w:szCs w:val="20"/>
              </w:rPr>
              <w:t>galės</w:t>
            </w:r>
            <w:r w:rsidR="00CA134B" w:rsidRPr="00CA134B">
              <w:rPr>
                <w:sz w:val="20"/>
                <w:szCs w:val="20"/>
              </w:rPr>
              <w:t xml:space="preserve"> pasinaudoti parama ekologiškoms transporto priemonėms, skirtoms žmonėms ar kroviniams vežti, įsigyti. Taip siekiama paskatinti įmones modernizuoti savo transporto priemonių parkus ir taip sumažinti jų vykdomos veiklos poveikį aplinkai.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768D1" w:rsidRDefault="00DD06DF" w:rsidP="00BC5D74">
            <w:pPr>
              <w:jc w:val="both"/>
              <w:rPr>
                <w:sz w:val="16"/>
                <w:szCs w:val="16"/>
              </w:rPr>
            </w:pPr>
            <w:hyperlink r:id="rId33" w:history="1">
              <w:r w:rsidR="003A2EAF" w:rsidRPr="003A2EAF">
                <w:rPr>
                  <w:rStyle w:val="Collegamentoipertestuale"/>
                  <w:sz w:val="16"/>
                  <w:szCs w:val="16"/>
                </w:rPr>
                <w:t>https://www.ilsole24ore.com/art/veicoli-aziendali-inquinanti-contributi-fino-9mila-euro-sostituirli-incentivi-campo-AFppWHbD</w:t>
              </w:r>
            </w:hyperlink>
          </w:p>
        </w:tc>
        <w:tc>
          <w:tcPr>
            <w:tcW w:w="1870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768D1" w:rsidRPr="00A0165E" w:rsidRDefault="00B768D1" w:rsidP="00BC5D74">
            <w:pPr>
              <w:spacing w:after="60"/>
              <w:rPr>
                <w:sz w:val="16"/>
                <w:szCs w:val="16"/>
              </w:rPr>
            </w:pPr>
          </w:p>
        </w:tc>
      </w:tr>
      <w:tr w:rsidR="000B55AB" w:rsidRPr="00A0165E" w:rsidTr="00503514">
        <w:trPr>
          <w:trHeight w:val="410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55AB" w:rsidRDefault="000A05AD" w:rsidP="000B55AB">
            <w:pPr>
              <w:spacing w:after="6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lastRenderedPageBreak/>
              <w:t>2024-04-16</w:t>
            </w:r>
          </w:p>
        </w:tc>
        <w:tc>
          <w:tcPr>
            <w:tcW w:w="4656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55AB" w:rsidRDefault="000A05AD" w:rsidP="003F0FC2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„Stellantis“</w:t>
            </w:r>
            <w:r w:rsidRPr="000A05AD">
              <w:rPr>
                <w:iCs/>
                <w:sz w:val="20"/>
                <w:szCs w:val="20"/>
              </w:rPr>
              <w:t xml:space="preserve"> partnerė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A05AD">
              <w:rPr>
                <w:iCs/>
                <w:sz w:val="20"/>
                <w:szCs w:val="20"/>
              </w:rPr>
              <w:t xml:space="preserve">Kinijos automobilių pramonės milžinė </w:t>
            </w:r>
            <w:r>
              <w:rPr>
                <w:iCs/>
                <w:sz w:val="20"/>
                <w:szCs w:val="20"/>
              </w:rPr>
              <w:t>„</w:t>
            </w:r>
            <w:r w:rsidRPr="000A05AD">
              <w:rPr>
                <w:iCs/>
                <w:sz w:val="20"/>
                <w:szCs w:val="20"/>
              </w:rPr>
              <w:t>Dongfeng Motor Group</w:t>
            </w:r>
            <w:r>
              <w:rPr>
                <w:iCs/>
                <w:sz w:val="20"/>
                <w:szCs w:val="20"/>
              </w:rPr>
              <w:t>“</w:t>
            </w:r>
            <w:r w:rsidRPr="000A05AD">
              <w:rPr>
                <w:iCs/>
                <w:sz w:val="20"/>
                <w:szCs w:val="20"/>
              </w:rPr>
              <w:t xml:space="preserve"> veda </w:t>
            </w:r>
            <w:r>
              <w:rPr>
                <w:iCs/>
                <w:sz w:val="20"/>
                <w:szCs w:val="20"/>
              </w:rPr>
              <w:t>pirmines derybas su Italijos V</w:t>
            </w:r>
            <w:r w:rsidRPr="000A05AD">
              <w:rPr>
                <w:iCs/>
                <w:sz w:val="20"/>
                <w:szCs w:val="20"/>
              </w:rPr>
              <w:t xml:space="preserve">yriausybe dėl 100 tūkst. automobilių gamybos </w:t>
            </w:r>
            <w:r>
              <w:rPr>
                <w:iCs/>
                <w:sz w:val="20"/>
                <w:szCs w:val="20"/>
              </w:rPr>
              <w:t>Italijoje</w:t>
            </w:r>
            <w:r w:rsidRPr="000A05AD">
              <w:rPr>
                <w:iCs/>
                <w:sz w:val="20"/>
                <w:szCs w:val="20"/>
              </w:rPr>
              <w:t>.</w:t>
            </w:r>
            <w:r w:rsidR="00AD3E23">
              <w:rPr>
                <w:iCs/>
                <w:sz w:val="20"/>
                <w:szCs w:val="20"/>
              </w:rPr>
              <w:t xml:space="preserve"> </w:t>
            </w:r>
            <w:r w:rsidR="00AD3E23" w:rsidRPr="00AD3E23">
              <w:rPr>
                <w:iCs/>
                <w:sz w:val="20"/>
                <w:szCs w:val="20"/>
              </w:rPr>
              <w:t>Dėl šio plano Vyriausy</w:t>
            </w:r>
            <w:r w:rsidR="00AD3E23">
              <w:rPr>
                <w:iCs/>
                <w:sz w:val="20"/>
                <w:szCs w:val="20"/>
              </w:rPr>
              <w:t>bė ir „Stellantis“</w:t>
            </w:r>
            <w:r w:rsidR="00AD3E23" w:rsidRPr="00AD3E23">
              <w:rPr>
                <w:iCs/>
                <w:sz w:val="20"/>
                <w:szCs w:val="20"/>
              </w:rPr>
              <w:t xml:space="preserve"> gali atsidurti įtemptoje </w:t>
            </w:r>
            <w:r w:rsidR="00AD3E23">
              <w:rPr>
                <w:iCs/>
                <w:sz w:val="20"/>
                <w:szCs w:val="20"/>
              </w:rPr>
              <w:t xml:space="preserve">situacijoje, nes kompanijos GN </w:t>
            </w:r>
            <w:r w:rsidR="00AD3E23" w:rsidRPr="00AD3E23">
              <w:rPr>
                <w:iCs/>
                <w:sz w:val="20"/>
                <w:szCs w:val="20"/>
              </w:rPr>
              <w:t xml:space="preserve">direktorius </w:t>
            </w:r>
            <w:r w:rsidR="00AD3E23">
              <w:rPr>
                <w:iCs/>
                <w:sz w:val="20"/>
                <w:szCs w:val="20"/>
              </w:rPr>
              <w:t>C.</w:t>
            </w:r>
            <w:r w:rsidR="00AD3E23" w:rsidRPr="00AD3E23">
              <w:rPr>
                <w:iCs/>
                <w:sz w:val="20"/>
                <w:szCs w:val="20"/>
              </w:rPr>
              <w:t xml:space="preserve"> Tavaresas anksčiau šį mėnesį įspėjo, kad jam teks priimti </w:t>
            </w:r>
            <w:r w:rsidR="00AD3E23">
              <w:rPr>
                <w:iCs/>
                <w:sz w:val="20"/>
                <w:szCs w:val="20"/>
              </w:rPr>
              <w:t>„nepopuliarius sprendimus“</w:t>
            </w:r>
            <w:r w:rsidR="00AD3E23" w:rsidRPr="00AD3E23">
              <w:rPr>
                <w:iCs/>
                <w:sz w:val="20"/>
                <w:szCs w:val="20"/>
              </w:rPr>
              <w:t>, jei Kinijos elektrinių transporto priemonių gamintojas įsikurs Italijoje.</w:t>
            </w:r>
          </w:p>
        </w:tc>
        <w:tc>
          <w:tcPr>
            <w:tcW w:w="257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55AB" w:rsidRDefault="00DD06DF" w:rsidP="000B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hyperlink r:id="rId34" w:history="1">
              <w:r w:rsidR="000A05AD" w:rsidRPr="000A05AD">
                <w:rPr>
                  <w:rStyle w:val="Collegamentoipertestuale"/>
                  <w:sz w:val="16"/>
                  <w:szCs w:val="16"/>
                </w:rPr>
                <w:t>https://www.ilsole24ore.com/art/la-cinese-dongfeng-pronta-produrre-100mila-auto-italia-AFl5drZD</w:t>
              </w:r>
            </w:hyperlink>
          </w:p>
        </w:tc>
        <w:tc>
          <w:tcPr>
            <w:tcW w:w="1870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55AB" w:rsidRPr="006A0BE8" w:rsidRDefault="000B55AB" w:rsidP="000B55AB">
            <w:pPr>
              <w:spacing w:after="60"/>
              <w:rPr>
                <w:color w:val="FF0000"/>
                <w:sz w:val="16"/>
                <w:szCs w:val="16"/>
              </w:rPr>
            </w:pPr>
          </w:p>
        </w:tc>
      </w:tr>
      <w:tr w:rsidR="00214F40" w:rsidRPr="00A0165E" w:rsidTr="00503514">
        <w:trPr>
          <w:trHeight w:val="268"/>
        </w:trPr>
        <w:tc>
          <w:tcPr>
            <w:tcW w:w="1418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14F40" w:rsidRPr="00F71C7E" w:rsidRDefault="00F71C7E" w:rsidP="0053664F">
            <w:pPr>
              <w:spacing w:after="6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2024-04-15</w:t>
            </w:r>
          </w:p>
        </w:tc>
        <w:tc>
          <w:tcPr>
            <w:tcW w:w="4656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14F40" w:rsidRDefault="00F71C7E" w:rsidP="00013479">
            <w:pPr>
              <w:jc w:val="both"/>
              <w:rPr>
                <w:iCs/>
                <w:sz w:val="20"/>
                <w:szCs w:val="20"/>
              </w:rPr>
            </w:pPr>
            <w:r w:rsidRPr="00F71C7E">
              <w:rPr>
                <w:iCs/>
                <w:sz w:val="20"/>
                <w:szCs w:val="20"/>
              </w:rPr>
              <w:t xml:space="preserve">Automobilio pavadinimo pakeitimas dėl politinių nesutarimų </w:t>
            </w:r>
            <w:r>
              <w:rPr>
                <w:iCs/>
                <w:sz w:val="20"/>
                <w:szCs w:val="20"/>
              </w:rPr>
              <w:t xml:space="preserve">– to rinkoje </w:t>
            </w:r>
            <w:r w:rsidRPr="00F71C7E">
              <w:rPr>
                <w:iCs/>
                <w:sz w:val="20"/>
                <w:szCs w:val="20"/>
              </w:rPr>
              <w:t xml:space="preserve">dar niekada nebuvo pasitaikę. </w:t>
            </w:r>
            <w:r>
              <w:rPr>
                <w:iCs/>
                <w:sz w:val="20"/>
                <w:szCs w:val="20"/>
              </w:rPr>
              <w:t xml:space="preserve">Stellantis grupei priklausantis „Alfa Romeo“ prekės ženklas, </w:t>
            </w:r>
            <w:r w:rsidRPr="00F71C7E">
              <w:rPr>
                <w:iCs/>
                <w:sz w:val="20"/>
                <w:szCs w:val="20"/>
              </w:rPr>
              <w:t>nusprendė pakeisti jau kelis mėnesius žinomą naujojo Lenkijo</w:t>
            </w:r>
            <w:r>
              <w:rPr>
                <w:iCs/>
                <w:sz w:val="20"/>
                <w:szCs w:val="20"/>
              </w:rPr>
              <w:t>je gaminamo modelio pavadinimą „</w:t>
            </w:r>
            <w:r w:rsidRPr="00F71C7E">
              <w:rPr>
                <w:iCs/>
                <w:sz w:val="20"/>
                <w:szCs w:val="20"/>
              </w:rPr>
              <w:t>Milano</w:t>
            </w:r>
            <w:r>
              <w:rPr>
                <w:iCs/>
                <w:sz w:val="20"/>
                <w:szCs w:val="20"/>
              </w:rPr>
              <w:t>“</w:t>
            </w:r>
            <w:r w:rsidRPr="00F71C7E">
              <w:rPr>
                <w:iCs/>
                <w:sz w:val="20"/>
                <w:szCs w:val="20"/>
              </w:rPr>
              <w:t xml:space="preserve">, dėl kurio kilo ginčai, kuriuos </w:t>
            </w:r>
            <w:r w:rsidRPr="00F71C7E">
              <w:rPr>
                <w:i/>
                <w:iCs/>
                <w:sz w:val="20"/>
                <w:szCs w:val="20"/>
              </w:rPr>
              <w:t xml:space="preserve">sukėlė Įmonių ir </w:t>
            </w:r>
            <w:r>
              <w:rPr>
                <w:i/>
                <w:iCs/>
                <w:sz w:val="20"/>
                <w:szCs w:val="20"/>
              </w:rPr>
              <w:t>„</w:t>
            </w:r>
            <w:r w:rsidRPr="00F71C7E">
              <w:rPr>
                <w:i/>
                <w:iCs/>
                <w:sz w:val="20"/>
                <w:szCs w:val="20"/>
              </w:rPr>
              <w:t>Made in Italy</w:t>
            </w:r>
            <w:r>
              <w:rPr>
                <w:i/>
                <w:iCs/>
                <w:sz w:val="20"/>
                <w:szCs w:val="20"/>
              </w:rPr>
              <w:t>“</w:t>
            </w:r>
            <w:r w:rsidRPr="00F71C7E">
              <w:rPr>
                <w:iCs/>
                <w:sz w:val="20"/>
                <w:szCs w:val="20"/>
              </w:rPr>
              <w:t xml:space="preserve"> ministras </w:t>
            </w:r>
            <w:r>
              <w:rPr>
                <w:iCs/>
                <w:sz w:val="20"/>
                <w:szCs w:val="20"/>
              </w:rPr>
              <w:t xml:space="preserve">A.Urso, kuomet jis po </w:t>
            </w:r>
            <w:r w:rsidR="00013479">
              <w:rPr>
                <w:iCs/>
                <w:sz w:val="20"/>
                <w:szCs w:val="20"/>
              </w:rPr>
              <w:t xml:space="preserve">visureigio pristatymo, </w:t>
            </w:r>
            <w:r w:rsidRPr="00F71C7E">
              <w:rPr>
                <w:iCs/>
                <w:sz w:val="20"/>
                <w:szCs w:val="20"/>
              </w:rPr>
              <w:t xml:space="preserve">sukritikavo </w:t>
            </w:r>
            <w:r w:rsidRPr="00013479">
              <w:rPr>
                <w:i/>
                <w:iCs/>
                <w:sz w:val="20"/>
                <w:szCs w:val="20"/>
              </w:rPr>
              <w:t>Stellantis</w:t>
            </w:r>
            <w:r w:rsidRPr="00F71C7E">
              <w:rPr>
                <w:iCs/>
                <w:sz w:val="20"/>
                <w:szCs w:val="20"/>
              </w:rPr>
              <w:t xml:space="preserve"> už itališko pavadinimo pasirinkimą automobiliui, kuris bus gaminamas užsienyje, pareikšdamas, kad bendrovės sprendimas pažeidžia Italijos įstatymus</w:t>
            </w:r>
            <w:r w:rsidR="00013479">
              <w:rPr>
                <w:iCs/>
                <w:sz w:val="20"/>
                <w:szCs w:val="20"/>
              </w:rPr>
              <w:t>. Ministras turėjo</w:t>
            </w:r>
            <w:r w:rsidRPr="00F71C7E">
              <w:rPr>
                <w:iCs/>
                <w:sz w:val="20"/>
                <w:szCs w:val="20"/>
              </w:rPr>
              <w:t xml:space="preserve"> omenyje 2003 m. t</w:t>
            </w:r>
            <w:r w:rsidR="00013479">
              <w:rPr>
                <w:iCs/>
                <w:sz w:val="20"/>
                <w:szCs w:val="20"/>
              </w:rPr>
              <w:t>eisės aktą, kuriuo kovojama su „itališkai skambančiais“</w:t>
            </w:r>
            <w:r w:rsidRPr="00F71C7E">
              <w:rPr>
                <w:iCs/>
                <w:sz w:val="20"/>
                <w:szCs w:val="20"/>
              </w:rPr>
              <w:t xml:space="preserve"> produktais, melagingai teigiančiais, kad jie yra itališki. Šiame įstatyme nustatyta, kad negalima pateikti teiginių, kurie klaidina vartotojus.</w:t>
            </w:r>
          </w:p>
        </w:tc>
        <w:tc>
          <w:tcPr>
            <w:tcW w:w="2573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14F40" w:rsidRDefault="00DD06DF" w:rsidP="008A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hyperlink r:id="rId35" w:history="1">
              <w:r w:rsidR="00F71C7E" w:rsidRPr="00F71C7E">
                <w:rPr>
                  <w:rStyle w:val="Collegamentoipertestuale"/>
                  <w:sz w:val="16"/>
                  <w:szCs w:val="16"/>
                </w:rPr>
                <w:t>https://www.ilsole24ore.com/art/alfa-romeo-milano-cambia-nome-diventa-junior-AFTvRJXD</w:t>
              </w:r>
            </w:hyperlink>
          </w:p>
        </w:tc>
        <w:tc>
          <w:tcPr>
            <w:tcW w:w="187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14F40" w:rsidRPr="00A0165E" w:rsidRDefault="00214F40" w:rsidP="0053664F">
            <w:pPr>
              <w:spacing w:after="60"/>
              <w:rPr>
                <w:sz w:val="16"/>
                <w:szCs w:val="16"/>
              </w:rPr>
            </w:pPr>
          </w:p>
        </w:tc>
      </w:tr>
      <w:tr w:rsidR="00576236" w:rsidRPr="00A0165E" w:rsidTr="00F15FDE">
        <w:trPr>
          <w:trHeight w:val="268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76236" w:rsidRDefault="006F2806" w:rsidP="00214F40">
            <w:pPr>
              <w:spacing w:after="6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2024-04-15</w:t>
            </w:r>
          </w:p>
        </w:tc>
        <w:tc>
          <w:tcPr>
            <w:tcW w:w="46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76236" w:rsidRDefault="006F2806" w:rsidP="00D844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Oro transporto bendrov</w:t>
            </w:r>
            <w:proofErr w:type="spellStart"/>
            <w:r>
              <w:rPr>
                <w:iCs/>
                <w:sz w:val="20"/>
                <w:szCs w:val="20"/>
                <w:lang w:val="it-IT"/>
              </w:rPr>
              <w:t>ės</w:t>
            </w:r>
            <w:proofErr w:type="spellEnd"/>
            <w:r>
              <w:rPr>
                <w:iCs/>
                <w:sz w:val="20"/>
                <w:szCs w:val="20"/>
                <w:lang w:val="it-IT"/>
              </w:rPr>
              <w:t xml:space="preserve"> </w:t>
            </w:r>
            <w:r>
              <w:rPr>
                <w:iCs/>
                <w:sz w:val="20"/>
                <w:szCs w:val="20"/>
              </w:rPr>
              <w:t>„</w:t>
            </w:r>
            <w:r w:rsidRPr="006F2806">
              <w:rPr>
                <w:iCs/>
                <w:sz w:val="20"/>
                <w:szCs w:val="20"/>
              </w:rPr>
              <w:t>Lufthansa</w:t>
            </w:r>
            <w:r>
              <w:rPr>
                <w:iCs/>
                <w:sz w:val="20"/>
                <w:szCs w:val="20"/>
              </w:rPr>
              <w:t>“ ir „</w:t>
            </w:r>
            <w:r w:rsidRPr="006F2806">
              <w:rPr>
                <w:iCs/>
                <w:sz w:val="20"/>
                <w:szCs w:val="20"/>
              </w:rPr>
              <w:t>Ita</w:t>
            </w:r>
            <w:r>
              <w:rPr>
                <w:iCs/>
                <w:sz w:val="20"/>
                <w:szCs w:val="20"/>
              </w:rPr>
              <w:t>“</w:t>
            </w:r>
            <w:r w:rsidRPr="006F2806">
              <w:rPr>
                <w:iCs/>
                <w:sz w:val="20"/>
                <w:szCs w:val="20"/>
              </w:rPr>
              <w:t xml:space="preserve"> pateikė naujus </w:t>
            </w:r>
            <w:r w:rsidR="00D84434">
              <w:rPr>
                <w:iCs/>
                <w:sz w:val="20"/>
                <w:szCs w:val="20"/>
              </w:rPr>
              <w:t>įsipareigojimus ES</w:t>
            </w:r>
            <w:r w:rsidRPr="006F2806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kuriais siekia</w:t>
            </w:r>
            <w:r w:rsidRPr="006F2806">
              <w:rPr>
                <w:iCs/>
                <w:sz w:val="20"/>
                <w:szCs w:val="20"/>
              </w:rPr>
              <w:t xml:space="preserve"> išspręsti preliminarias konkurencijos problemas</w:t>
            </w:r>
            <w:r>
              <w:rPr>
                <w:iCs/>
                <w:sz w:val="20"/>
                <w:szCs w:val="20"/>
              </w:rPr>
              <w:t xml:space="preserve">, kurias ES paskelbė praėjusį mėnesį ir dėl </w:t>
            </w:r>
            <w:r w:rsidR="00D84434">
              <w:rPr>
                <w:iCs/>
                <w:sz w:val="20"/>
                <w:szCs w:val="20"/>
              </w:rPr>
              <w:t>kurių stringa</w:t>
            </w:r>
            <w:r>
              <w:rPr>
                <w:iCs/>
                <w:sz w:val="20"/>
                <w:szCs w:val="20"/>
              </w:rPr>
              <w:t xml:space="preserve">  kompanijų </w:t>
            </w:r>
            <w:r w:rsidR="00D84434">
              <w:rPr>
                <w:iCs/>
                <w:sz w:val="20"/>
                <w:szCs w:val="20"/>
              </w:rPr>
              <w:t>susijungimo sandoris</w:t>
            </w:r>
            <w:r>
              <w:rPr>
                <w:iCs/>
                <w:sz w:val="20"/>
                <w:szCs w:val="20"/>
              </w:rPr>
              <w:t xml:space="preserve">. </w:t>
            </w:r>
            <w:r w:rsidRPr="006F2806">
              <w:rPr>
                <w:iCs/>
                <w:sz w:val="20"/>
                <w:szCs w:val="20"/>
              </w:rPr>
              <w:t>ES sprendimas turi būti priimtas iki birželio 6 d.</w:t>
            </w:r>
          </w:p>
        </w:tc>
        <w:tc>
          <w:tcPr>
            <w:tcW w:w="257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76236" w:rsidRPr="00576236" w:rsidRDefault="00DD06DF" w:rsidP="008A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hyperlink r:id="rId36" w:history="1">
              <w:r w:rsidR="006F2806" w:rsidRPr="006F2806">
                <w:rPr>
                  <w:rStyle w:val="Collegamentoipertestuale"/>
                  <w:sz w:val="16"/>
                  <w:szCs w:val="16"/>
                </w:rPr>
                <w:t>https://www.ilsole24ore.com/art/ita-e-lufthansa-hanno-presentato-nuovi-impegni-bruxelles-valutera-entro-6-giugno-AF4zZ9WD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76236" w:rsidRPr="00A0165E" w:rsidRDefault="00576236" w:rsidP="0053664F">
            <w:pPr>
              <w:spacing w:after="60"/>
              <w:rPr>
                <w:sz w:val="16"/>
                <w:szCs w:val="16"/>
              </w:rPr>
            </w:pPr>
          </w:p>
        </w:tc>
      </w:tr>
      <w:tr w:rsidR="0084435B" w:rsidRPr="00A0165E" w:rsidTr="00F15FDE">
        <w:trPr>
          <w:trHeight w:val="268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4435B" w:rsidRDefault="00087C1E" w:rsidP="00214F40">
            <w:pPr>
              <w:spacing w:after="6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2024-04-14</w:t>
            </w:r>
          </w:p>
        </w:tc>
        <w:tc>
          <w:tcPr>
            <w:tcW w:w="46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4435B" w:rsidRDefault="00036AAB" w:rsidP="00036AAB">
            <w:pPr>
              <w:jc w:val="both"/>
              <w:rPr>
                <w:iCs/>
                <w:sz w:val="20"/>
                <w:szCs w:val="20"/>
                <w:lang w:val="it-IT"/>
              </w:rPr>
            </w:pP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Balandžio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11-13 d.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Milane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vyko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G7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transporto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ministrų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susitikimas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iCs/>
                <w:sz w:val="20"/>
                <w:szCs w:val="20"/>
                <w:lang w:val="it-IT"/>
              </w:rPr>
              <w:t>D</w:t>
            </w:r>
            <w:r w:rsidRPr="00036AAB">
              <w:rPr>
                <w:iCs/>
                <w:sz w:val="20"/>
                <w:szCs w:val="20"/>
                <w:lang w:val="it-IT"/>
              </w:rPr>
              <w:t>augiausia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dėmesio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buvo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skirta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judumo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ateičiai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ir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pasauliniam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jūrų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susisiekimui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>.</w:t>
            </w:r>
            <w:r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it-IT"/>
              </w:rPr>
              <w:t>P</w:t>
            </w:r>
            <w:r w:rsidRPr="00036AAB">
              <w:rPr>
                <w:iCs/>
                <w:sz w:val="20"/>
                <w:szCs w:val="20"/>
                <w:lang w:val="it-IT"/>
              </w:rPr>
              <w:t>riimtas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67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punktų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dokumentas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kuriam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vienbalsiai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pritarta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kad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elektra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varomi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automobiliai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negali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būti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vienintelis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aplinkosaugos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sprendimas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ir</w:t>
            </w:r>
            <w:proofErr w:type="spellEnd"/>
            <w:r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būsima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valstybių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narių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politika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turi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apimti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ir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biodegalų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galinčių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išgelbėti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endoterminių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variklių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pramonę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kūrimą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. Speciali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darbo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sesija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buvo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skirta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bendradarbiavimui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 xml:space="preserve"> su </w:t>
            </w:r>
            <w:proofErr w:type="spellStart"/>
            <w:r w:rsidRPr="00036AAB">
              <w:rPr>
                <w:iCs/>
                <w:sz w:val="20"/>
                <w:szCs w:val="20"/>
                <w:lang w:val="it-IT"/>
              </w:rPr>
              <w:t>Ukraina</w:t>
            </w:r>
            <w:proofErr w:type="spellEnd"/>
            <w:r w:rsidRPr="00036AAB">
              <w:rPr>
                <w:iCs/>
                <w:sz w:val="20"/>
                <w:szCs w:val="20"/>
                <w:lang w:val="it-IT"/>
              </w:rPr>
              <w:t>.</w:t>
            </w:r>
          </w:p>
        </w:tc>
        <w:tc>
          <w:tcPr>
            <w:tcW w:w="257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4435B" w:rsidRPr="0084435B" w:rsidRDefault="00DD06DF" w:rsidP="0003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hyperlink r:id="rId37" w:history="1">
              <w:r w:rsidR="00036AAB" w:rsidRPr="00036AAB">
                <w:rPr>
                  <w:rStyle w:val="Collegamentoipertestuale"/>
                  <w:sz w:val="16"/>
                  <w:szCs w:val="16"/>
                </w:rPr>
                <w:t>https://www.liberoquotidiano.it/news/politica/39043838/g7-milano-trasporti-biocarburanti-piano-salvini-salvare-auto.html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4435B" w:rsidRPr="00A0165E" w:rsidRDefault="0084435B" w:rsidP="0053664F">
            <w:pPr>
              <w:spacing w:after="60"/>
              <w:rPr>
                <w:sz w:val="16"/>
                <w:szCs w:val="16"/>
              </w:rPr>
            </w:pPr>
          </w:p>
        </w:tc>
      </w:tr>
      <w:tr w:rsidR="00DC6C49" w:rsidRPr="00A34B55" w:rsidTr="00933B39">
        <w:trPr>
          <w:trHeight w:val="551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6C49" w:rsidRPr="00F7388E" w:rsidRDefault="0095759F" w:rsidP="0053664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2024-04-05</w:t>
            </w:r>
          </w:p>
        </w:tc>
        <w:tc>
          <w:tcPr>
            <w:tcW w:w="46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6C49" w:rsidRPr="0017103C" w:rsidRDefault="00CF4C83" w:rsidP="00740902">
            <w:pPr>
              <w:jc w:val="both"/>
              <w:rPr>
                <w:iCs/>
                <w:sz w:val="20"/>
                <w:szCs w:val="20"/>
              </w:rPr>
            </w:pPr>
            <w:r w:rsidRPr="00CF4C83">
              <w:rPr>
                <w:iCs/>
                <w:sz w:val="20"/>
                <w:szCs w:val="20"/>
              </w:rPr>
              <w:t>Italijos valstybinių geležinkelių grupė</w:t>
            </w:r>
            <w:r>
              <w:rPr>
                <w:iCs/>
                <w:sz w:val="20"/>
                <w:szCs w:val="20"/>
              </w:rPr>
              <w:t xml:space="preserve"> „FS Group“  ir „Amazon“</w:t>
            </w:r>
            <w:r w:rsidRPr="00CF4C83">
              <w:rPr>
                <w:iCs/>
                <w:sz w:val="20"/>
                <w:szCs w:val="20"/>
              </w:rPr>
              <w:t xml:space="preserve"> pasirašė sus</w:t>
            </w:r>
            <w:r>
              <w:rPr>
                <w:iCs/>
                <w:sz w:val="20"/>
                <w:szCs w:val="20"/>
              </w:rPr>
              <w:t>itarimą dėl prekių vežimo tarp „Amazon“</w:t>
            </w:r>
            <w:r w:rsidRPr="00CF4C83">
              <w:rPr>
                <w:iCs/>
                <w:sz w:val="20"/>
                <w:szCs w:val="20"/>
              </w:rPr>
              <w:t xml:space="preserve"> paskirstymo centrų Vokietijoje ir Italijoje. </w:t>
            </w:r>
            <w:r>
              <w:rPr>
                <w:iCs/>
                <w:sz w:val="20"/>
                <w:szCs w:val="20"/>
              </w:rPr>
              <w:t>T</w:t>
            </w:r>
            <w:r w:rsidRPr="00CF4C83">
              <w:rPr>
                <w:iCs/>
                <w:sz w:val="20"/>
                <w:szCs w:val="20"/>
              </w:rPr>
              <w:t>ikslas - sumažinti tarptautinį krovinių vežimą keliais ir taip sumažinti išmetamo CO2 kiekį bei spūstis pagrindiniuose Europos keliuose. Projektas taip pat leis "Amazon" optimizuoti atsargų valdymą ir sutrumpinti pristatymo laiką.</w:t>
            </w:r>
          </w:p>
        </w:tc>
        <w:tc>
          <w:tcPr>
            <w:tcW w:w="257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6C49" w:rsidRPr="0017103C" w:rsidRDefault="00DD06DF" w:rsidP="00171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hyperlink r:id="rId38" w:history="1">
              <w:r w:rsidR="0095759F" w:rsidRPr="0095759F">
                <w:rPr>
                  <w:rStyle w:val="Collegamentoipertestuale"/>
                  <w:sz w:val="16"/>
                  <w:szCs w:val="16"/>
                </w:rPr>
                <w:t>https://www.ilsole24ore.com/art/fs-e-amazon-alleati-il-trasporto-merci-germania-e-italia-AFeAhTKD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6C49" w:rsidRPr="00A0165E" w:rsidRDefault="00DC6C49" w:rsidP="0053664F">
            <w:pPr>
              <w:spacing w:after="60"/>
              <w:rPr>
                <w:sz w:val="16"/>
                <w:szCs w:val="16"/>
              </w:rPr>
            </w:pPr>
          </w:p>
        </w:tc>
      </w:tr>
      <w:tr w:rsidR="00203561" w:rsidRPr="00A0165E" w:rsidTr="00137D4A">
        <w:trPr>
          <w:trHeight w:val="340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3561" w:rsidRDefault="000E4DB8" w:rsidP="0053664F">
            <w:pPr>
              <w:spacing w:after="6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lastRenderedPageBreak/>
              <w:t>2024-04-04</w:t>
            </w:r>
          </w:p>
        </w:tc>
        <w:tc>
          <w:tcPr>
            <w:tcW w:w="46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3561" w:rsidRPr="0056499E" w:rsidRDefault="000E4DB8" w:rsidP="00122627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„</w:t>
            </w:r>
            <w:r w:rsidRPr="000E4DB8">
              <w:rPr>
                <w:iCs/>
                <w:sz w:val="20"/>
                <w:szCs w:val="20"/>
              </w:rPr>
              <w:t>Ecobonus</w:t>
            </w:r>
            <w:r>
              <w:rPr>
                <w:iCs/>
                <w:sz w:val="20"/>
                <w:szCs w:val="20"/>
              </w:rPr>
              <w:t>“</w:t>
            </w:r>
            <w:r w:rsidRPr="000E4DB8">
              <w:rPr>
                <w:iCs/>
                <w:sz w:val="20"/>
                <w:szCs w:val="20"/>
              </w:rPr>
              <w:t xml:space="preserve"> automobiliui </w:t>
            </w:r>
            <w:r>
              <w:rPr>
                <w:iCs/>
                <w:sz w:val="20"/>
                <w:szCs w:val="20"/>
              </w:rPr>
              <w:t>–</w:t>
            </w:r>
            <w:r w:rsidRPr="000E4DB8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bus skirta </w:t>
            </w:r>
            <w:r w:rsidRPr="000E4DB8">
              <w:rPr>
                <w:iCs/>
                <w:sz w:val="20"/>
                <w:szCs w:val="20"/>
              </w:rPr>
              <w:t xml:space="preserve">950 mln. Naujojo automobilių skatinimo plano tikimasi sulaukti per artimiausią mėnesį, trūksta tik Audito Rūmų pritarimo. Dekrete numatoma skirti beveik 1 mlrd. </w:t>
            </w:r>
            <w:r>
              <w:rPr>
                <w:iCs/>
                <w:sz w:val="20"/>
                <w:szCs w:val="20"/>
              </w:rPr>
              <w:t>eurų</w:t>
            </w:r>
            <w:r w:rsidRPr="000E4DB8">
              <w:rPr>
                <w:iCs/>
                <w:sz w:val="20"/>
                <w:szCs w:val="20"/>
              </w:rPr>
              <w:t xml:space="preserve">, </w:t>
            </w:r>
            <w:r w:rsidR="00122627">
              <w:rPr>
                <w:iCs/>
                <w:sz w:val="20"/>
                <w:szCs w:val="20"/>
              </w:rPr>
              <w:t>pagal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E4DB8">
              <w:rPr>
                <w:iCs/>
                <w:sz w:val="20"/>
                <w:szCs w:val="20"/>
              </w:rPr>
              <w:t xml:space="preserve">tris </w:t>
            </w:r>
            <w:r w:rsidR="00122627">
              <w:rPr>
                <w:iCs/>
                <w:sz w:val="20"/>
                <w:szCs w:val="20"/>
              </w:rPr>
              <w:t>nuostatas</w:t>
            </w:r>
            <w:r w:rsidRPr="000E4DB8">
              <w:rPr>
                <w:iCs/>
                <w:sz w:val="20"/>
                <w:szCs w:val="20"/>
              </w:rPr>
              <w:t>: daugiau paskatų tiems, kurie atiduoda į metalo laužą labai taršų automobilį, daugiau paskatų mažas pajamas gaunantiems asmenims ir palankesnių sąlygų mūsų šalyje pagamintiems automobiliams sudarymas</w:t>
            </w:r>
            <w:r w:rsidR="00122627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57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3561" w:rsidRPr="001C5723" w:rsidRDefault="00DD06DF" w:rsidP="0053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hyperlink r:id="rId39" w:history="1">
              <w:r w:rsidR="000E4DB8" w:rsidRPr="000E4DB8">
                <w:rPr>
                  <w:rStyle w:val="Collegamentoipertestuale"/>
                  <w:sz w:val="16"/>
                  <w:szCs w:val="16"/>
                </w:rPr>
                <w:t>https://www.corriere.it/economia/consumi/cards/incentivi-un-anno-senza-vendere-l-auto-per-averlo-tutti-gli-obblighi-da-rispettare-per-ottenere-l-ecobonus/ecobonus-auto-un-pacchetto-da-950-milioni_principale.shtml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3561" w:rsidRPr="00A0165E" w:rsidRDefault="00203561" w:rsidP="0053664F">
            <w:pPr>
              <w:spacing w:after="60"/>
              <w:rPr>
                <w:sz w:val="16"/>
                <w:szCs w:val="16"/>
              </w:rPr>
            </w:pPr>
          </w:p>
        </w:tc>
      </w:tr>
      <w:tr w:rsidR="00F97EDA" w:rsidRPr="00A0165E" w:rsidTr="00A80F80">
        <w:trPr>
          <w:trHeight w:val="161"/>
        </w:trPr>
        <w:tc>
          <w:tcPr>
            <w:tcW w:w="10517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02E" w:rsidRPr="007D102E" w:rsidRDefault="00F97EDA" w:rsidP="00820C91">
            <w:pPr>
              <w:spacing w:after="60"/>
              <w:rPr>
                <w:b/>
              </w:rPr>
            </w:pPr>
            <w:r w:rsidRPr="00A0165E">
              <w:rPr>
                <w:b/>
                <w:sz w:val="22"/>
                <w:szCs w:val="22"/>
              </w:rPr>
              <w:t>Bendra ekonominė informacija</w:t>
            </w:r>
          </w:p>
        </w:tc>
      </w:tr>
      <w:tr w:rsidR="007D102E" w:rsidRPr="00A0165E" w:rsidTr="007B5265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02E" w:rsidRPr="00E63CB3" w:rsidRDefault="008B5BE3" w:rsidP="007D102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2024-04-30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02E" w:rsidRDefault="00FE4508" w:rsidP="00FE45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Italijos</w:t>
            </w:r>
            <w:r w:rsidRPr="00FE4508">
              <w:rPr>
                <w:sz w:val="20"/>
                <w:szCs w:val="20"/>
              </w:rPr>
              <w:t xml:space="preserve"> ekonomika auga labiau nei Prancūzijos ir Vokietijos, bet mažiau nei Ispanijos. Pirmąjį 2024 m. ketvirtį Italijos BVP, palyginti su ankstesniais </w:t>
            </w:r>
            <w:r>
              <w:rPr>
                <w:sz w:val="20"/>
                <w:szCs w:val="20"/>
              </w:rPr>
              <w:t>trimis mėnesiais, padidėjo 0,3 proc. T</w:t>
            </w:r>
            <w:r w:rsidRPr="00FE4508">
              <w:rPr>
                <w:sz w:val="20"/>
                <w:szCs w:val="20"/>
              </w:rPr>
              <w:t>eigiamų ženklų esama ir dėl infliacijos, kuri dabar Italijoje yra mažesnė nei 1 % ir neturėtų labai nukrypti nuo šios vertės net ir vidutiniškai per visus 2024 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02E" w:rsidRPr="00DC3090" w:rsidRDefault="00DD06DF" w:rsidP="007D102E">
            <w:pPr>
              <w:jc w:val="both"/>
              <w:rPr>
                <w:sz w:val="16"/>
                <w:szCs w:val="16"/>
              </w:rPr>
            </w:pPr>
            <w:hyperlink r:id="rId40" w:history="1">
              <w:r w:rsidR="008B5BE3" w:rsidRPr="008B5BE3">
                <w:rPr>
                  <w:rStyle w:val="Collegamentoipertestuale"/>
                  <w:sz w:val="16"/>
                  <w:szCs w:val="16"/>
                </w:rPr>
                <w:t>https://www.avvenire.it/economia/pagine/pil-italia-primi-tre-mesi-2024</w:t>
              </w:r>
            </w:hyperlink>
          </w:p>
        </w:tc>
        <w:tc>
          <w:tcPr>
            <w:tcW w:w="187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02E" w:rsidRPr="00A0165E" w:rsidRDefault="007D102E" w:rsidP="007D102E">
            <w:pPr>
              <w:spacing w:after="60"/>
              <w:rPr>
                <w:sz w:val="16"/>
                <w:szCs w:val="16"/>
              </w:rPr>
            </w:pPr>
          </w:p>
        </w:tc>
      </w:tr>
      <w:tr w:rsidR="00D90E7D" w:rsidRPr="00A0165E" w:rsidTr="007B5265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0E7D" w:rsidRDefault="00FD580E" w:rsidP="007D1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2024-04-18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0E7D" w:rsidRPr="00A74788" w:rsidRDefault="002E549A" w:rsidP="00523A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m. kasdienio gyvenimo aspektų tyrimo</w:t>
            </w:r>
            <w:r w:rsidRPr="00FD580E">
              <w:rPr>
                <w:sz w:val="20"/>
                <w:szCs w:val="20"/>
              </w:rPr>
              <w:t xml:space="preserve"> </w:t>
            </w:r>
            <w:r w:rsidR="00FD580E" w:rsidRPr="00FD580E">
              <w:rPr>
                <w:i/>
                <w:sz w:val="20"/>
                <w:szCs w:val="20"/>
              </w:rPr>
              <w:t>Istat</w:t>
            </w:r>
            <w:r w:rsidR="00FD580E">
              <w:rPr>
                <w:sz w:val="20"/>
                <w:szCs w:val="20"/>
              </w:rPr>
              <w:t xml:space="preserve"> ataskaitoje, </w:t>
            </w:r>
            <w:r w:rsidR="00FD580E" w:rsidRPr="00FD580E">
              <w:rPr>
                <w:sz w:val="20"/>
                <w:szCs w:val="20"/>
              </w:rPr>
              <w:t>46,6 proc. italų</w:t>
            </w:r>
            <w:r w:rsidR="00FD580E">
              <w:rPr>
                <w:sz w:val="20"/>
                <w:szCs w:val="20"/>
              </w:rPr>
              <w:t xml:space="preserve"> teigė</w:t>
            </w:r>
            <w:r w:rsidR="00FD580E" w:rsidRPr="00FD580E">
              <w:rPr>
                <w:sz w:val="20"/>
                <w:szCs w:val="20"/>
              </w:rPr>
              <w:t xml:space="preserve">, kad yra </w:t>
            </w:r>
            <w:r w:rsidR="00FD580E">
              <w:rPr>
                <w:sz w:val="20"/>
                <w:szCs w:val="20"/>
              </w:rPr>
              <w:t>„labai patenkinti gyvenimu“</w:t>
            </w:r>
            <w:r w:rsidR="00FD580E" w:rsidRPr="00FD580E">
              <w:rPr>
                <w:sz w:val="20"/>
                <w:szCs w:val="20"/>
              </w:rPr>
              <w:t>.</w:t>
            </w:r>
            <w:r w:rsidR="00FD580E">
              <w:rPr>
                <w:sz w:val="20"/>
                <w:szCs w:val="20"/>
              </w:rPr>
              <w:t xml:space="preserve"> </w:t>
            </w:r>
            <w:r w:rsidRPr="00013479">
              <w:rPr>
                <w:sz w:val="20"/>
                <w:szCs w:val="20"/>
              </w:rPr>
              <w:t>59,4 proc. 14 metų ir vyre</w:t>
            </w:r>
            <w:r>
              <w:rPr>
                <w:sz w:val="20"/>
                <w:szCs w:val="20"/>
              </w:rPr>
              <w:t>snių gyventojų teigė</w:t>
            </w:r>
            <w:r w:rsidRPr="00013479">
              <w:rPr>
                <w:sz w:val="20"/>
                <w:szCs w:val="20"/>
              </w:rPr>
              <w:t>, kad 2023 m. buvo labai arba gana patenkinti savo ekonomine padėtimi, t. y. 2,4 procentinio punkto daugiau nei 2022 m.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0E7D" w:rsidRPr="00192615" w:rsidRDefault="00DD06DF" w:rsidP="007D102E">
            <w:pPr>
              <w:jc w:val="both"/>
              <w:rPr>
                <w:sz w:val="16"/>
                <w:szCs w:val="16"/>
              </w:rPr>
            </w:pPr>
            <w:hyperlink r:id="rId41" w:history="1">
              <w:r w:rsidR="00FD580E" w:rsidRPr="00FD580E">
                <w:rPr>
                  <w:rStyle w:val="Collegamentoipertestuale"/>
                  <w:sz w:val="16"/>
                  <w:szCs w:val="16"/>
                </w:rPr>
                <w:t>https://www.ansa.it/sito/notizie/topnews/2024/04/18/istat-il-466-degli-italiani-e-soddisfatto-della-sua-vita_a9810372-0da2-4458-b51b-a0a5ee104e36.html</w:t>
              </w:r>
            </w:hyperlink>
          </w:p>
        </w:tc>
        <w:tc>
          <w:tcPr>
            <w:tcW w:w="187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0E7D" w:rsidRPr="00A0165E" w:rsidRDefault="00D90E7D" w:rsidP="007D102E">
            <w:pPr>
              <w:spacing w:after="60"/>
              <w:rPr>
                <w:sz w:val="16"/>
                <w:szCs w:val="16"/>
              </w:rPr>
            </w:pPr>
          </w:p>
        </w:tc>
      </w:tr>
      <w:tr w:rsidR="007D102E" w:rsidRPr="00A0165E" w:rsidTr="005A601D">
        <w:trPr>
          <w:trHeight w:val="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02E" w:rsidRDefault="0047494D" w:rsidP="007D102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2024-04-18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02E" w:rsidRDefault="0047494D" w:rsidP="0047494D">
            <w:pPr>
              <w:jc w:val="both"/>
              <w:rPr>
                <w:sz w:val="20"/>
                <w:szCs w:val="20"/>
              </w:rPr>
            </w:pPr>
            <w:r w:rsidRPr="0047494D">
              <w:rPr>
                <w:sz w:val="20"/>
                <w:szCs w:val="20"/>
              </w:rPr>
              <w:t>EBPO</w:t>
            </w:r>
            <w:r>
              <w:rPr>
                <w:sz w:val="20"/>
                <w:szCs w:val="20"/>
              </w:rPr>
              <w:t xml:space="preserve"> duomenimis, I</w:t>
            </w:r>
            <w:r w:rsidRPr="0047494D">
              <w:rPr>
                <w:sz w:val="20"/>
                <w:szCs w:val="20"/>
              </w:rPr>
              <w:t>talij</w:t>
            </w:r>
            <w:r>
              <w:rPr>
                <w:sz w:val="20"/>
                <w:szCs w:val="20"/>
              </w:rPr>
              <w:t>oje u</w:t>
            </w:r>
            <w:r w:rsidRPr="0047494D">
              <w:rPr>
                <w:sz w:val="20"/>
                <w:szCs w:val="20"/>
              </w:rPr>
              <w:t>žimtumo lygis 2023 m. ketvirt</w:t>
            </w:r>
            <w:r>
              <w:rPr>
                <w:sz w:val="20"/>
                <w:szCs w:val="20"/>
              </w:rPr>
              <w:t>ąjį ketvirtį padidėjo iki 62,1 proc.</w:t>
            </w:r>
            <w:r w:rsidRPr="0047494D">
              <w:rPr>
                <w:sz w:val="20"/>
                <w:szCs w:val="20"/>
              </w:rPr>
              <w:t>, o aktyvumo lygi</w:t>
            </w:r>
            <w:r>
              <w:rPr>
                <w:sz w:val="20"/>
                <w:szCs w:val="20"/>
              </w:rPr>
              <w:t>s siekė 67,1 proc</w:t>
            </w:r>
            <w:r w:rsidRPr="0047494D">
              <w:rPr>
                <w:sz w:val="20"/>
                <w:szCs w:val="20"/>
              </w:rPr>
              <w:t>.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02E" w:rsidRPr="0047494D" w:rsidRDefault="00DD06DF" w:rsidP="0047494D">
            <w:pPr>
              <w:rPr>
                <w:sz w:val="16"/>
                <w:szCs w:val="16"/>
              </w:rPr>
            </w:pPr>
            <w:hyperlink r:id="rId42" w:history="1">
              <w:r w:rsidR="0047494D" w:rsidRPr="0047494D">
                <w:rPr>
                  <w:rStyle w:val="Collegamentoipertestuale"/>
                  <w:sz w:val="16"/>
                  <w:szCs w:val="16"/>
                </w:rPr>
                <w:t>https://www.ilmessaggero.it/economia/news/ocse_occupati_record_italia-8063374.html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02E" w:rsidRPr="00A0165E" w:rsidRDefault="007D102E" w:rsidP="007D102E">
            <w:pPr>
              <w:spacing w:after="60"/>
              <w:rPr>
                <w:sz w:val="16"/>
                <w:szCs w:val="16"/>
              </w:rPr>
            </w:pPr>
          </w:p>
        </w:tc>
      </w:tr>
      <w:tr w:rsidR="00481770" w:rsidRPr="00A0165E" w:rsidTr="001C1502">
        <w:trPr>
          <w:trHeight w:val="221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81770" w:rsidRPr="00D62C3D" w:rsidRDefault="00481770" w:rsidP="001C150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2024-04-17</w:t>
            </w:r>
          </w:p>
        </w:tc>
        <w:tc>
          <w:tcPr>
            <w:tcW w:w="465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81770" w:rsidRPr="009920C3" w:rsidRDefault="00481770" w:rsidP="001C1502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Istat</w:t>
            </w:r>
            <w:r w:rsidRPr="004817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atsakaitoje skirtoje „Teisingam ir tvariam gerbūviui“ </w:t>
            </w:r>
            <w:r w:rsidRPr="00481770">
              <w:rPr>
                <w:sz w:val="20"/>
                <w:szCs w:val="20"/>
              </w:rPr>
              <w:t>teigiama, kad vidutinė tikėtina gyvenimo trukmė Italijoje ilgėja: šiuo metu ji siekia 83,1 metų. Ataskaitoje nurodoma, kad 2023 m., palyginti su ankstesniais metais, pagerėjo šiek tiek daugiau nei pusė iš 129 rodiklių, pagal kuriuos vertinama italų gerovė.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81770" w:rsidRPr="003D2FF1" w:rsidRDefault="00DD06DF" w:rsidP="001C1502">
            <w:pPr>
              <w:jc w:val="both"/>
              <w:rPr>
                <w:sz w:val="16"/>
                <w:szCs w:val="16"/>
              </w:rPr>
            </w:pPr>
            <w:hyperlink r:id="rId43" w:history="1">
              <w:r w:rsidR="00481770" w:rsidRPr="00481770">
                <w:rPr>
                  <w:rStyle w:val="Collegamentoipertestuale"/>
                  <w:sz w:val="16"/>
                  <w:szCs w:val="16"/>
                </w:rPr>
                <w:t>https://www.istat.it/it/archivio/296044</w:t>
              </w:r>
            </w:hyperlink>
          </w:p>
        </w:tc>
        <w:tc>
          <w:tcPr>
            <w:tcW w:w="187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81770" w:rsidRPr="00A0165E" w:rsidRDefault="00481770" w:rsidP="001C1502">
            <w:pPr>
              <w:spacing w:after="60"/>
              <w:rPr>
                <w:sz w:val="16"/>
                <w:szCs w:val="16"/>
              </w:rPr>
            </w:pPr>
          </w:p>
        </w:tc>
      </w:tr>
      <w:tr w:rsidR="00517216" w:rsidRPr="00A0165E" w:rsidTr="005A601D">
        <w:trPr>
          <w:trHeight w:val="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17216" w:rsidRDefault="00517216" w:rsidP="007D102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2024-04-16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17216" w:rsidRPr="00D84434" w:rsidRDefault="00517216" w:rsidP="00681913">
            <w:pPr>
              <w:jc w:val="both"/>
              <w:rPr>
                <w:sz w:val="20"/>
                <w:szCs w:val="20"/>
              </w:rPr>
            </w:pPr>
            <w:r w:rsidRPr="00517216">
              <w:rPr>
                <w:i/>
                <w:sz w:val="20"/>
                <w:szCs w:val="20"/>
              </w:rPr>
              <w:t>Istat</w:t>
            </w:r>
            <w:r>
              <w:rPr>
                <w:sz w:val="20"/>
                <w:szCs w:val="20"/>
              </w:rPr>
              <w:t xml:space="preserve"> duomenimis</w:t>
            </w:r>
            <w:r w:rsidRPr="00517216">
              <w:rPr>
                <w:sz w:val="20"/>
                <w:szCs w:val="20"/>
              </w:rPr>
              <w:t xml:space="preserve">, 2024 m. kovo mėn. </w:t>
            </w:r>
            <w:r w:rsidR="00681913">
              <w:rPr>
                <w:sz w:val="20"/>
                <w:szCs w:val="20"/>
              </w:rPr>
              <w:t xml:space="preserve">infliacija </w:t>
            </w:r>
            <w:r w:rsidR="00681913" w:rsidRPr="004F3233">
              <w:rPr>
                <w:sz w:val="20"/>
                <w:szCs w:val="20"/>
              </w:rPr>
              <w:t xml:space="preserve">per mėnesį </w:t>
            </w:r>
            <w:r w:rsidR="00681913">
              <w:rPr>
                <w:sz w:val="20"/>
                <w:szCs w:val="20"/>
              </w:rPr>
              <w:t>užfiksavo nulinį pokytį,</w:t>
            </w:r>
            <w:r w:rsidR="00681913" w:rsidRPr="00517216">
              <w:rPr>
                <w:sz w:val="20"/>
                <w:szCs w:val="20"/>
              </w:rPr>
              <w:t xml:space="preserve"> </w:t>
            </w:r>
            <w:r w:rsidR="00681913">
              <w:rPr>
                <w:sz w:val="20"/>
                <w:szCs w:val="20"/>
              </w:rPr>
              <w:t>metinė infliacija siekė 1,2 proc</w:t>
            </w:r>
            <w:r w:rsidRPr="00517216">
              <w:rPr>
                <w:sz w:val="20"/>
                <w:szCs w:val="20"/>
              </w:rPr>
              <w:t>.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17216" w:rsidRPr="00517216" w:rsidRDefault="00DD06DF" w:rsidP="007D102E">
            <w:pPr>
              <w:jc w:val="both"/>
              <w:rPr>
                <w:sz w:val="16"/>
                <w:szCs w:val="16"/>
              </w:rPr>
            </w:pPr>
            <w:hyperlink r:id="rId44" w:history="1">
              <w:r w:rsidR="00517216" w:rsidRPr="00517216">
                <w:rPr>
                  <w:rStyle w:val="Collegamentoipertestuale"/>
                  <w:sz w:val="16"/>
                  <w:szCs w:val="16"/>
                </w:rPr>
                <w:t>https://www.ilsole24ore.com/art/inflazione-variazione-nulla-marzo-12percento-anno-AFkuoSYD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17216" w:rsidRPr="00A0165E" w:rsidRDefault="00517216" w:rsidP="007D102E">
            <w:pPr>
              <w:spacing w:after="60"/>
              <w:rPr>
                <w:sz w:val="16"/>
                <w:szCs w:val="16"/>
              </w:rPr>
            </w:pPr>
          </w:p>
        </w:tc>
      </w:tr>
      <w:tr w:rsidR="007D102E" w:rsidRPr="00A0165E" w:rsidTr="005A601D">
        <w:trPr>
          <w:trHeight w:val="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02E" w:rsidRDefault="00D84434" w:rsidP="007D102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2024-04-15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02E" w:rsidRPr="00B60024" w:rsidRDefault="004F177B" w:rsidP="004F177B">
            <w:pPr>
              <w:jc w:val="both"/>
              <w:rPr>
                <w:sz w:val="20"/>
                <w:szCs w:val="20"/>
              </w:rPr>
            </w:pPr>
            <w:r w:rsidRPr="00D84434">
              <w:rPr>
                <w:sz w:val="20"/>
                <w:szCs w:val="20"/>
              </w:rPr>
              <w:t>Italijos banko duomenimis</w:t>
            </w:r>
            <w:r>
              <w:rPr>
                <w:sz w:val="20"/>
                <w:szCs w:val="20"/>
              </w:rPr>
              <w:t>, IT v</w:t>
            </w:r>
            <w:r w:rsidR="00D84434" w:rsidRPr="00D84434">
              <w:rPr>
                <w:sz w:val="20"/>
                <w:szCs w:val="20"/>
              </w:rPr>
              <w:t>alstybės skola po sumažėjimo sausio mėn.</w:t>
            </w:r>
            <w:r>
              <w:rPr>
                <w:sz w:val="20"/>
                <w:szCs w:val="20"/>
              </w:rPr>
              <w:t xml:space="preserve">, vasario mėn. vėl padidėjo </w:t>
            </w:r>
            <w:r w:rsidR="00D84434" w:rsidRPr="00D84434">
              <w:rPr>
                <w:sz w:val="20"/>
                <w:szCs w:val="20"/>
              </w:rPr>
              <w:t xml:space="preserve"> 22,9 mlrd. eurų ir sudarė 2 872,4 mlrd. eurų.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02E" w:rsidRPr="00E87609" w:rsidRDefault="00DD06DF" w:rsidP="007D102E">
            <w:pPr>
              <w:jc w:val="both"/>
              <w:rPr>
                <w:sz w:val="16"/>
                <w:szCs w:val="16"/>
              </w:rPr>
            </w:pPr>
            <w:hyperlink r:id="rId45" w:history="1">
              <w:r w:rsidR="00D84434" w:rsidRPr="00D84434">
                <w:rPr>
                  <w:rStyle w:val="Collegamentoipertestuale"/>
                  <w:sz w:val="16"/>
                  <w:szCs w:val="16"/>
                </w:rPr>
                <w:t>https://www.ilsole24ore.com/art/bankitalia-torna-salire-febbraio-debito-2872-miliardi-AFnwmcWD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02E" w:rsidRPr="00A0165E" w:rsidRDefault="007D102E" w:rsidP="007D102E">
            <w:pPr>
              <w:spacing w:after="60"/>
              <w:rPr>
                <w:sz w:val="16"/>
                <w:szCs w:val="16"/>
              </w:rPr>
            </w:pPr>
          </w:p>
        </w:tc>
      </w:tr>
      <w:tr w:rsidR="007D102E" w:rsidRPr="00A0165E" w:rsidTr="005A601D">
        <w:trPr>
          <w:trHeight w:val="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02E" w:rsidRPr="002A79C1" w:rsidRDefault="0064297C" w:rsidP="007D102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2024-04-08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10869" w:rsidRPr="003A29B4" w:rsidRDefault="0064297C" w:rsidP="0064297C">
            <w:pPr>
              <w:jc w:val="both"/>
              <w:rPr>
                <w:sz w:val="20"/>
                <w:szCs w:val="20"/>
              </w:rPr>
            </w:pPr>
            <w:r w:rsidRPr="0064297C">
              <w:rPr>
                <w:i/>
                <w:sz w:val="20"/>
                <w:szCs w:val="20"/>
              </w:rPr>
              <w:t>Istat</w:t>
            </w:r>
            <w:r>
              <w:rPr>
                <w:sz w:val="20"/>
                <w:szCs w:val="20"/>
              </w:rPr>
              <w:t xml:space="preserve"> duomenimis, </w:t>
            </w:r>
            <w:r w:rsidRPr="0064297C">
              <w:rPr>
                <w:sz w:val="20"/>
                <w:szCs w:val="20"/>
              </w:rPr>
              <w:t>2022 m. šiek tiek daugiau nei trečdalis 25-64 metų amžiaus asmenų dalyvavo</w:t>
            </w:r>
            <w:r>
              <w:rPr>
                <w:sz w:val="20"/>
                <w:szCs w:val="20"/>
              </w:rPr>
              <w:t xml:space="preserve"> švietimo ir mokymo programose. IT</w:t>
            </w:r>
            <w:r w:rsidRPr="0064297C">
              <w:rPr>
                <w:sz w:val="20"/>
                <w:szCs w:val="20"/>
              </w:rPr>
              <w:t xml:space="preserve"> dalyvavimo rodiklis beveik 11 procentinių punktų mažesnis už Europos vidurkį.</w:t>
            </w:r>
            <w:r>
              <w:rPr>
                <w:sz w:val="20"/>
                <w:szCs w:val="20"/>
              </w:rPr>
              <w:t xml:space="preserve"> 31,0 proc.</w:t>
            </w:r>
            <w:r w:rsidRPr="0064297C">
              <w:rPr>
                <w:sz w:val="20"/>
                <w:szCs w:val="20"/>
              </w:rPr>
              <w:t xml:space="preserve"> 18-24 metų amžiaus asmenų nedalyvauja jokiuose švietimo ar mokymo</w:t>
            </w:r>
            <w:r>
              <w:rPr>
                <w:sz w:val="20"/>
                <w:szCs w:val="20"/>
              </w:rPr>
              <w:t xml:space="preserve"> procesuose, palyginti su 20,2 proc.</w:t>
            </w:r>
            <w:r w:rsidRPr="0064297C">
              <w:rPr>
                <w:sz w:val="20"/>
                <w:szCs w:val="20"/>
              </w:rPr>
              <w:t xml:space="preserve"> Europos vidurkio.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02E" w:rsidRPr="00AA20C4" w:rsidRDefault="00DD06DF" w:rsidP="007D102E">
            <w:pPr>
              <w:jc w:val="both"/>
              <w:rPr>
                <w:sz w:val="16"/>
                <w:szCs w:val="16"/>
              </w:rPr>
            </w:pPr>
            <w:hyperlink r:id="rId46" w:history="1">
              <w:r w:rsidR="0064297C" w:rsidRPr="0064297C">
                <w:rPr>
                  <w:rStyle w:val="Collegamentoipertestuale"/>
                  <w:sz w:val="16"/>
                  <w:szCs w:val="16"/>
                </w:rPr>
                <w:t>https://www.ilsole24ore.com/art/istat-sud-distante-centro-nord-soprattutto-istruzione-non-formale-AFYhyDQD</w:t>
              </w:r>
            </w:hyperlink>
          </w:p>
        </w:tc>
        <w:tc>
          <w:tcPr>
            <w:tcW w:w="18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02E" w:rsidRPr="00A0165E" w:rsidRDefault="007D102E" w:rsidP="007D102E">
            <w:pPr>
              <w:spacing w:after="60"/>
              <w:rPr>
                <w:sz w:val="16"/>
                <w:szCs w:val="16"/>
              </w:rPr>
            </w:pPr>
          </w:p>
        </w:tc>
      </w:tr>
    </w:tbl>
    <w:p w:rsidR="00150F57" w:rsidRPr="00A0165E" w:rsidRDefault="00150F57" w:rsidP="00150F57">
      <w:pPr>
        <w:rPr>
          <w:sz w:val="22"/>
          <w:szCs w:val="22"/>
        </w:rPr>
      </w:pPr>
    </w:p>
    <w:p w:rsidR="00150F57" w:rsidRPr="00A0165E" w:rsidRDefault="00150F57" w:rsidP="00150F57">
      <w:pPr>
        <w:rPr>
          <w:sz w:val="22"/>
          <w:szCs w:val="22"/>
        </w:rPr>
      </w:pPr>
      <w:r w:rsidRPr="00A0165E">
        <w:rPr>
          <w:sz w:val="22"/>
          <w:szCs w:val="22"/>
        </w:rPr>
        <w:t>Parengė:</w:t>
      </w:r>
    </w:p>
    <w:p w:rsidR="00DF735C" w:rsidRPr="00A0165E" w:rsidRDefault="00206CC1" w:rsidP="00150F5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2"/>
          <w:szCs w:val="22"/>
        </w:rPr>
      </w:pPr>
      <w:r>
        <w:rPr>
          <w:sz w:val="22"/>
          <w:szCs w:val="22"/>
        </w:rPr>
        <w:t>Komerci</w:t>
      </w:r>
      <w:r w:rsidR="00C00B00">
        <w:rPr>
          <w:sz w:val="22"/>
          <w:szCs w:val="22"/>
        </w:rPr>
        <w:t>jos atašė</w:t>
      </w:r>
      <w:r w:rsidR="00150F57" w:rsidRPr="00A0165E">
        <w:rPr>
          <w:sz w:val="22"/>
          <w:szCs w:val="22"/>
        </w:rPr>
        <w:t xml:space="preserve"> Laura Šerėnienė,</w:t>
      </w:r>
      <w:r w:rsidR="00150F57" w:rsidRPr="00A0165E">
        <w:rPr>
          <w:i/>
          <w:sz w:val="22"/>
          <w:szCs w:val="22"/>
        </w:rPr>
        <w:t xml:space="preserve"> </w:t>
      </w:r>
      <w:r w:rsidR="00150F57" w:rsidRPr="00A0165E">
        <w:rPr>
          <w:sz w:val="22"/>
          <w:szCs w:val="22"/>
        </w:rPr>
        <w:t>tel. +39 0683661833, el. p. laura.sereniene@urm.lt</w:t>
      </w:r>
    </w:p>
    <w:sectPr w:rsidR="00DF735C" w:rsidRPr="00A0165E" w:rsidSect="00A518E5">
      <w:footerReference w:type="default" r:id="rId47"/>
      <w:headerReference w:type="first" r:id="rId48"/>
      <w:pgSz w:w="11906" w:h="16838"/>
      <w:pgMar w:top="1134" w:right="567" w:bottom="1134" w:left="1701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D3" w:rsidRDefault="00703AD3" w:rsidP="00150F57">
      <w:r>
        <w:separator/>
      </w:r>
    </w:p>
  </w:endnote>
  <w:endnote w:type="continuationSeparator" w:id="0">
    <w:p w:rsidR="00703AD3" w:rsidRDefault="00703AD3" w:rsidP="0015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4F" w:rsidRDefault="002A3F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="00DD06DF"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DD06DF">
      <w:rPr>
        <w:color w:val="000000"/>
        <w:sz w:val="22"/>
        <w:szCs w:val="22"/>
      </w:rPr>
      <w:fldChar w:fldCharType="separate"/>
    </w:r>
    <w:r w:rsidR="00897A66">
      <w:rPr>
        <w:noProof/>
        <w:color w:val="000000"/>
        <w:sz w:val="22"/>
        <w:szCs w:val="22"/>
      </w:rPr>
      <w:t>6</w:t>
    </w:r>
    <w:r w:rsidR="00DD06DF"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 xml:space="preserve"> (</w:t>
    </w:r>
    <w:r w:rsidR="00DD06DF"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NUMPAGES</w:instrText>
    </w:r>
    <w:r w:rsidR="00DD06DF">
      <w:rPr>
        <w:color w:val="000000"/>
        <w:sz w:val="22"/>
        <w:szCs w:val="22"/>
      </w:rPr>
      <w:fldChar w:fldCharType="separate"/>
    </w:r>
    <w:r w:rsidR="00897A66">
      <w:rPr>
        <w:noProof/>
        <w:color w:val="000000"/>
        <w:sz w:val="22"/>
        <w:szCs w:val="22"/>
      </w:rPr>
      <w:t>6</w:t>
    </w:r>
    <w:r w:rsidR="00DD06DF"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>)</w:t>
    </w:r>
  </w:p>
  <w:p w:rsidR="002A3F4F" w:rsidRDefault="002A3F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D3" w:rsidRDefault="00703AD3" w:rsidP="00150F57">
      <w:r>
        <w:separator/>
      </w:r>
    </w:p>
  </w:footnote>
  <w:footnote w:type="continuationSeparator" w:id="0">
    <w:p w:rsidR="00703AD3" w:rsidRDefault="00703AD3" w:rsidP="00150F57">
      <w:r>
        <w:continuationSeparator/>
      </w:r>
    </w:p>
  </w:footnote>
  <w:footnote w:id="1">
    <w:p w:rsidR="002A3F4F" w:rsidRDefault="002A3F4F" w:rsidP="00150F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MTEPI - moksliniai tyrimai, eksperimentinė plėtra ir inovacijos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4F" w:rsidRDefault="002A3F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0"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57E2"/>
    <w:multiLevelType w:val="hybridMultilevel"/>
    <w:tmpl w:val="A5564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2FDE"/>
    <w:multiLevelType w:val="hybridMultilevel"/>
    <w:tmpl w:val="489A9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F57"/>
    <w:rsid w:val="00000A63"/>
    <w:rsid w:val="000021A8"/>
    <w:rsid w:val="000066D1"/>
    <w:rsid w:val="00006C72"/>
    <w:rsid w:val="00006E19"/>
    <w:rsid w:val="00007A02"/>
    <w:rsid w:val="00010D1A"/>
    <w:rsid w:val="00011D40"/>
    <w:rsid w:val="00013179"/>
    <w:rsid w:val="00013479"/>
    <w:rsid w:val="000136F2"/>
    <w:rsid w:val="0001393C"/>
    <w:rsid w:val="00013A8C"/>
    <w:rsid w:val="000151C9"/>
    <w:rsid w:val="00016976"/>
    <w:rsid w:val="00017A69"/>
    <w:rsid w:val="00020F45"/>
    <w:rsid w:val="00021194"/>
    <w:rsid w:val="000214BA"/>
    <w:rsid w:val="00021500"/>
    <w:rsid w:val="00022430"/>
    <w:rsid w:val="000249E1"/>
    <w:rsid w:val="0002761B"/>
    <w:rsid w:val="0003146D"/>
    <w:rsid w:val="00034006"/>
    <w:rsid w:val="00036AAB"/>
    <w:rsid w:val="00036BA7"/>
    <w:rsid w:val="0003719D"/>
    <w:rsid w:val="00040CA6"/>
    <w:rsid w:val="000427EE"/>
    <w:rsid w:val="00042DAC"/>
    <w:rsid w:val="00044950"/>
    <w:rsid w:val="00044BF7"/>
    <w:rsid w:val="00044F10"/>
    <w:rsid w:val="00046C48"/>
    <w:rsid w:val="0005131C"/>
    <w:rsid w:val="00051D6D"/>
    <w:rsid w:val="00053AF3"/>
    <w:rsid w:val="000560C5"/>
    <w:rsid w:val="00057322"/>
    <w:rsid w:val="00060E4B"/>
    <w:rsid w:val="00060F41"/>
    <w:rsid w:val="0006147B"/>
    <w:rsid w:val="000618F3"/>
    <w:rsid w:val="000621C6"/>
    <w:rsid w:val="00062369"/>
    <w:rsid w:val="00063482"/>
    <w:rsid w:val="00063AD9"/>
    <w:rsid w:val="00065324"/>
    <w:rsid w:val="000655DF"/>
    <w:rsid w:val="0006634B"/>
    <w:rsid w:val="00067BCF"/>
    <w:rsid w:val="00070B07"/>
    <w:rsid w:val="00071BAF"/>
    <w:rsid w:val="000724B4"/>
    <w:rsid w:val="00072CCE"/>
    <w:rsid w:val="000741D5"/>
    <w:rsid w:val="00074E61"/>
    <w:rsid w:val="00074FA5"/>
    <w:rsid w:val="00076A11"/>
    <w:rsid w:val="00076CAA"/>
    <w:rsid w:val="00077327"/>
    <w:rsid w:val="0007787B"/>
    <w:rsid w:val="00083E9B"/>
    <w:rsid w:val="00084269"/>
    <w:rsid w:val="00085719"/>
    <w:rsid w:val="000876F6"/>
    <w:rsid w:val="00087C1E"/>
    <w:rsid w:val="00091C22"/>
    <w:rsid w:val="0009208D"/>
    <w:rsid w:val="000923A7"/>
    <w:rsid w:val="00094C86"/>
    <w:rsid w:val="00095E75"/>
    <w:rsid w:val="00096DA7"/>
    <w:rsid w:val="0009739E"/>
    <w:rsid w:val="000A00EC"/>
    <w:rsid w:val="000A05AD"/>
    <w:rsid w:val="000A101B"/>
    <w:rsid w:val="000A309D"/>
    <w:rsid w:val="000A3786"/>
    <w:rsid w:val="000A3F5B"/>
    <w:rsid w:val="000A5235"/>
    <w:rsid w:val="000A6321"/>
    <w:rsid w:val="000B053F"/>
    <w:rsid w:val="000B09E4"/>
    <w:rsid w:val="000B0CDE"/>
    <w:rsid w:val="000B1E5F"/>
    <w:rsid w:val="000B23C4"/>
    <w:rsid w:val="000B3692"/>
    <w:rsid w:val="000B4DD3"/>
    <w:rsid w:val="000B55AB"/>
    <w:rsid w:val="000B5912"/>
    <w:rsid w:val="000B67D1"/>
    <w:rsid w:val="000C0ABC"/>
    <w:rsid w:val="000C1712"/>
    <w:rsid w:val="000C233D"/>
    <w:rsid w:val="000C29EE"/>
    <w:rsid w:val="000C2CE6"/>
    <w:rsid w:val="000C2CE8"/>
    <w:rsid w:val="000C2CEF"/>
    <w:rsid w:val="000C2CF2"/>
    <w:rsid w:val="000C2ED2"/>
    <w:rsid w:val="000C3CA7"/>
    <w:rsid w:val="000C3E73"/>
    <w:rsid w:val="000C59D0"/>
    <w:rsid w:val="000C6575"/>
    <w:rsid w:val="000D03CE"/>
    <w:rsid w:val="000D0A58"/>
    <w:rsid w:val="000D0F3A"/>
    <w:rsid w:val="000D2990"/>
    <w:rsid w:val="000D2CA2"/>
    <w:rsid w:val="000D2DD0"/>
    <w:rsid w:val="000D6308"/>
    <w:rsid w:val="000D7C19"/>
    <w:rsid w:val="000E0381"/>
    <w:rsid w:val="000E0839"/>
    <w:rsid w:val="000E20C8"/>
    <w:rsid w:val="000E294A"/>
    <w:rsid w:val="000E4758"/>
    <w:rsid w:val="000E4D81"/>
    <w:rsid w:val="000E4DB8"/>
    <w:rsid w:val="000E52FE"/>
    <w:rsid w:val="000E6191"/>
    <w:rsid w:val="000E669C"/>
    <w:rsid w:val="000E79E9"/>
    <w:rsid w:val="000F17CC"/>
    <w:rsid w:val="000F2B24"/>
    <w:rsid w:val="000F2DEE"/>
    <w:rsid w:val="000F302E"/>
    <w:rsid w:val="000F54FD"/>
    <w:rsid w:val="000F61E6"/>
    <w:rsid w:val="00100EE0"/>
    <w:rsid w:val="00102CBA"/>
    <w:rsid w:val="001030ED"/>
    <w:rsid w:val="00104314"/>
    <w:rsid w:val="00104B4E"/>
    <w:rsid w:val="00104B6F"/>
    <w:rsid w:val="00105CC0"/>
    <w:rsid w:val="00106A7D"/>
    <w:rsid w:val="001121D2"/>
    <w:rsid w:val="001124AE"/>
    <w:rsid w:val="001127CA"/>
    <w:rsid w:val="00112DEB"/>
    <w:rsid w:val="00113E35"/>
    <w:rsid w:val="00115CB9"/>
    <w:rsid w:val="00116550"/>
    <w:rsid w:val="00117516"/>
    <w:rsid w:val="00122627"/>
    <w:rsid w:val="00123334"/>
    <w:rsid w:val="001233CF"/>
    <w:rsid w:val="001245BA"/>
    <w:rsid w:val="001246AB"/>
    <w:rsid w:val="0013015C"/>
    <w:rsid w:val="00130EA1"/>
    <w:rsid w:val="0013308D"/>
    <w:rsid w:val="0013634A"/>
    <w:rsid w:val="00136690"/>
    <w:rsid w:val="00137D4A"/>
    <w:rsid w:val="001412FA"/>
    <w:rsid w:val="001424C9"/>
    <w:rsid w:val="0014478F"/>
    <w:rsid w:val="0014757E"/>
    <w:rsid w:val="0015020A"/>
    <w:rsid w:val="00150F57"/>
    <w:rsid w:val="001521C0"/>
    <w:rsid w:val="0015265D"/>
    <w:rsid w:val="00153D42"/>
    <w:rsid w:val="00154CAE"/>
    <w:rsid w:val="001559C0"/>
    <w:rsid w:val="001559C8"/>
    <w:rsid w:val="00155E77"/>
    <w:rsid w:val="00156C95"/>
    <w:rsid w:val="001576DA"/>
    <w:rsid w:val="001579F9"/>
    <w:rsid w:val="00157E78"/>
    <w:rsid w:val="001605F1"/>
    <w:rsid w:val="00162EB4"/>
    <w:rsid w:val="00164876"/>
    <w:rsid w:val="00165641"/>
    <w:rsid w:val="0016608C"/>
    <w:rsid w:val="001662B2"/>
    <w:rsid w:val="00166969"/>
    <w:rsid w:val="00167AE1"/>
    <w:rsid w:val="00167E6C"/>
    <w:rsid w:val="0017103C"/>
    <w:rsid w:val="00174DEB"/>
    <w:rsid w:val="00174F1F"/>
    <w:rsid w:val="00181095"/>
    <w:rsid w:val="00181260"/>
    <w:rsid w:val="001832AA"/>
    <w:rsid w:val="00183778"/>
    <w:rsid w:val="00183C3B"/>
    <w:rsid w:val="0018407D"/>
    <w:rsid w:val="00184A52"/>
    <w:rsid w:val="00186FB7"/>
    <w:rsid w:val="00191809"/>
    <w:rsid w:val="00192615"/>
    <w:rsid w:val="0019411C"/>
    <w:rsid w:val="00194DF0"/>
    <w:rsid w:val="001958A4"/>
    <w:rsid w:val="001A0A88"/>
    <w:rsid w:val="001A47FC"/>
    <w:rsid w:val="001A4945"/>
    <w:rsid w:val="001A4F68"/>
    <w:rsid w:val="001A66E2"/>
    <w:rsid w:val="001A67E5"/>
    <w:rsid w:val="001A72EA"/>
    <w:rsid w:val="001A7357"/>
    <w:rsid w:val="001B0495"/>
    <w:rsid w:val="001B18BD"/>
    <w:rsid w:val="001B34C3"/>
    <w:rsid w:val="001B45E9"/>
    <w:rsid w:val="001B4C74"/>
    <w:rsid w:val="001B518E"/>
    <w:rsid w:val="001B7210"/>
    <w:rsid w:val="001B7813"/>
    <w:rsid w:val="001B7DA1"/>
    <w:rsid w:val="001B7FBF"/>
    <w:rsid w:val="001C13D5"/>
    <w:rsid w:val="001C2578"/>
    <w:rsid w:val="001C35BC"/>
    <w:rsid w:val="001C3629"/>
    <w:rsid w:val="001C3969"/>
    <w:rsid w:val="001C5723"/>
    <w:rsid w:val="001C6780"/>
    <w:rsid w:val="001C6CC9"/>
    <w:rsid w:val="001D0D74"/>
    <w:rsid w:val="001D194A"/>
    <w:rsid w:val="001D1A19"/>
    <w:rsid w:val="001D1E8B"/>
    <w:rsid w:val="001D2197"/>
    <w:rsid w:val="001D2CE8"/>
    <w:rsid w:val="001D4E3A"/>
    <w:rsid w:val="001D7283"/>
    <w:rsid w:val="001E06D6"/>
    <w:rsid w:val="001E08A1"/>
    <w:rsid w:val="001E12D7"/>
    <w:rsid w:val="001E2143"/>
    <w:rsid w:val="001E2BAE"/>
    <w:rsid w:val="001E4D51"/>
    <w:rsid w:val="001E59D8"/>
    <w:rsid w:val="001E72B4"/>
    <w:rsid w:val="001E7EFF"/>
    <w:rsid w:val="001F0729"/>
    <w:rsid w:val="001F1120"/>
    <w:rsid w:val="001F3210"/>
    <w:rsid w:val="001F4913"/>
    <w:rsid w:val="001F4E0B"/>
    <w:rsid w:val="001F52CD"/>
    <w:rsid w:val="001F5CD9"/>
    <w:rsid w:val="00200AE5"/>
    <w:rsid w:val="0020278D"/>
    <w:rsid w:val="002030EC"/>
    <w:rsid w:val="00203561"/>
    <w:rsid w:val="00204389"/>
    <w:rsid w:val="002063C9"/>
    <w:rsid w:val="00206CC1"/>
    <w:rsid w:val="00206DAA"/>
    <w:rsid w:val="00206FB5"/>
    <w:rsid w:val="0020783F"/>
    <w:rsid w:val="00207F3B"/>
    <w:rsid w:val="002103CB"/>
    <w:rsid w:val="0021078C"/>
    <w:rsid w:val="0021096A"/>
    <w:rsid w:val="00211BCE"/>
    <w:rsid w:val="00211FE1"/>
    <w:rsid w:val="002136D7"/>
    <w:rsid w:val="00213EBF"/>
    <w:rsid w:val="00214688"/>
    <w:rsid w:val="00214E4E"/>
    <w:rsid w:val="00214F40"/>
    <w:rsid w:val="00216172"/>
    <w:rsid w:val="00217A65"/>
    <w:rsid w:val="00217B11"/>
    <w:rsid w:val="00217B95"/>
    <w:rsid w:val="00217C43"/>
    <w:rsid w:val="00217E5E"/>
    <w:rsid w:val="002215E6"/>
    <w:rsid w:val="00221CF0"/>
    <w:rsid w:val="0022256B"/>
    <w:rsid w:val="00223060"/>
    <w:rsid w:val="00224F94"/>
    <w:rsid w:val="00225D6F"/>
    <w:rsid w:val="00225F64"/>
    <w:rsid w:val="0022671E"/>
    <w:rsid w:val="0022769E"/>
    <w:rsid w:val="00231EE9"/>
    <w:rsid w:val="00232E3A"/>
    <w:rsid w:val="00233714"/>
    <w:rsid w:val="00236117"/>
    <w:rsid w:val="00236966"/>
    <w:rsid w:val="00237930"/>
    <w:rsid w:val="00237C0F"/>
    <w:rsid w:val="002410C4"/>
    <w:rsid w:val="0024152B"/>
    <w:rsid w:val="002438A9"/>
    <w:rsid w:val="00244860"/>
    <w:rsid w:val="002455D1"/>
    <w:rsid w:val="00247621"/>
    <w:rsid w:val="002511A8"/>
    <w:rsid w:val="00252865"/>
    <w:rsid w:val="00252FD4"/>
    <w:rsid w:val="002542CF"/>
    <w:rsid w:val="00254C42"/>
    <w:rsid w:val="00254C96"/>
    <w:rsid w:val="002556B8"/>
    <w:rsid w:val="0025645D"/>
    <w:rsid w:val="00257A03"/>
    <w:rsid w:val="0026060A"/>
    <w:rsid w:val="002612DA"/>
    <w:rsid w:val="00264E7D"/>
    <w:rsid w:val="00265444"/>
    <w:rsid w:val="002655B6"/>
    <w:rsid w:val="002661D6"/>
    <w:rsid w:val="00266412"/>
    <w:rsid w:val="00267741"/>
    <w:rsid w:val="002677FB"/>
    <w:rsid w:val="00271E75"/>
    <w:rsid w:val="00272836"/>
    <w:rsid w:val="0027313F"/>
    <w:rsid w:val="00273987"/>
    <w:rsid w:val="00274170"/>
    <w:rsid w:val="00274BD0"/>
    <w:rsid w:val="0027543B"/>
    <w:rsid w:val="00276AD7"/>
    <w:rsid w:val="0027705A"/>
    <w:rsid w:val="0027773B"/>
    <w:rsid w:val="00277EC8"/>
    <w:rsid w:val="0028128B"/>
    <w:rsid w:val="00282278"/>
    <w:rsid w:val="00282758"/>
    <w:rsid w:val="00282EF2"/>
    <w:rsid w:val="0028320F"/>
    <w:rsid w:val="00284007"/>
    <w:rsid w:val="00284EA2"/>
    <w:rsid w:val="00285696"/>
    <w:rsid w:val="002917EF"/>
    <w:rsid w:val="00292A8F"/>
    <w:rsid w:val="00293EF8"/>
    <w:rsid w:val="0029404A"/>
    <w:rsid w:val="00294E6D"/>
    <w:rsid w:val="00295D05"/>
    <w:rsid w:val="002963D7"/>
    <w:rsid w:val="00296D62"/>
    <w:rsid w:val="002A173D"/>
    <w:rsid w:val="002A1DAD"/>
    <w:rsid w:val="002A239A"/>
    <w:rsid w:val="002A3A66"/>
    <w:rsid w:val="002A3D9A"/>
    <w:rsid w:val="002A3F4F"/>
    <w:rsid w:val="002A4343"/>
    <w:rsid w:val="002A465A"/>
    <w:rsid w:val="002A5B99"/>
    <w:rsid w:val="002A76AA"/>
    <w:rsid w:val="002A79C1"/>
    <w:rsid w:val="002B01F1"/>
    <w:rsid w:val="002B07A2"/>
    <w:rsid w:val="002B1F1B"/>
    <w:rsid w:val="002B2A91"/>
    <w:rsid w:val="002B2C86"/>
    <w:rsid w:val="002B3857"/>
    <w:rsid w:val="002B759F"/>
    <w:rsid w:val="002B7922"/>
    <w:rsid w:val="002C0445"/>
    <w:rsid w:val="002C11BD"/>
    <w:rsid w:val="002C11FB"/>
    <w:rsid w:val="002C2BA1"/>
    <w:rsid w:val="002C3525"/>
    <w:rsid w:val="002C368A"/>
    <w:rsid w:val="002C4303"/>
    <w:rsid w:val="002C7C42"/>
    <w:rsid w:val="002D0A69"/>
    <w:rsid w:val="002D23D4"/>
    <w:rsid w:val="002D2944"/>
    <w:rsid w:val="002D3052"/>
    <w:rsid w:val="002D3995"/>
    <w:rsid w:val="002D7519"/>
    <w:rsid w:val="002D7B2D"/>
    <w:rsid w:val="002E06B5"/>
    <w:rsid w:val="002E0793"/>
    <w:rsid w:val="002E23AE"/>
    <w:rsid w:val="002E3026"/>
    <w:rsid w:val="002E3A03"/>
    <w:rsid w:val="002E4196"/>
    <w:rsid w:val="002E549A"/>
    <w:rsid w:val="002E584C"/>
    <w:rsid w:val="002E5F37"/>
    <w:rsid w:val="002E731B"/>
    <w:rsid w:val="002E771B"/>
    <w:rsid w:val="002F0E60"/>
    <w:rsid w:val="002F0E97"/>
    <w:rsid w:val="002F15F4"/>
    <w:rsid w:val="002F1CC7"/>
    <w:rsid w:val="002F28CA"/>
    <w:rsid w:val="002F395D"/>
    <w:rsid w:val="002F3BAE"/>
    <w:rsid w:val="002F43B4"/>
    <w:rsid w:val="002F78F2"/>
    <w:rsid w:val="002F7BD9"/>
    <w:rsid w:val="0030082B"/>
    <w:rsid w:val="00300CA8"/>
    <w:rsid w:val="00302516"/>
    <w:rsid w:val="00302F69"/>
    <w:rsid w:val="0030436E"/>
    <w:rsid w:val="00304CB5"/>
    <w:rsid w:val="00305ED8"/>
    <w:rsid w:val="00305EF9"/>
    <w:rsid w:val="00306488"/>
    <w:rsid w:val="00307A98"/>
    <w:rsid w:val="00307E24"/>
    <w:rsid w:val="00311912"/>
    <w:rsid w:val="00313915"/>
    <w:rsid w:val="0031399E"/>
    <w:rsid w:val="003140FD"/>
    <w:rsid w:val="00315484"/>
    <w:rsid w:val="00315D00"/>
    <w:rsid w:val="00315ED5"/>
    <w:rsid w:val="00316717"/>
    <w:rsid w:val="00317E72"/>
    <w:rsid w:val="00320936"/>
    <w:rsid w:val="00321652"/>
    <w:rsid w:val="00323FD2"/>
    <w:rsid w:val="00324640"/>
    <w:rsid w:val="0032539B"/>
    <w:rsid w:val="00325479"/>
    <w:rsid w:val="003261B1"/>
    <w:rsid w:val="00326869"/>
    <w:rsid w:val="003318A2"/>
    <w:rsid w:val="0033288E"/>
    <w:rsid w:val="00332E54"/>
    <w:rsid w:val="00333B0B"/>
    <w:rsid w:val="003342FC"/>
    <w:rsid w:val="003350CB"/>
    <w:rsid w:val="0033525D"/>
    <w:rsid w:val="00335560"/>
    <w:rsid w:val="003365A2"/>
    <w:rsid w:val="003365D5"/>
    <w:rsid w:val="00337CDD"/>
    <w:rsid w:val="003400EF"/>
    <w:rsid w:val="00341BBE"/>
    <w:rsid w:val="00342A5F"/>
    <w:rsid w:val="0034373A"/>
    <w:rsid w:val="00345510"/>
    <w:rsid w:val="00345748"/>
    <w:rsid w:val="00345828"/>
    <w:rsid w:val="00346B3A"/>
    <w:rsid w:val="00347BA4"/>
    <w:rsid w:val="0035081F"/>
    <w:rsid w:val="00352B3D"/>
    <w:rsid w:val="00353B1D"/>
    <w:rsid w:val="003542F9"/>
    <w:rsid w:val="0035785E"/>
    <w:rsid w:val="00361F6C"/>
    <w:rsid w:val="00363983"/>
    <w:rsid w:val="00364A9E"/>
    <w:rsid w:val="0036597D"/>
    <w:rsid w:val="00365B4A"/>
    <w:rsid w:val="003667C7"/>
    <w:rsid w:val="00367690"/>
    <w:rsid w:val="00367D7B"/>
    <w:rsid w:val="0037032D"/>
    <w:rsid w:val="00370337"/>
    <w:rsid w:val="00370513"/>
    <w:rsid w:val="00371E58"/>
    <w:rsid w:val="003728C3"/>
    <w:rsid w:val="00372B8E"/>
    <w:rsid w:val="00373CDA"/>
    <w:rsid w:val="00373E1E"/>
    <w:rsid w:val="00375158"/>
    <w:rsid w:val="003763B9"/>
    <w:rsid w:val="00376C0A"/>
    <w:rsid w:val="00377591"/>
    <w:rsid w:val="003776C1"/>
    <w:rsid w:val="003823CF"/>
    <w:rsid w:val="00386700"/>
    <w:rsid w:val="00387B48"/>
    <w:rsid w:val="00391FFB"/>
    <w:rsid w:val="00392082"/>
    <w:rsid w:val="003931CF"/>
    <w:rsid w:val="00393DCB"/>
    <w:rsid w:val="0039431A"/>
    <w:rsid w:val="0039505A"/>
    <w:rsid w:val="00395576"/>
    <w:rsid w:val="0039583C"/>
    <w:rsid w:val="00395A36"/>
    <w:rsid w:val="00396475"/>
    <w:rsid w:val="00397ADE"/>
    <w:rsid w:val="003A0A5B"/>
    <w:rsid w:val="003A0DDD"/>
    <w:rsid w:val="003A1E08"/>
    <w:rsid w:val="003A2726"/>
    <w:rsid w:val="003A29B4"/>
    <w:rsid w:val="003A2EAF"/>
    <w:rsid w:val="003A3695"/>
    <w:rsid w:val="003A3EBA"/>
    <w:rsid w:val="003A4BEC"/>
    <w:rsid w:val="003A4D53"/>
    <w:rsid w:val="003A4DF6"/>
    <w:rsid w:val="003A6092"/>
    <w:rsid w:val="003A6C0F"/>
    <w:rsid w:val="003B01DA"/>
    <w:rsid w:val="003B051D"/>
    <w:rsid w:val="003B0A07"/>
    <w:rsid w:val="003B0F1B"/>
    <w:rsid w:val="003B105B"/>
    <w:rsid w:val="003B2BC7"/>
    <w:rsid w:val="003B313E"/>
    <w:rsid w:val="003B3681"/>
    <w:rsid w:val="003B4B97"/>
    <w:rsid w:val="003B4E44"/>
    <w:rsid w:val="003B57F7"/>
    <w:rsid w:val="003B776F"/>
    <w:rsid w:val="003C1216"/>
    <w:rsid w:val="003C13B6"/>
    <w:rsid w:val="003C531A"/>
    <w:rsid w:val="003C5809"/>
    <w:rsid w:val="003C6998"/>
    <w:rsid w:val="003C7692"/>
    <w:rsid w:val="003C76B0"/>
    <w:rsid w:val="003D212D"/>
    <w:rsid w:val="003D27C8"/>
    <w:rsid w:val="003D2FF1"/>
    <w:rsid w:val="003D342B"/>
    <w:rsid w:val="003D3C99"/>
    <w:rsid w:val="003D4236"/>
    <w:rsid w:val="003D4AC2"/>
    <w:rsid w:val="003D5A0F"/>
    <w:rsid w:val="003D6860"/>
    <w:rsid w:val="003D688F"/>
    <w:rsid w:val="003D701E"/>
    <w:rsid w:val="003D7B31"/>
    <w:rsid w:val="003E01A5"/>
    <w:rsid w:val="003E1AFE"/>
    <w:rsid w:val="003E1BE1"/>
    <w:rsid w:val="003E2C79"/>
    <w:rsid w:val="003E3057"/>
    <w:rsid w:val="003E361E"/>
    <w:rsid w:val="003E37F3"/>
    <w:rsid w:val="003E7D3A"/>
    <w:rsid w:val="003E7ED5"/>
    <w:rsid w:val="003E7F24"/>
    <w:rsid w:val="003F00BB"/>
    <w:rsid w:val="003F0412"/>
    <w:rsid w:val="003F04C4"/>
    <w:rsid w:val="003F0EC0"/>
    <w:rsid w:val="003F0FC2"/>
    <w:rsid w:val="003F1132"/>
    <w:rsid w:val="003F1C33"/>
    <w:rsid w:val="003F1F4F"/>
    <w:rsid w:val="003F2A76"/>
    <w:rsid w:val="003F320F"/>
    <w:rsid w:val="003F4189"/>
    <w:rsid w:val="003F42CC"/>
    <w:rsid w:val="003F618F"/>
    <w:rsid w:val="00400271"/>
    <w:rsid w:val="00400548"/>
    <w:rsid w:val="0040231B"/>
    <w:rsid w:val="0040267A"/>
    <w:rsid w:val="00402BF3"/>
    <w:rsid w:val="00404FDB"/>
    <w:rsid w:val="004060B3"/>
    <w:rsid w:val="00406446"/>
    <w:rsid w:val="004075DB"/>
    <w:rsid w:val="00410691"/>
    <w:rsid w:val="004109C7"/>
    <w:rsid w:val="004110A2"/>
    <w:rsid w:val="00411E56"/>
    <w:rsid w:val="00411FAA"/>
    <w:rsid w:val="00412CC2"/>
    <w:rsid w:val="00413E4C"/>
    <w:rsid w:val="0041457F"/>
    <w:rsid w:val="00414977"/>
    <w:rsid w:val="00414F34"/>
    <w:rsid w:val="00415DE6"/>
    <w:rsid w:val="00416897"/>
    <w:rsid w:val="00416D47"/>
    <w:rsid w:val="004179F0"/>
    <w:rsid w:val="004205EB"/>
    <w:rsid w:val="004212CA"/>
    <w:rsid w:val="0042254E"/>
    <w:rsid w:val="0042284A"/>
    <w:rsid w:val="0042462A"/>
    <w:rsid w:val="00424DB0"/>
    <w:rsid w:val="004271D4"/>
    <w:rsid w:val="0043030B"/>
    <w:rsid w:val="00433A4D"/>
    <w:rsid w:val="00433F06"/>
    <w:rsid w:val="00434BA9"/>
    <w:rsid w:val="00434CAF"/>
    <w:rsid w:val="00435089"/>
    <w:rsid w:val="00435449"/>
    <w:rsid w:val="00435C7F"/>
    <w:rsid w:val="0043695F"/>
    <w:rsid w:val="00437019"/>
    <w:rsid w:val="00441575"/>
    <w:rsid w:val="00442137"/>
    <w:rsid w:val="0044216F"/>
    <w:rsid w:val="004445AA"/>
    <w:rsid w:val="00444929"/>
    <w:rsid w:val="00446C7C"/>
    <w:rsid w:val="004472FF"/>
    <w:rsid w:val="00447CDC"/>
    <w:rsid w:val="00450976"/>
    <w:rsid w:val="00451189"/>
    <w:rsid w:val="0045119A"/>
    <w:rsid w:val="004515AB"/>
    <w:rsid w:val="00451D0C"/>
    <w:rsid w:val="00452CF6"/>
    <w:rsid w:val="00454D06"/>
    <w:rsid w:val="00454F20"/>
    <w:rsid w:val="004555B0"/>
    <w:rsid w:val="00455877"/>
    <w:rsid w:val="00456349"/>
    <w:rsid w:val="0045793F"/>
    <w:rsid w:val="004611D1"/>
    <w:rsid w:val="0046222D"/>
    <w:rsid w:val="00463F62"/>
    <w:rsid w:val="004643D4"/>
    <w:rsid w:val="00465FE1"/>
    <w:rsid w:val="0046666B"/>
    <w:rsid w:val="00466AFD"/>
    <w:rsid w:val="0046722D"/>
    <w:rsid w:val="00471B8A"/>
    <w:rsid w:val="00472DB2"/>
    <w:rsid w:val="004731EE"/>
    <w:rsid w:val="004739C7"/>
    <w:rsid w:val="004742F8"/>
    <w:rsid w:val="0047494D"/>
    <w:rsid w:val="00476347"/>
    <w:rsid w:val="00477B83"/>
    <w:rsid w:val="00480575"/>
    <w:rsid w:val="00480F90"/>
    <w:rsid w:val="00481770"/>
    <w:rsid w:val="00482EC7"/>
    <w:rsid w:val="00483003"/>
    <w:rsid w:val="004870A7"/>
    <w:rsid w:val="00487697"/>
    <w:rsid w:val="004900AF"/>
    <w:rsid w:val="004902E4"/>
    <w:rsid w:val="0049096E"/>
    <w:rsid w:val="004917D8"/>
    <w:rsid w:val="00492409"/>
    <w:rsid w:val="0049325D"/>
    <w:rsid w:val="0049446A"/>
    <w:rsid w:val="00495156"/>
    <w:rsid w:val="00496977"/>
    <w:rsid w:val="00496CCE"/>
    <w:rsid w:val="004A07B1"/>
    <w:rsid w:val="004A2848"/>
    <w:rsid w:val="004A3AFD"/>
    <w:rsid w:val="004A3DB9"/>
    <w:rsid w:val="004A3ECF"/>
    <w:rsid w:val="004A49D6"/>
    <w:rsid w:val="004A54A0"/>
    <w:rsid w:val="004A790B"/>
    <w:rsid w:val="004B05CA"/>
    <w:rsid w:val="004B13D7"/>
    <w:rsid w:val="004B1533"/>
    <w:rsid w:val="004B157B"/>
    <w:rsid w:val="004B43FB"/>
    <w:rsid w:val="004B4B6D"/>
    <w:rsid w:val="004B4E35"/>
    <w:rsid w:val="004B4FCB"/>
    <w:rsid w:val="004B4FE8"/>
    <w:rsid w:val="004B6C9E"/>
    <w:rsid w:val="004B7B4E"/>
    <w:rsid w:val="004C0196"/>
    <w:rsid w:val="004C2DDF"/>
    <w:rsid w:val="004C43F1"/>
    <w:rsid w:val="004C4AEF"/>
    <w:rsid w:val="004D1140"/>
    <w:rsid w:val="004D2F2B"/>
    <w:rsid w:val="004D3C4F"/>
    <w:rsid w:val="004D42AC"/>
    <w:rsid w:val="004D5B9C"/>
    <w:rsid w:val="004D5F83"/>
    <w:rsid w:val="004D715A"/>
    <w:rsid w:val="004E0012"/>
    <w:rsid w:val="004E1BCE"/>
    <w:rsid w:val="004E38A6"/>
    <w:rsid w:val="004E4638"/>
    <w:rsid w:val="004E46F4"/>
    <w:rsid w:val="004E47EE"/>
    <w:rsid w:val="004E5302"/>
    <w:rsid w:val="004E53FA"/>
    <w:rsid w:val="004E5C9C"/>
    <w:rsid w:val="004E6D03"/>
    <w:rsid w:val="004E6DB5"/>
    <w:rsid w:val="004F0AE5"/>
    <w:rsid w:val="004F177B"/>
    <w:rsid w:val="004F1C67"/>
    <w:rsid w:val="004F3233"/>
    <w:rsid w:val="004F4884"/>
    <w:rsid w:val="004F6EFF"/>
    <w:rsid w:val="00502F8D"/>
    <w:rsid w:val="00503514"/>
    <w:rsid w:val="00504598"/>
    <w:rsid w:val="0050495F"/>
    <w:rsid w:val="00504D88"/>
    <w:rsid w:val="00504F55"/>
    <w:rsid w:val="00505A91"/>
    <w:rsid w:val="00506C14"/>
    <w:rsid w:val="00507482"/>
    <w:rsid w:val="005074B0"/>
    <w:rsid w:val="00507C6E"/>
    <w:rsid w:val="005104B3"/>
    <w:rsid w:val="0051059F"/>
    <w:rsid w:val="005129A8"/>
    <w:rsid w:val="00512BC4"/>
    <w:rsid w:val="00512FFB"/>
    <w:rsid w:val="0051352D"/>
    <w:rsid w:val="005141A2"/>
    <w:rsid w:val="00514484"/>
    <w:rsid w:val="00514E43"/>
    <w:rsid w:val="005157B4"/>
    <w:rsid w:val="00515F61"/>
    <w:rsid w:val="00515FF2"/>
    <w:rsid w:val="00517216"/>
    <w:rsid w:val="005172B9"/>
    <w:rsid w:val="005177DB"/>
    <w:rsid w:val="00520EF3"/>
    <w:rsid w:val="0052166B"/>
    <w:rsid w:val="00521850"/>
    <w:rsid w:val="00522097"/>
    <w:rsid w:val="00522D7A"/>
    <w:rsid w:val="005234D2"/>
    <w:rsid w:val="005239B9"/>
    <w:rsid w:val="00523A6F"/>
    <w:rsid w:val="0052430D"/>
    <w:rsid w:val="005244BA"/>
    <w:rsid w:val="00524DA6"/>
    <w:rsid w:val="00524F9C"/>
    <w:rsid w:val="00524FCD"/>
    <w:rsid w:val="00525BC8"/>
    <w:rsid w:val="00525D69"/>
    <w:rsid w:val="00525E39"/>
    <w:rsid w:val="00526045"/>
    <w:rsid w:val="00526200"/>
    <w:rsid w:val="005263A7"/>
    <w:rsid w:val="00530545"/>
    <w:rsid w:val="005312C5"/>
    <w:rsid w:val="00531576"/>
    <w:rsid w:val="00531C30"/>
    <w:rsid w:val="00531D8F"/>
    <w:rsid w:val="005320C9"/>
    <w:rsid w:val="00532208"/>
    <w:rsid w:val="005335EE"/>
    <w:rsid w:val="0053363E"/>
    <w:rsid w:val="00534A78"/>
    <w:rsid w:val="00535461"/>
    <w:rsid w:val="00535AD5"/>
    <w:rsid w:val="00536465"/>
    <w:rsid w:val="0053664F"/>
    <w:rsid w:val="00536975"/>
    <w:rsid w:val="00536B26"/>
    <w:rsid w:val="0053717A"/>
    <w:rsid w:val="00540604"/>
    <w:rsid w:val="005412E6"/>
    <w:rsid w:val="005457DE"/>
    <w:rsid w:val="00545AA1"/>
    <w:rsid w:val="005461AA"/>
    <w:rsid w:val="00546DFD"/>
    <w:rsid w:val="00547121"/>
    <w:rsid w:val="00547E42"/>
    <w:rsid w:val="00551B68"/>
    <w:rsid w:val="00552096"/>
    <w:rsid w:val="00553412"/>
    <w:rsid w:val="00553F47"/>
    <w:rsid w:val="00555DBE"/>
    <w:rsid w:val="005568D3"/>
    <w:rsid w:val="00556CCE"/>
    <w:rsid w:val="0055721B"/>
    <w:rsid w:val="00557367"/>
    <w:rsid w:val="005601E2"/>
    <w:rsid w:val="00560598"/>
    <w:rsid w:val="00560F17"/>
    <w:rsid w:val="00562209"/>
    <w:rsid w:val="0056499E"/>
    <w:rsid w:val="00564DCB"/>
    <w:rsid w:val="00564F24"/>
    <w:rsid w:val="00566FDD"/>
    <w:rsid w:val="005704FC"/>
    <w:rsid w:val="00570A21"/>
    <w:rsid w:val="00572AF9"/>
    <w:rsid w:val="00572DB7"/>
    <w:rsid w:val="005747BA"/>
    <w:rsid w:val="00575A33"/>
    <w:rsid w:val="00575AFB"/>
    <w:rsid w:val="00576236"/>
    <w:rsid w:val="00576AA2"/>
    <w:rsid w:val="0057708C"/>
    <w:rsid w:val="00577711"/>
    <w:rsid w:val="00577F62"/>
    <w:rsid w:val="005808A3"/>
    <w:rsid w:val="00581106"/>
    <w:rsid w:val="00581894"/>
    <w:rsid w:val="00582AF4"/>
    <w:rsid w:val="005836AC"/>
    <w:rsid w:val="00590C46"/>
    <w:rsid w:val="00590CB3"/>
    <w:rsid w:val="00591BC5"/>
    <w:rsid w:val="00593DFB"/>
    <w:rsid w:val="00594CAF"/>
    <w:rsid w:val="005A0227"/>
    <w:rsid w:val="005A094D"/>
    <w:rsid w:val="005A097E"/>
    <w:rsid w:val="005A0A1F"/>
    <w:rsid w:val="005A248D"/>
    <w:rsid w:val="005A601D"/>
    <w:rsid w:val="005A618A"/>
    <w:rsid w:val="005A7AF1"/>
    <w:rsid w:val="005B1C28"/>
    <w:rsid w:val="005B3117"/>
    <w:rsid w:val="005B32E7"/>
    <w:rsid w:val="005B3453"/>
    <w:rsid w:val="005B369E"/>
    <w:rsid w:val="005B3EE2"/>
    <w:rsid w:val="005B4732"/>
    <w:rsid w:val="005B4A0B"/>
    <w:rsid w:val="005B4B53"/>
    <w:rsid w:val="005B4E16"/>
    <w:rsid w:val="005B6605"/>
    <w:rsid w:val="005C0436"/>
    <w:rsid w:val="005C046F"/>
    <w:rsid w:val="005C1A97"/>
    <w:rsid w:val="005C1AAF"/>
    <w:rsid w:val="005C2024"/>
    <w:rsid w:val="005C26A8"/>
    <w:rsid w:val="005C2F40"/>
    <w:rsid w:val="005C352A"/>
    <w:rsid w:val="005C67DA"/>
    <w:rsid w:val="005D1157"/>
    <w:rsid w:val="005D2197"/>
    <w:rsid w:val="005D2487"/>
    <w:rsid w:val="005D395B"/>
    <w:rsid w:val="005D3EFC"/>
    <w:rsid w:val="005D6561"/>
    <w:rsid w:val="005D6632"/>
    <w:rsid w:val="005D698A"/>
    <w:rsid w:val="005D7706"/>
    <w:rsid w:val="005E02FC"/>
    <w:rsid w:val="005E0D84"/>
    <w:rsid w:val="005E1A78"/>
    <w:rsid w:val="005E31C2"/>
    <w:rsid w:val="005E3895"/>
    <w:rsid w:val="005E3B8B"/>
    <w:rsid w:val="005E4325"/>
    <w:rsid w:val="005E6AF7"/>
    <w:rsid w:val="005F2150"/>
    <w:rsid w:val="005F4694"/>
    <w:rsid w:val="005F57DC"/>
    <w:rsid w:val="005F5893"/>
    <w:rsid w:val="005F5BFB"/>
    <w:rsid w:val="005F5DCB"/>
    <w:rsid w:val="005F7E18"/>
    <w:rsid w:val="0060105D"/>
    <w:rsid w:val="00602DC5"/>
    <w:rsid w:val="00603169"/>
    <w:rsid w:val="00604701"/>
    <w:rsid w:val="00605219"/>
    <w:rsid w:val="0060610A"/>
    <w:rsid w:val="00607510"/>
    <w:rsid w:val="00610712"/>
    <w:rsid w:val="00610B88"/>
    <w:rsid w:val="00610C8F"/>
    <w:rsid w:val="00612538"/>
    <w:rsid w:val="0061475D"/>
    <w:rsid w:val="00615031"/>
    <w:rsid w:val="00617841"/>
    <w:rsid w:val="00622E07"/>
    <w:rsid w:val="006242A3"/>
    <w:rsid w:val="00625416"/>
    <w:rsid w:val="006255E0"/>
    <w:rsid w:val="00625A0B"/>
    <w:rsid w:val="00625BCB"/>
    <w:rsid w:val="00626466"/>
    <w:rsid w:val="00626E13"/>
    <w:rsid w:val="00630373"/>
    <w:rsid w:val="00630ACE"/>
    <w:rsid w:val="006324DE"/>
    <w:rsid w:val="00633E10"/>
    <w:rsid w:val="00634712"/>
    <w:rsid w:val="00635402"/>
    <w:rsid w:val="0063672E"/>
    <w:rsid w:val="006371AA"/>
    <w:rsid w:val="0063776D"/>
    <w:rsid w:val="00640D59"/>
    <w:rsid w:val="006413ED"/>
    <w:rsid w:val="00641945"/>
    <w:rsid w:val="0064297C"/>
    <w:rsid w:val="00643B81"/>
    <w:rsid w:val="00644EDB"/>
    <w:rsid w:val="006456E5"/>
    <w:rsid w:val="00646260"/>
    <w:rsid w:val="00647F6A"/>
    <w:rsid w:val="00650210"/>
    <w:rsid w:val="00650310"/>
    <w:rsid w:val="00652D56"/>
    <w:rsid w:val="006530F1"/>
    <w:rsid w:val="00653BA7"/>
    <w:rsid w:val="00654750"/>
    <w:rsid w:val="00654885"/>
    <w:rsid w:val="006560CE"/>
    <w:rsid w:val="0065626C"/>
    <w:rsid w:val="00656844"/>
    <w:rsid w:val="0065688A"/>
    <w:rsid w:val="0065694E"/>
    <w:rsid w:val="006579FA"/>
    <w:rsid w:val="00657FB2"/>
    <w:rsid w:val="006602B3"/>
    <w:rsid w:val="00661AFD"/>
    <w:rsid w:val="00661CA8"/>
    <w:rsid w:val="00661F57"/>
    <w:rsid w:val="00664388"/>
    <w:rsid w:val="00666FB0"/>
    <w:rsid w:val="006679D8"/>
    <w:rsid w:val="00667F85"/>
    <w:rsid w:val="00670D0F"/>
    <w:rsid w:val="00673428"/>
    <w:rsid w:val="0067391C"/>
    <w:rsid w:val="0067440A"/>
    <w:rsid w:val="00674CEA"/>
    <w:rsid w:val="0067553B"/>
    <w:rsid w:val="00675DCF"/>
    <w:rsid w:val="00675FA1"/>
    <w:rsid w:val="006764BA"/>
    <w:rsid w:val="00676CD9"/>
    <w:rsid w:val="006772F7"/>
    <w:rsid w:val="006776D5"/>
    <w:rsid w:val="006809C7"/>
    <w:rsid w:val="00680B39"/>
    <w:rsid w:val="00681913"/>
    <w:rsid w:val="006819BB"/>
    <w:rsid w:val="00681AD7"/>
    <w:rsid w:val="00681B6A"/>
    <w:rsid w:val="00681F00"/>
    <w:rsid w:val="00682601"/>
    <w:rsid w:val="00683FE9"/>
    <w:rsid w:val="00684EDB"/>
    <w:rsid w:val="00685175"/>
    <w:rsid w:val="00685BBC"/>
    <w:rsid w:val="00687075"/>
    <w:rsid w:val="0069003E"/>
    <w:rsid w:val="006901AC"/>
    <w:rsid w:val="00690E87"/>
    <w:rsid w:val="0069301C"/>
    <w:rsid w:val="00694C56"/>
    <w:rsid w:val="00695026"/>
    <w:rsid w:val="00696E9C"/>
    <w:rsid w:val="006975CB"/>
    <w:rsid w:val="00697BD8"/>
    <w:rsid w:val="006A01AE"/>
    <w:rsid w:val="006A07F2"/>
    <w:rsid w:val="006A0BE8"/>
    <w:rsid w:val="006A17C6"/>
    <w:rsid w:val="006A1A03"/>
    <w:rsid w:val="006A3DAD"/>
    <w:rsid w:val="006A529D"/>
    <w:rsid w:val="006A635E"/>
    <w:rsid w:val="006A63ED"/>
    <w:rsid w:val="006A6A87"/>
    <w:rsid w:val="006B0BC8"/>
    <w:rsid w:val="006B1747"/>
    <w:rsid w:val="006B236E"/>
    <w:rsid w:val="006B3A6B"/>
    <w:rsid w:val="006B48DC"/>
    <w:rsid w:val="006B5168"/>
    <w:rsid w:val="006B528E"/>
    <w:rsid w:val="006B5ED5"/>
    <w:rsid w:val="006C0747"/>
    <w:rsid w:val="006C093C"/>
    <w:rsid w:val="006C0AF1"/>
    <w:rsid w:val="006C15FA"/>
    <w:rsid w:val="006C1F48"/>
    <w:rsid w:val="006C2A08"/>
    <w:rsid w:val="006C5114"/>
    <w:rsid w:val="006C5501"/>
    <w:rsid w:val="006C5E50"/>
    <w:rsid w:val="006C6432"/>
    <w:rsid w:val="006D139D"/>
    <w:rsid w:val="006D1510"/>
    <w:rsid w:val="006D1C56"/>
    <w:rsid w:val="006D2547"/>
    <w:rsid w:val="006D45E1"/>
    <w:rsid w:val="006D722C"/>
    <w:rsid w:val="006D74D6"/>
    <w:rsid w:val="006D75D6"/>
    <w:rsid w:val="006E16B9"/>
    <w:rsid w:val="006E1ECD"/>
    <w:rsid w:val="006E27CF"/>
    <w:rsid w:val="006E2E1B"/>
    <w:rsid w:val="006E4745"/>
    <w:rsid w:val="006E52DC"/>
    <w:rsid w:val="006E5B70"/>
    <w:rsid w:val="006E669E"/>
    <w:rsid w:val="006E6974"/>
    <w:rsid w:val="006E6C0F"/>
    <w:rsid w:val="006E6C32"/>
    <w:rsid w:val="006E7228"/>
    <w:rsid w:val="006E7FFD"/>
    <w:rsid w:val="006F2806"/>
    <w:rsid w:val="006F427B"/>
    <w:rsid w:val="006F5A29"/>
    <w:rsid w:val="006F5B09"/>
    <w:rsid w:val="006F6D09"/>
    <w:rsid w:val="006F7AAF"/>
    <w:rsid w:val="00700F59"/>
    <w:rsid w:val="00701F71"/>
    <w:rsid w:val="00702292"/>
    <w:rsid w:val="00702AB1"/>
    <w:rsid w:val="00703AD3"/>
    <w:rsid w:val="00704B2A"/>
    <w:rsid w:val="00704BED"/>
    <w:rsid w:val="00704D7C"/>
    <w:rsid w:val="007055F2"/>
    <w:rsid w:val="007071CA"/>
    <w:rsid w:val="00707683"/>
    <w:rsid w:val="00710BDA"/>
    <w:rsid w:val="00710E08"/>
    <w:rsid w:val="00711250"/>
    <w:rsid w:val="00712274"/>
    <w:rsid w:val="00712B58"/>
    <w:rsid w:val="00713023"/>
    <w:rsid w:val="00713230"/>
    <w:rsid w:val="00714E02"/>
    <w:rsid w:val="00715A4D"/>
    <w:rsid w:val="00715E62"/>
    <w:rsid w:val="00716098"/>
    <w:rsid w:val="007162F6"/>
    <w:rsid w:val="007170C5"/>
    <w:rsid w:val="007217FA"/>
    <w:rsid w:val="00722A08"/>
    <w:rsid w:val="007233BB"/>
    <w:rsid w:val="0072554B"/>
    <w:rsid w:val="00727CF5"/>
    <w:rsid w:val="007323AF"/>
    <w:rsid w:val="0073494D"/>
    <w:rsid w:val="007352AC"/>
    <w:rsid w:val="00735CA0"/>
    <w:rsid w:val="00740902"/>
    <w:rsid w:val="00740942"/>
    <w:rsid w:val="00741B89"/>
    <w:rsid w:val="00742355"/>
    <w:rsid w:val="0074251B"/>
    <w:rsid w:val="007435BA"/>
    <w:rsid w:val="00744A83"/>
    <w:rsid w:val="007468CF"/>
    <w:rsid w:val="0074691F"/>
    <w:rsid w:val="00750E83"/>
    <w:rsid w:val="007516F0"/>
    <w:rsid w:val="00752B81"/>
    <w:rsid w:val="00752F09"/>
    <w:rsid w:val="007542B8"/>
    <w:rsid w:val="00754475"/>
    <w:rsid w:val="00755655"/>
    <w:rsid w:val="00756186"/>
    <w:rsid w:val="007577E8"/>
    <w:rsid w:val="00760177"/>
    <w:rsid w:val="00760587"/>
    <w:rsid w:val="00760B8D"/>
    <w:rsid w:val="0076137A"/>
    <w:rsid w:val="007620D9"/>
    <w:rsid w:val="00762E62"/>
    <w:rsid w:val="0076311C"/>
    <w:rsid w:val="007653C8"/>
    <w:rsid w:val="00765CDD"/>
    <w:rsid w:val="007664B4"/>
    <w:rsid w:val="00766702"/>
    <w:rsid w:val="0077200B"/>
    <w:rsid w:val="00773901"/>
    <w:rsid w:val="00773E0B"/>
    <w:rsid w:val="00774CD2"/>
    <w:rsid w:val="00775AAA"/>
    <w:rsid w:val="007760B3"/>
    <w:rsid w:val="007772B6"/>
    <w:rsid w:val="00777B8B"/>
    <w:rsid w:val="00780557"/>
    <w:rsid w:val="007805BB"/>
    <w:rsid w:val="0078157C"/>
    <w:rsid w:val="00781963"/>
    <w:rsid w:val="00784200"/>
    <w:rsid w:val="00785315"/>
    <w:rsid w:val="00785673"/>
    <w:rsid w:val="00785C48"/>
    <w:rsid w:val="00785EA3"/>
    <w:rsid w:val="00785FC5"/>
    <w:rsid w:val="00786D16"/>
    <w:rsid w:val="00787DBE"/>
    <w:rsid w:val="00787EE8"/>
    <w:rsid w:val="007902E3"/>
    <w:rsid w:val="007913B0"/>
    <w:rsid w:val="00794158"/>
    <w:rsid w:val="00795803"/>
    <w:rsid w:val="007A084F"/>
    <w:rsid w:val="007A3CB4"/>
    <w:rsid w:val="007A47AF"/>
    <w:rsid w:val="007A60FB"/>
    <w:rsid w:val="007A6434"/>
    <w:rsid w:val="007A6E95"/>
    <w:rsid w:val="007A7B1D"/>
    <w:rsid w:val="007B027D"/>
    <w:rsid w:val="007B1D5B"/>
    <w:rsid w:val="007B3332"/>
    <w:rsid w:val="007B42C3"/>
    <w:rsid w:val="007B44C7"/>
    <w:rsid w:val="007B5051"/>
    <w:rsid w:val="007B5265"/>
    <w:rsid w:val="007B5DFC"/>
    <w:rsid w:val="007B6A0B"/>
    <w:rsid w:val="007B778A"/>
    <w:rsid w:val="007B7BB2"/>
    <w:rsid w:val="007B7F64"/>
    <w:rsid w:val="007C03A7"/>
    <w:rsid w:val="007C1E3B"/>
    <w:rsid w:val="007C5D57"/>
    <w:rsid w:val="007C6E52"/>
    <w:rsid w:val="007D053D"/>
    <w:rsid w:val="007D0E6C"/>
    <w:rsid w:val="007D102E"/>
    <w:rsid w:val="007D1628"/>
    <w:rsid w:val="007D2A79"/>
    <w:rsid w:val="007D3908"/>
    <w:rsid w:val="007D436C"/>
    <w:rsid w:val="007D5772"/>
    <w:rsid w:val="007D6E01"/>
    <w:rsid w:val="007D7201"/>
    <w:rsid w:val="007D77CB"/>
    <w:rsid w:val="007E17D5"/>
    <w:rsid w:val="007E388E"/>
    <w:rsid w:val="007E4012"/>
    <w:rsid w:val="007E4126"/>
    <w:rsid w:val="007E4E2C"/>
    <w:rsid w:val="007E54B3"/>
    <w:rsid w:val="007E62C4"/>
    <w:rsid w:val="007E7C85"/>
    <w:rsid w:val="007F07B6"/>
    <w:rsid w:val="007F1A45"/>
    <w:rsid w:val="007F2472"/>
    <w:rsid w:val="007F29C8"/>
    <w:rsid w:val="007F6788"/>
    <w:rsid w:val="007F6F0E"/>
    <w:rsid w:val="008016EE"/>
    <w:rsid w:val="00802EAA"/>
    <w:rsid w:val="00803432"/>
    <w:rsid w:val="008049A2"/>
    <w:rsid w:val="00804E75"/>
    <w:rsid w:val="00805420"/>
    <w:rsid w:val="00812BEE"/>
    <w:rsid w:val="00813089"/>
    <w:rsid w:val="008149B9"/>
    <w:rsid w:val="00814B4A"/>
    <w:rsid w:val="008161A4"/>
    <w:rsid w:val="0081661B"/>
    <w:rsid w:val="008166BF"/>
    <w:rsid w:val="00817F36"/>
    <w:rsid w:val="008205B0"/>
    <w:rsid w:val="00820C88"/>
    <w:rsid w:val="00820C91"/>
    <w:rsid w:val="00822447"/>
    <w:rsid w:val="00822CCD"/>
    <w:rsid w:val="0082566D"/>
    <w:rsid w:val="00832203"/>
    <w:rsid w:val="00833167"/>
    <w:rsid w:val="00834792"/>
    <w:rsid w:val="00834FAE"/>
    <w:rsid w:val="0083516B"/>
    <w:rsid w:val="0083577A"/>
    <w:rsid w:val="00836490"/>
    <w:rsid w:val="0083710D"/>
    <w:rsid w:val="008404E5"/>
    <w:rsid w:val="008422B6"/>
    <w:rsid w:val="008422CD"/>
    <w:rsid w:val="0084435B"/>
    <w:rsid w:val="00845099"/>
    <w:rsid w:val="00850812"/>
    <w:rsid w:val="0085441A"/>
    <w:rsid w:val="0085683E"/>
    <w:rsid w:val="0085755D"/>
    <w:rsid w:val="00857E4F"/>
    <w:rsid w:val="00860385"/>
    <w:rsid w:val="008604C7"/>
    <w:rsid w:val="0086069C"/>
    <w:rsid w:val="008615E4"/>
    <w:rsid w:val="00861DF3"/>
    <w:rsid w:val="00861E4E"/>
    <w:rsid w:val="00862C67"/>
    <w:rsid w:val="0086333F"/>
    <w:rsid w:val="00865BEB"/>
    <w:rsid w:val="00866A9E"/>
    <w:rsid w:val="008700DC"/>
    <w:rsid w:val="008706DC"/>
    <w:rsid w:val="00872095"/>
    <w:rsid w:val="00872BAD"/>
    <w:rsid w:val="00873F0D"/>
    <w:rsid w:val="008742FB"/>
    <w:rsid w:val="0087532E"/>
    <w:rsid w:val="00875F52"/>
    <w:rsid w:val="00877AA3"/>
    <w:rsid w:val="00880D58"/>
    <w:rsid w:val="00880E05"/>
    <w:rsid w:val="00881CB4"/>
    <w:rsid w:val="00884784"/>
    <w:rsid w:val="0088547A"/>
    <w:rsid w:val="00885F4C"/>
    <w:rsid w:val="00887049"/>
    <w:rsid w:val="0088771A"/>
    <w:rsid w:val="008878A6"/>
    <w:rsid w:val="008916CF"/>
    <w:rsid w:val="00891772"/>
    <w:rsid w:val="0089199C"/>
    <w:rsid w:val="00891E7D"/>
    <w:rsid w:val="008932C5"/>
    <w:rsid w:val="008935B7"/>
    <w:rsid w:val="00893B89"/>
    <w:rsid w:val="008941CF"/>
    <w:rsid w:val="00897A66"/>
    <w:rsid w:val="008A09EB"/>
    <w:rsid w:val="008A0ADF"/>
    <w:rsid w:val="008A1454"/>
    <w:rsid w:val="008A14EC"/>
    <w:rsid w:val="008A15E8"/>
    <w:rsid w:val="008A17B2"/>
    <w:rsid w:val="008A1E4A"/>
    <w:rsid w:val="008A2CF9"/>
    <w:rsid w:val="008A3BCD"/>
    <w:rsid w:val="008A4916"/>
    <w:rsid w:val="008A5475"/>
    <w:rsid w:val="008A54D0"/>
    <w:rsid w:val="008A5B8E"/>
    <w:rsid w:val="008A5DC1"/>
    <w:rsid w:val="008B17AA"/>
    <w:rsid w:val="008B1E61"/>
    <w:rsid w:val="008B3D9F"/>
    <w:rsid w:val="008B485C"/>
    <w:rsid w:val="008B50F1"/>
    <w:rsid w:val="008B5BE2"/>
    <w:rsid w:val="008B5BE3"/>
    <w:rsid w:val="008B5FB1"/>
    <w:rsid w:val="008B6E25"/>
    <w:rsid w:val="008C0831"/>
    <w:rsid w:val="008C1AB6"/>
    <w:rsid w:val="008C2666"/>
    <w:rsid w:val="008C2CD7"/>
    <w:rsid w:val="008C3FEE"/>
    <w:rsid w:val="008C68CA"/>
    <w:rsid w:val="008C6BE6"/>
    <w:rsid w:val="008C6CFF"/>
    <w:rsid w:val="008C6F30"/>
    <w:rsid w:val="008C6FD3"/>
    <w:rsid w:val="008D14E5"/>
    <w:rsid w:val="008D303A"/>
    <w:rsid w:val="008D3600"/>
    <w:rsid w:val="008D3D71"/>
    <w:rsid w:val="008D4600"/>
    <w:rsid w:val="008D5946"/>
    <w:rsid w:val="008D5E3D"/>
    <w:rsid w:val="008D679C"/>
    <w:rsid w:val="008E05ED"/>
    <w:rsid w:val="008E0BF2"/>
    <w:rsid w:val="008E0F39"/>
    <w:rsid w:val="008E10D9"/>
    <w:rsid w:val="008E1AC8"/>
    <w:rsid w:val="008E2644"/>
    <w:rsid w:val="008E3BF2"/>
    <w:rsid w:val="008E47A2"/>
    <w:rsid w:val="008E71EA"/>
    <w:rsid w:val="008F0DCB"/>
    <w:rsid w:val="008F2D8A"/>
    <w:rsid w:val="008F3453"/>
    <w:rsid w:val="008F3828"/>
    <w:rsid w:val="008F3BB5"/>
    <w:rsid w:val="008F5301"/>
    <w:rsid w:val="008F59D2"/>
    <w:rsid w:val="008F69E6"/>
    <w:rsid w:val="008F6D2A"/>
    <w:rsid w:val="008F6E14"/>
    <w:rsid w:val="00900E50"/>
    <w:rsid w:val="00901107"/>
    <w:rsid w:val="00901864"/>
    <w:rsid w:val="00901CDF"/>
    <w:rsid w:val="00901D2D"/>
    <w:rsid w:val="00901E64"/>
    <w:rsid w:val="009064A6"/>
    <w:rsid w:val="00907AF0"/>
    <w:rsid w:val="00911407"/>
    <w:rsid w:val="0092131A"/>
    <w:rsid w:val="00922777"/>
    <w:rsid w:val="00923DE5"/>
    <w:rsid w:val="0093166F"/>
    <w:rsid w:val="00931BBC"/>
    <w:rsid w:val="009337FA"/>
    <w:rsid w:val="00933836"/>
    <w:rsid w:val="00933933"/>
    <w:rsid w:val="00933B39"/>
    <w:rsid w:val="00933BDD"/>
    <w:rsid w:val="00934C9F"/>
    <w:rsid w:val="009359B2"/>
    <w:rsid w:val="00936B31"/>
    <w:rsid w:val="00937899"/>
    <w:rsid w:val="0093794C"/>
    <w:rsid w:val="00940254"/>
    <w:rsid w:val="009405F1"/>
    <w:rsid w:val="009408B1"/>
    <w:rsid w:val="00940F7D"/>
    <w:rsid w:val="0094143B"/>
    <w:rsid w:val="00941F6D"/>
    <w:rsid w:val="00942003"/>
    <w:rsid w:val="00942AAE"/>
    <w:rsid w:val="00942C97"/>
    <w:rsid w:val="00943E99"/>
    <w:rsid w:val="00946135"/>
    <w:rsid w:val="00946E78"/>
    <w:rsid w:val="00947615"/>
    <w:rsid w:val="0095005C"/>
    <w:rsid w:val="009500D3"/>
    <w:rsid w:val="00950B43"/>
    <w:rsid w:val="0095191D"/>
    <w:rsid w:val="00951F87"/>
    <w:rsid w:val="00952DEB"/>
    <w:rsid w:val="00954A0A"/>
    <w:rsid w:val="00954FC6"/>
    <w:rsid w:val="00956BD7"/>
    <w:rsid w:val="0095759F"/>
    <w:rsid w:val="009577D0"/>
    <w:rsid w:val="00960033"/>
    <w:rsid w:val="00960450"/>
    <w:rsid w:val="00961A03"/>
    <w:rsid w:val="00963945"/>
    <w:rsid w:val="0096419E"/>
    <w:rsid w:val="00966B3F"/>
    <w:rsid w:val="00967266"/>
    <w:rsid w:val="00967A49"/>
    <w:rsid w:val="00970293"/>
    <w:rsid w:val="00971661"/>
    <w:rsid w:val="00971663"/>
    <w:rsid w:val="009718ED"/>
    <w:rsid w:val="00973D40"/>
    <w:rsid w:val="00973F42"/>
    <w:rsid w:val="00974136"/>
    <w:rsid w:val="00974579"/>
    <w:rsid w:val="00974D45"/>
    <w:rsid w:val="00975106"/>
    <w:rsid w:val="00975A2A"/>
    <w:rsid w:val="00977C3C"/>
    <w:rsid w:val="00981DCF"/>
    <w:rsid w:val="00982355"/>
    <w:rsid w:val="00983484"/>
    <w:rsid w:val="009834C9"/>
    <w:rsid w:val="00983FFB"/>
    <w:rsid w:val="00984624"/>
    <w:rsid w:val="00985A5B"/>
    <w:rsid w:val="00985C84"/>
    <w:rsid w:val="00987BC5"/>
    <w:rsid w:val="00987FE8"/>
    <w:rsid w:val="00990C95"/>
    <w:rsid w:val="009920C3"/>
    <w:rsid w:val="00992F3A"/>
    <w:rsid w:val="00992F65"/>
    <w:rsid w:val="0099371B"/>
    <w:rsid w:val="00993EB9"/>
    <w:rsid w:val="00994B4E"/>
    <w:rsid w:val="00997037"/>
    <w:rsid w:val="009972CC"/>
    <w:rsid w:val="009A07B8"/>
    <w:rsid w:val="009A3B00"/>
    <w:rsid w:val="009A592A"/>
    <w:rsid w:val="009A6AC8"/>
    <w:rsid w:val="009A6BB1"/>
    <w:rsid w:val="009B1086"/>
    <w:rsid w:val="009B11C5"/>
    <w:rsid w:val="009B16F3"/>
    <w:rsid w:val="009B1782"/>
    <w:rsid w:val="009B2476"/>
    <w:rsid w:val="009B375B"/>
    <w:rsid w:val="009B4196"/>
    <w:rsid w:val="009B43B5"/>
    <w:rsid w:val="009B4FC0"/>
    <w:rsid w:val="009B5B22"/>
    <w:rsid w:val="009B70C5"/>
    <w:rsid w:val="009C034A"/>
    <w:rsid w:val="009C04B9"/>
    <w:rsid w:val="009C1104"/>
    <w:rsid w:val="009C29C3"/>
    <w:rsid w:val="009C3BB7"/>
    <w:rsid w:val="009C4E8C"/>
    <w:rsid w:val="009C5221"/>
    <w:rsid w:val="009C6308"/>
    <w:rsid w:val="009C7455"/>
    <w:rsid w:val="009C793B"/>
    <w:rsid w:val="009C7DBF"/>
    <w:rsid w:val="009D0A3C"/>
    <w:rsid w:val="009D0C55"/>
    <w:rsid w:val="009D15B1"/>
    <w:rsid w:val="009D3178"/>
    <w:rsid w:val="009D4B4C"/>
    <w:rsid w:val="009D4B5A"/>
    <w:rsid w:val="009D5221"/>
    <w:rsid w:val="009D5D7D"/>
    <w:rsid w:val="009D6EA5"/>
    <w:rsid w:val="009D7B29"/>
    <w:rsid w:val="009D7E84"/>
    <w:rsid w:val="009E0D67"/>
    <w:rsid w:val="009E1E5C"/>
    <w:rsid w:val="009E2961"/>
    <w:rsid w:val="009E2A24"/>
    <w:rsid w:val="009E386A"/>
    <w:rsid w:val="009E3E9C"/>
    <w:rsid w:val="009E4566"/>
    <w:rsid w:val="009E56C3"/>
    <w:rsid w:val="009E62F6"/>
    <w:rsid w:val="009E6820"/>
    <w:rsid w:val="009F1E7C"/>
    <w:rsid w:val="009F248B"/>
    <w:rsid w:val="009F3B2A"/>
    <w:rsid w:val="009F4308"/>
    <w:rsid w:val="009F4FB3"/>
    <w:rsid w:val="009F5CFC"/>
    <w:rsid w:val="00A00540"/>
    <w:rsid w:val="00A00564"/>
    <w:rsid w:val="00A0165E"/>
    <w:rsid w:val="00A01BA7"/>
    <w:rsid w:val="00A02F87"/>
    <w:rsid w:val="00A03E1F"/>
    <w:rsid w:val="00A06B82"/>
    <w:rsid w:val="00A06D11"/>
    <w:rsid w:val="00A0767D"/>
    <w:rsid w:val="00A07994"/>
    <w:rsid w:val="00A07D30"/>
    <w:rsid w:val="00A10046"/>
    <w:rsid w:val="00A106C0"/>
    <w:rsid w:val="00A10869"/>
    <w:rsid w:val="00A11E0C"/>
    <w:rsid w:val="00A131CC"/>
    <w:rsid w:val="00A1336B"/>
    <w:rsid w:val="00A13F29"/>
    <w:rsid w:val="00A14190"/>
    <w:rsid w:val="00A1666C"/>
    <w:rsid w:val="00A167CC"/>
    <w:rsid w:val="00A16896"/>
    <w:rsid w:val="00A16DAE"/>
    <w:rsid w:val="00A17DB0"/>
    <w:rsid w:val="00A2362F"/>
    <w:rsid w:val="00A26A0E"/>
    <w:rsid w:val="00A326FD"/>
    <w:rsid w:val="00A32CC9"/>
    <w:rsid w:val="00A32D67"/>
    <w:rsid w:val="00A3452F"/>
    <w:rsid w:val="00A34B55"/>
    <w:rsid w:val="00A3526A"/>
    <w:rsid w:val="00A362E3"/>
    <w:rsid w:val="00A37119"/>
    <w:rsid w:val="00A40145"/>
    <w:rsid w:val="00A41E9E"/>
    <w:rsid w:val="00A42EB7"/>
    <w:rsid w:val="00A44B16"/>
    <w:rsid w:val="00A4561C"/>
    <w:rsid w:val="00A463BA"/>
    <w:rsid w:val="00A46485"/>
    <w:rsid w:val="00A46D77"/>
    <w:rsid w:val="00A5017E"/>
    <w:rsid w:val="00A507A4"/>
    <w:rsid w:val="00A50891"/>
    <w:rsid w:val="00A5095D"/>
    <w:rsid w:val="00A51114"/>
    <w:rsid w:val="00A5117B"/>
    <w:rsid w:val="00A5178E"/>
    <w:rsid w:val="00A518E5"/>
    <w:rsid w:val="00A51EA6"/>
    <w:rsid w:val="00A53EF1"/>
    <w:rsid w:val="00A54731"/>
    <w:rsid w:val="00A54D42"/>
    <w:rsid w:val="00A54F80"/>
    <w:rsid w:val="00A55107"/>
    <w:rsid w:val="00A557EA"/>
    <w:rsid w:val="00A55FF2"/>
    <w:rsid w:val="00A567A7"/>
    <w:rsid w:val="00A5700D"/>
    <w:rsid w:val="00A579DB"/>
    <w:rsid w:val="00A605F8"/>
    <w:rsid w:val="00A60924"/>
    <w:rsid w:val="00A60CE3"/>
    <w:rsid w:val="00A6102E"/>
    <w:rsid w:val="00A61783"/>
    <w:rsid w:val="00A61BB4"/>
    <w:rsid w:val="00A62320"/>
    <w:rsid w:val="00A626C9"/>
    <w:rsid w:val="00A62DA6"/>
    <w:rsid w:val="00A62F93"/>
    <w:rsid w:val="00A66B56"/>
    <w:rsid w:val="00A66CC8"/>
    <w:rsid w:val="00A67671"/>
    <w:rsid w:val="00A67AFD"/>
    <w:rsid w:val="00A70315"/>
    <w:rsid w:val="00A70BF9"/>
    <w:rsid w:val="00A717D4"/>
    <w:rsid w:val="00A71C35"/>
    <w:rsid w:val="00A72D2A"/>
    <w:rsid w:val="00A73EFA"/>
    <w:rsid w:val="00A74788"/>
    <w:rsid w:val="00A75362"/>
    <w:rsid w:val="00A75E7C"/>
    <w:rsid w:val="00A80B03"/>
    <w:rsid w:val="00A80F80"/>
    <w:rsid w:val="00A81BB9"/>
    <w:rsid w:val="00A83E88"/>
    <w:rsid w:val="00A86919"/>
    <w:rsid w:val="00A8795B"/>
    <w:rsid w:val="00A90260"/>
    <w:rsid w:val="00A90793"/>
    <w:rsid w:val="00A911B3"/>
    <w:rsid w:val="00A913AA"/>
    <w:rsid w:val="00A918AB"/>
    <w:rsid w:val="00A92DF1"/>
    <w:rsid w:val="00A97E2F"/>
    <w:rsid w:val="00AA00D1"/>
    <w:rsid w:val="00AA0C22"/>
    <w:rsid w:val="00AA0C7E"/>
    <w:rsid w:val="00AA1569"/>
    <w:rsid w:val="00AA20C4"/>
    <w:rsid w:val="00AA273A"/>
    <w:rsid w:val="00AA3EDB"/>
    <w:rsid w:val="00AA4182"/>
    <w:rsid w:val="00AA4333"/>
    <w:rsid w:val="00AA4CB9"/>
    <w:rsid w:val="00AA510C"/>
    <w:rsid w:val="00AA54CC"/>
    <w:rsid w:val="00AA5882"/>
    <w:rsid w:val="00AA6547"/>
    <w:rsid w:val="00AA6C5A"/>
    <w:rsid w:val="00AA71C3"/>
    <w:rsid w:val="00AA7B52"/>
    <w:rsid w:val="00AB1838"/>
    <w:rsid w:val="00AB207D"/>
    <w:rsid w:val="00AB24EB"/>
    <w:rsid w:val="00AB26BF"/>
    <w:rsid w:val="00AB281F"/>
    <w:rsid w:val="00AB3705"/>
    <w:rsid w:val="00AB3995"/>
    <w:rsid w:val="00AB5700"/>
    <w:rsid w:val="00AB71BB"/>
    <w:rsid w:val="00AB7537"/>
    <w:rsid w:val="00AB7A5C"/>
    <w:rsid w:val="00AC0DC6"/>
    <w:rsid w:val="00AC16BE"/>
    <w:rsid w:val="00AC1D0B"/>
    <w:rsid w:val="00AC1FFD"/>
    <w:rsid w:val="00AC3360"/>
    <w:rsid w:val="00AC4003"/>
    <w:rsid w:val="00AC518F"/>
    <w:rsid w:val="00AC519A"/>
    <w:rsid w:val="00AC5A67"/>
    <w:rsid w:val="00AC5A85"/>
    <w:rsid w:val="00AD0484"/>
    <w:rsid w:val="00AD2E33"/>
    <w:rsid w:val="00AD3E23"/>
    <w:rsid w:val="00AD5081"/>
    <w:rsid w:val="00AD534A"/>
    <w:rsid w:val="00AD6258"/>
    <w:rsid w:val="00AE008E"/>
    <w:rsid w:val="00AE028C"/>
    <w:rsid w:val="00AE0706"/>
    <w:rsid w:val="00AE0BC6"/>
    <w:rsid w:val="00AE0BE8"/>
    <w:rsid w:val="00AE1D8B"/>
    <w:rsid w:val="00AE2819"/>
    <w:rsid w:val="00AE4D05"/>
    <w:rsid w:val="00AE5230"/>
    <w:rsid w:val="00AE6C47"/>
    <w:rsid w:val="00AE6D03"/>
    <w:rsid w:val="00AE6F38"/>
    <w:rsid w:val="00AF147F"/>
    <w:rsid w:val="00AF289E"/>
    <w:rsid w:val="00AF2ECD"/>
    <w:rsid w:val="00AF30C8"/>
    <w:rsid w:val="00AF3265"/>
    <w:rsid w:val="00AF39F9"/>
    <w:rsid w:val="00AF4DE6"/>
    <w:rsid w:val="00AF6B70"/>
    <w:rsid w:val="00AF6F91"/>
    <w:rsid w:val="00AF78DA"/>
    <w:rsid w:val="00AF7E00"/>
    <w:rsid w:val="00B00CDF"/>
    <w:rsid w:val="00B01837"/>
    <w:rsid w:val="00B01C7B"/>
    <w:rsid w:val="00B0261F"/>
    <w:rsid w:val="00B0422D"/>
    <w:rsid w:val="00B05019"/>
    <w:rsid w:val="00B0570E"/>
    <w:rsid w:val="00B06E64"/>
    <w:rsid w:val="00B06F20"/>
    <w:rsid w:val="00B07EC9"/>
    <w:rsid w:val="00B10AB3"/>
    <w:rsid w:val="00B10B44"/>
    <w:rsid w:val="00B11632"/>
    <w:rsid w:val="00B11B31"/>
    <w:rsid w:val="00B1234A"/>
    <w:rsid w:val="00B12F9C"/>
    <w:rsid w:val="00B1362C"/>
    <w:rsid w:val="00B13807"/>
    <w:rsid w:val="00B1519B"/>
    <w:rsid w:val="00B15DB8"/>
    <w:rsid w:val="00B16C95"/>
    <w:rsid w:val="00B17778"/>
    <w:rsid w:val="00B21AAC"/>
    <w:rsid w:val="00B229F9"/>
    <w:rsid w:val="00B231A6"/>
    <w:rsid w:val="00B24952"/>
    <w:rsid w:val="00B24E6F"/>
    <w:rsid w:val="00B24EF8"/>
    <w:rsid w:val="00B26634"/>
    <w:rsid w:val="00B26F46"/>
    <w:rsid w:val="00B27534"/>
    <w:rsid w:val="00B27AF1"/>
    <w:rsid w:val="00B27BA9"/>
    <w:rsid w:val="00B31BB6"/>
    <w:rsid w:val="00B33730"/>
    <w:rsid w:val="00B35B29"/>
    <w:rsid w:val="00B36242"/>
    <w:rsid w:val="00B365AB"/>
    <w:rsid w:val="00B366F4"/>
    <w:rsid w:val="00B367C4"/>
    <w:rsid w:val="00B37244"/>
    <w:rsid w:val="00B40271"/>
    <w:rsid w:val="00B4063F"/>
    <w:rsid w:val="00B430B9"/>
    <w:rsid w:val="00B4482A"/>
    <w:rsid w:val="00B454CE"/>
    <w:rsid w:val="00B467BB"/>
    <w:rsid w:val="00B51340"/>
    <w:rsid w:val="00B5259C"/>
    <w:rsid w:val="00B533FD"/>
    <w:rsid w:val="00B542D3"/>
    <w:rsid w:val="00B54F68"/>
    <w:rsid w:val="00B5647F"/>
    <w:rsid w:val="00B568B8"/>
    <w:rsid w:val="00B57016"/>
    <w:rsid w:val="00B57049"/>
    <w:rsid w:val="00B57C08"/>
    <w:rsid w:val="00B57CDD"/>
    <w:rsid w:val="00B60024"/>
    <w:rsid w:val="00B61370"/>
    <w:rsid w:val="00B61652"/>
    <w:rsid w:val="00B624A1"/>
    <w:rsid w:val="00B635E1"/>
    <w:rsid w:val="00B64AC0"/>
    <w:rsid w:val="00B64DAF"/>
    <w:rsid w:val="00B65D1E"/>
    <w:rsid w:val="00B67043"/>
    <w:rsid w:val="00B71934"/>
    <w:rsid w:val="00B71F00"/>
    <w:rsid w:val="00B72133"/>
    <w:rsid w:val="00B768D1"/>
    <w:rsid w:val="00B76EF9"/>
    <w:rsid w:val="00B7752F"/>
    <w:rsid w:val="00B82306"/>
    <w:rsid w:val="00B8290D"/>
    <w:rsid w:val="00B83716"/>
    <w:rsid w:val="00B866E6"/>
    <w:rsid w:val="00B86F63"/>
    <w:rsid w:val="00B90B6E"/>
    <w:rsid w:val="00B91433"/>
    <w:rsid w:val="00B91C08"/>
    <w:rsid w:val="00B93278"/>
    <w:rsid w:val="00B9332C"/>
    <w:rsid w:val="00B941E1"/>
    <w:rsid w:val="00B941F4"/>
    <w:rsid w:val="00B94AD3"/>
    <w:rsid w:val="00B94DB2"/>
    <w:rsid w:val="00B962E6"/>
    <w:rsid w:val="00B96E16"/>
    <w:rsid w:val="00B974CD"/>
    <w:rsid w:val="00B97763"/>
    <w:rsid w:val="00BA0965"/>
    <w:rsid w:val="00BA1551"/>
    <w:rsid w:val="00BA2C0A"/>
    <w:rsid w:val="00BA608F"/>
    <w:rsid w:val="00BA6261"/>
    <w:rsid w:val="00BA67FB"/>
    <w:rsid w:val="00BA7B85"/>
    <w:rsid w:val="00BA7CFD"/>
    <w:rsid w:val="00BB047C"/>
    <w:rsid w:val="00BB14DC"/>
    <w:rsid w:val="00BB28B0"/>
    <w:rsid w:val="00BB36CB"/>
    <w:rsid w:val="00BB688F"/>
    <w:rsid w:val="00BB7B3A"/>
    <w:rsid w:val="00BB7F74"/>
    <w:rsid w:val="00BC1613"/>
    <w:rsid w:val="00BC252E"/>
    <w:rsid w:val="00BC2F76"/>
    <w:rsid w:val="00BC4119"/>
    <w:rsid w:val="00BC591D"/>
    <w:rsid w:val="00BC5D74"/>
    <w:rsid w:val="00BC7000"/>
    <w:rsid w:val="00BC78D0"/>
    <w:rsid w:val="00BD0105"/>
    <w:rsid w:val="00BD0341"/>
    <w:rsid w:val="00BD06D9"/>
    <w:rsid w:val="00BD17B3"/>
    <w:rsid w:val="00BD1F07"/>
    <w:rsid w:val="00BD2253"/>
    <w:rsid w:val="00BD23C5"/>
    <w:rsid w:val="00BD344B"/>
    <w:rsid w:val="00BD4DE7"/>
    <w:rsid w:val="00BD5D58"/>
    <w:rsid w:val="00BD5D7D"/>
    <w:rsid w:val="00BD6053"/>
    <w:rsid w:val="00BD7DFB"/>
    <w:rsid w:val="00BE09AA"/>
    <w:rsid w:val="00BE1BA8"/>
    <w:rsid w:val="00BE1CC0"/>
    <w:rsid w:val="00BE3540"/>
    <w:rsid w:val="00BE35AB"/>
    <w:rsid w:val="00BE39AD"/>
    <w:rsid w:val="00BE408F"/>
    <w:rsid w:val="00BE4179"/>
    <w:rsid w:val="00BF15C1"/>
    <w:rsid w:val="00BF2AAB"/>
    <w:rsid w:val="00BF4AF0"/>
    <w:rsid w:val="00C000BF"/>
    <w:rsid w:val="00C006BE"/>
    <w:rsid w:val="00C00B00"/>
    <w:rsid w:val="00C00D93"/>
    <w:rsid w:val="00C01F75"/>
    <w:rsid w:val="00C02435"/>
    <w:rsid w:val="00C0357A"/>
    <w:rsid w:val="00C03930"/>
    <w:rsid w:val="00C041DC"/>
    <w:rsid w:val="00C04D00"/>
    <w:rsid w:val="00C05401"/>
    <w:rsid w:val="00C05DA7"/>
    <w:rsid w:val="00C06DF2"/>
    <w:rsid w:val="00C07096"/>
    <w:rsid w:val="00C07D14"/>
    <w:rsid w:val="00C10AC9"/>
    <w:rsid w:val="00C1250E"/>
    <w:rsid w:val="00C13C61"/>
    <w:rsid w:val="00C15857"/>
    <w:rsid w:val="00C20693"/>
    <w:rsid w:val="00C21781"/>
    <w:rsid w:val="00C22032"/>
    <w:rsid w:val="00C2286B"/>
    <w:rsid w:val="00C22A63"/>
    <w:rsid w:val="00C22AFF"/>
    <w:rsid w:val="00C24D99"/>
    <w:rsid w:val="00C25931"/>
    <w:rsid w:val="00C25F98"/>
    <w:rsid w:val="00C2641A"/>
    <w:rsid w:val="00C30286"/>
    <w:rsid w:val="00C32827"/>
    <w:rsid w:val="00C348BF"/>
    <w:rsid w:val="00C35271"/>
    <w:rsid w:val="00C35915"/>
    <w:rsid w:val="00C35C9C"/>
    <w:rsid w:val="00C36170"/>
    <w:rsid w:val="00C36EBA"/>
    <w:rsid w:val="00C402F6"/>
    <w:rsid w:val="00C41C5B"/>
    <w:rsid w:val="00C42379"/>
    <w:rsid w:val="00C448F1"/>
    <w:rsid w:val="00C44A4B"/>
    <w:rsid w:val="00C457DB"/>
    <w:rsid w:val="00C5112C"/>
    <w:rsid w:val="00C513EB"/>
    <w:rsid w:val="00C516AB"/>
    <w:rsid w:val="00C5375F"/>
    <w:rsid w:val="00C546FA"/>
    <w:rsid w:val="00C54FA8"/>
    <w:rsid w:val="00C62963"/>
    <w:rsid w:val="00C63B5E"/>
    <w:rsid w:val="00C64B69"/>
    <w:rsid w:val="00C6570A"/>
    <w:rsid w:val="00C669A1"/>
    <w:rsid w:val="00C66D12"/>
    <w:rsid w:val="00C67465"/>
    <w:rsid w:val="00C6769D"/>
    <w:rsid w:val="00C7097E"/>
    <w:rsid w:val="00C71F08"/>
    <w:rsid w:val="00C76AB5"/>
    <w:rsid w:val="00C77C9D"/>
    <w:rsid w:val="00C80A94"/>
    <w:rsid w:val="00C8226A"/>
    <w:rsid w:val="00C82CCB"/>
    <w:rsid w:val="00C838C7"/>
    <w:rsid w:val="00C84106"/>
    <w:rsid w:val="00C8453C"/>
    <w:rsid w:val="00C86C52"/>
    <w:rsid w:val="00C90855"/>
    <w:rsid w:val="00C92A9B"/>
    <w:rsid w:val="00C9311C"/>
    <w:rsid w:val="00C937E2"/>
    <w:rsid w:val="00C94F40"/>
    <w:rsid w:val="00C955D8"/>
    <w:rsid w:val="00C96C8A"/>
    <w:rsid w:val="00CA134B"/>
    <w:rsid w:val="00CA259C"/>
    <w:rsid w:val="00CA3054"/>
    <w:rsid w:val="00CA5DC9"/>
    <w:rsid w:val="00CB050E"/>
    <w:rsid w:val="00CB0D6B"/>
    <w:rsid w:val="00CB17CD"/>
    <w:rsid w:val="00CB1BA4"/>
    <w:rsid w:val="00CB30C6"/>
    <w:rsid w:val="00CB342D"/>
    <w:rsid w:val="00CB3916"/>
    <w:rsid w:val="00CB3AD3"/>
    <w:rsid w:val="00CB4953"/>
    <w:rsid w:val="00CB607C"/>
    <w:rsid w:val="00CB66F1"/>
    <w:rsid w:val="00CC246F"/>
    <w:rsid w:val="00CC2F95"/>
    <w:rsid w:val="00CC341C"/>
    <w:rsid w:val="00CC6E80"/>
    <w:rsid w:val="00CD07B3"/>
    <w:rsid w:val="00CD0998"/>
    <w:rsid w:val="00CD1C73"/>
    <w:rsid w:val="00CD2DD6"/>
    <w:rsid w:val="00CD3572"/>
    <w:rsid w:val="00CD4E8A"/>
    <w:rsid w:val="00CD74CC"/>
    <w:rsid w:val="00CD7660"/>
    <w:rsid w:val="00CE1151"/>
    <w:rsid w:val="00CE2CFF"/>
    <w:rsid w:val="00CE2E1C"/>
    <w:rsid w:val="00CE4B33"/>
    <w:rsid w:val="00CE63EE"/>
    <w:rsid w:val="00CE6C82"/>
    <w:rsid w:val="00CF09D1"/>
    <w:rsid w:val="00CF2A75"/>
    <w:rsid w:val="00CF361E"/>
    <w:rsid w:val="00CF3A0F"/>
    <w:rsid w:val="00CF4548"/>
    <w:rsid w:val="00CF4654"/>
    <w:rsid w:val="00CF4C83"/>
    <w:rsid w:val="00CF4F19"/>
    <w:rsid w:val="00CF50F2"/>
    <w:rsid w:val="00CF528E"/>
    <w:rsid w:val="00CF57FD"/>
    <w:rsid w:val="00CF5A10"/>
    <w:rsid w:val="00CF5D7C"/>
    <w:rsid w:val="00CF5EC7"/>
    <w:rsid w:val="00CF76F0"/>
    <w:rsid w:val="00D002A8"/>
    <w:rsid w:val="00D0065A"/>
    <w:rsid w:val="00D028D7"/>
    <w:rsid w:val="00D033A5"/>
    <w:rsid w:val="00D03E30"/>
    <w:rsid w:val="00D05398"/>
    <w:rsid w:val="00D05EB8"/>
    <w:rsid w:val="00D073A6"/>
    <w:rsid w:val="00D101BD"/>
    <w:rsid w:val="00D1070B"/>
    <w:rsid w:val="00D10A6D"/>
    <w:rsid w:val="00D117C6"/>
    <w:rsid w:val="00D11A29"/>
    <w:rsid w:val="00D11C25"/>
    <w:rsid w:val="00D12AB3"/>
    <w:rsid w:val="00D133EF"/>
    <w:rsid w:val="00D14C98"/>
    <w:rsid w:val="00D16225"/>
    <w:rsid w:val="00D16A2F"/>
    <w:rsid w:val="00D16CF7"/>
    <w:rsid w:val="00D17AFC"/>
    <w:rsid w:val="00D212CD"/>
    <w:rsid w:val="00D21481"/>
    <w:rsid w:val="00D217EC"/>
    <w:rsid w:val="00D22D26"/>
    <w:rsid w:val="00D23160"/>
    <w:rsid w:val="00D2771C"/>
    <w:rsid w:val="00D27AC4"/>
    <w:rsid w:val="00D3034D"/>
    <w:rsid w:val="00D31186"/>
    <w:rsid w:val="00D3171C"/>
    <w:rsid w:val="00D31CC8"/>
    <w:rsid w:val="00D33320"/>
    <w:rsid w:val="00D339DC"/>
    <w:rsid w:val="00D34298"/>
    <w:rsid w:val="00D3505A"/>
    <w:rsid w:val="00D35FA0"/>
    <w:rsid w:val="00D3611F"/>
    <w:rsid w:val="00D37749"/>
    <w:rsid w:val="00D40D8A"/>
    <w:rsid w:val="00D40E95"/>
    <w:rsid w:val="00D4261C"/>
    <w:rsid w:val="00D427CB"/>
    <w:rsid w:val="00D429EC"/>
    <w:rsid w:val="00D4540B"/>
    <w:rsid w:val="00D461FC"/>
    <w:rsid w:val="00D5099E"/>
    <w:rsid w:val="00D50BCB"/>
    <w:rsid w:val="00D51E0E"/>
    <w:rsid w:val="00D5332E"/>
    <w:rsid w:val="00D534F5"/>
    <w:rsid w:val="00D5429A"/>
    <w:rsid w:val="00D54582"/>
    <w:rsid w:val="00D5604A"/>
    <w:rsid w:val="00D56E42"/>
    <w:rsid w:val="00D600F6"/>
    <w:rsid w:val="00D60630"/>
    <w:rsid w:val="00D60B8A"/>
    <w:rsid w:val="00D617DA"/>
    <w:rsid w:val="00D62399"/>
    <w:rsid w:val="00D62C3D"/>
    <w:rsid w:val="00D63084"/>
    <w:rsid w:val="00D639AF"/>
    <w:rsid w:val="00D65112"/>
    <w:rsid w:val="00D6729E"/>
    <w:rsid w:val="00D676EB"/>
    <w:rsid w:val="00D67AC1"/>
    <w:rsid w:val="00D67DF7"/>
    <w:rsid w:val="00D7169A"/>
    <w:rsid w:val="00D71760"/>
    <w:rsid w:val="00D71919"/>
    <w:rsid w:val="00D72C69"/>
    <w:rsid w:val="00D72C92"/>
    <w:rsid w:val="00D7397D"/>
    <w:rsid w:val="00D73BBF"/>
    <w:rsid w:val="00D75DDC"/>
    <w:rsid w:val="00D76983"/>
    <w:rsid w:val="00D7760D"/>
    <w:rsid w:val="00D77900"/>
    <w:rsid w:val="00D77AE6"/>
    <w:rsid w:val="00D80E47"/>
    <w:rsid w:val="00D816AC"/>
    <w:rsid w:val="00D82E14"/>
    <w:rsid w:val="00D84434"/>
    <w:rsid w:val="00D851BD"/>
    <w:rsid w:val="00D85AFA"/>
    <w:rsid w:val="00D86DE2"/>
    <w:rsid w:val="00D87AB0"/>
    <w:rsid w:val="00D90E7D"/>
    <w:rsid w:val="00D91604"/>
    <w:rsid w:val="00D9215A"/>
    <w:rsid w:val="00D9256B"/>
    <w:rsid w:val="00D9261C"/>
    <w:rsid w:val="00D927C5"/>
    <w:rsid w:val="00D93E23"/>
    <w:rsid w:val="00D93FF7"/>
    <w:rsid w:val="00D9403A"/>
    <w:rsid w:val="00D94AB9"/>
    <w:rsid w:val="00D951BE"/>
    <w:rsid w:val="00D953EE"/>
    <w:rsid w:val="00D963A9"/>
    <w:rsid w:val="00D97360"/>
    <w:rsid w:val="00DA15CE"/>
    <w:rsid w:val="00DA2001"/>
    <w:rsid w:val="00DA2222"/>
    <w:rsid w:val="00DA2458"/>
    <w:rsid w:val="00DA34BF"/>
    <w:rsid w:val="00DA5F79"/>
    <w:rsid w:val="00DA6C62"/>
    <w:rsid w:val="00DA6F89"/>
    <w:rsid w:val="00DB08C5"/>
    <w:rsid w:val="00DB1D95"/>
    <w:rsid w:val="00DB2F23"/>
    <w:rsid w:val="00DB2FF7"/>
    <w:rsid w:val="00DB3314"/>
    <w:rsid w:val="00DB350C"/>
    <w:rsid w:val="00DB3A5E"/>
    <w:rsid w:val="00DB3E23"/>
    <w:rsid w:val="00DB41A2"/>
    <w:rsid w:val="00DB71CA"/>
    <w:rsid w:val="00DB793B"/>
    <w:rsid w:val="00DC0248"/>
    <w:rsid w:val="00DC02C8"/>
    <w:rsid w:val="00DC130C"/>
    <w:rsid w:val="00DC1EBE"/>
    <w:rsid w:val="00DC21C6"/>
    <w:rsid w:val="00DC3090"/>
    <w:rsid w:val="00DC33C0"/>
    <w:rsid w:val="00DC3D60"/>
    <w:rsid w:val="00DC3F12"/>
    <w:rsid w:val="00DC453B"/>
    <w:rsid w:val="00DC4963"/>
    <w:rsid w:val="00DC5EB5"/>
    <w:rsid w:val="00DC6C49"/>
    <w:rsid w:val="00DC7736"/>
    <w:rsid w:val="00DC7B4C"/>
    <w:rsid w:val="00DC7C58"/>
    <w:rsid w:val="00DD06DF"/>
    <w:rsid w:val="00DD14DD"/>
    <w:rsid w:val="00DD1943"/>
    <w:rsid w:val="00DD3CD4"/>
    <w:rsid w:val="00DD6556"/>
    <w:rsid w:val="00DD69B8"/>
    <w:rsid w:val="00DD6DF4"/>
    <w:rsid w:val="00DD759D"/>
    <w:rsid w:val="00DE02E1"/>
    <w:rsid w:val="00DE35E2"/>
    <w:rsid w:val="00DE6B7B"/>
    <w:rsid w:val="00DF1FD6"/>
    <w:rsid w:val="00DF2768"/>
    <w:rsid w:val="00DF2E9A"/>
    <w:rsid w:val="00DF36E9"/>
    <w:rsid w:val="00DF3860"/>
    <w:rsid w:val="00DF4314"/>
    <w:rsid w:val="00DF64FD"/>
    <w:rsid w:val="00DF6FDB"/>
    <w:rsid w:val="00DF735C"/>
    <w:rsid w:val="00DF77E9"/>
    <w:rsid w:val="00E014F0"/>
    <w:rsid w:val="00E03E07"/>
    <w:rsid w:val="00E04FF7"/>
    <w:rsid w:val="00E05BEE"/>
    <w:rsid w:val="00E06A75"/>
    <w:rsid w:val="00E07C33"/>
    <w:rsid w:val="00E07D1E"/>
    <w:rsid w:val="00E11788"/>
    <w:rsid w:val="00E13EE9"/>
    <w:rsid w:val="00E14902"/>
    <w:rsid w:val="00E174FC"/>
    <w:rsid w:val="00E17F56"/>
    <w:rsid w:val="00E2094D"/>
    <w:rsid w:val="00E211C2"/>
    <w:rsid w:val="00E233BF"/>
    <w:rsid w:val="00E23C82"/>
    <w:rsid w:val="00E2483E"/>
    <w:rsid w:val="00E25805"/>
    <w:rsid w:val="00E26F62"/>
    <w:rsid w:val="00E275BA"/>
    <w:rsid w:val="00E2777A"/>
    <w:rsid w:val="00E325A1"/>
    <w:rsid w:val="00E32709"/>
    <w:rsid w:val="00E32AD1"/>
    <w:rsid w:val="00E33D00"/>
    <w:rsid w:val="00E3672B"/>
    <w:rsid w:val="00E3686B"/>
    <w:rsid w:val="00E37925"/>
    <w:rsid w:val="00E37ACB"/>
    <w:rsid w:val="00E4159B"/>
    <w:rsid w:val="00E41968"/>
    <w:rsid w:val="00E41F59"/>
    <w:rsid w:val="00E42279"/>
    <w:rsid w:val="00E4310A"/>
    <w:rsid w:val="00E44435"/>
    <w:rsid w:val="00E45102"/>
    <w:rsid w:val="00E47093"/>
    <w:rsid w:val="00E51316"/>
    <w:rsid w:val="00E528B3"/>
    <w:rsid w:val="00E54C61"/>
    <w:rsid w:val="00E55642"/>
    <w:rsid w:val="00E55809"/>
    <w:rsid w:val="00E563D6"/>
    <w:rsid w:val="00E601B6"/>
    <w:rsid w:val="00E62050"/>
    <w:rsid w:val="00E62D2D"/>
    <w:rsid w:val="00E6355D"/>
    <w:rsid w:val="00E63A58"/>
    <w:rsid w:val="00E63C31"/>
    <w:rsid w:val="00E63CB3"/>
    <w:rsid w:val="00E64C9C"/>
    <w:rsid w:val="00E656D9"/>
    <w:rsid w:val="00E66162"/>
    <w:rsid w:val="00E67A96"/>
    <w:rsid w:val="00E67EE8"/>
    <w:rsid w:val="00E7153A"/>
    <w:rsid w:val="00E746C7"/>
    <w:rsid w:val="00E75C05"/>
    <w:rsid w:val="00E773C4"/>
    <w:rsid w:val="00E774F4"/>
    <w:rsid w:val="00E77A03"/>
    <w:rsid w:val="00E77C39"/>
    <w:rsid w:val="00E807B9"/>
    <w:rsid w:val="00E80981"/>
    <w:rsid w:val="00E81F42"/>
    <w:rsid w:val="00E821C4"/>
    <w:rsid w:val="00E8379A"/>
    <w:rsid w:val="00E83EE4"/>
    <w:rsid w:val="00E84266"/>
    <w:rsid w:val="00E8510D"/>
    <w:rsid w:val="00E86E69"/>
    <w:rsid w:val="00E87609"/>
    <w:rsid w:val="00E87EE7"/>
    <w:rsid w:val="00E91C40"/>
    <w:rsid w:val="00E93565"/>
    <w:rsid w:val="00E95A62"/>
    <w:rsid w:val="00E9690E"/>
    <w:rsid w:val="00E96B23"/>
    <w:rsid w:val="00EA145F"/>
    <w:rsid w:val="00EA3378"/>
    <w:rsid w:val="00EA4386"/>
    <w:rsid w:val="00EA4A68"/>
    <w:rsid w:val="00EA521D"/>
    <w:rsid w:val="00EA6478"/>
    <w:rsid w:val="00EA7E74"/>
    <w:rsid w:val="00EB23BA"/>
    <w:rsid w:val="00EB4972"/>
    <w:rsid w:val="00EB5403"/>
    <w:rsid w:val="00EB63A4"/>
    <w:rsid w:val="00EB74BF"/>
    <w:rsid w:val="00EC0575"/>
    <w:rsid w:val="00EC1396"/>
    <w:rsid w:val="00EC14E3"/>
    <w:rsid w:val="00EC186C"/>
    <w:rsid w:val="00EC2F98"/>
    <w:rsid w:val="00EC33ED"/>
    <w:rsid w:val="00EC3576"/>
    <w:rsid w:val="00EC5110"/>
    <w:rsid w:val="00EC5F11"/>
    <w:rsid w:val="00EC652F"/>
    <w:rsid w:val="00EC7003"/>
    <w:rsid w:val="00EC78C7"/>
    <w:rsid w:val="00ED1021"/>
    <w:rsid w:val="00ED17C9"/>
    <w:rsid w:val="00ED311C"/>
    <w:rsid w:val="00ED4616"/>
    <w:rsid w:val="00ED4B6F"/>
    <w:rsid w:val="00ED5DAA"/>
    <w:rsid w:val="00ED69A4"/>
    <w:rsid w:val="00EE01CC"/>
    <w:rsid w:val="00EE216F"/>
    <w:rsid w:val="00EE2B4D"/>
    <w:rsid w:val="00EE3615"/>
    <w:rsid w:val="00EE3D6B"/>
    <w:rsid w:val="00EE491E"/>
    <w:rsid w:val="00EE49A4"/>
    <w:rsid w:val="00EE4FE1"/>
    <w:rsid w:val="00EE5AA9"/>
    <w:rsid w:val="00EE61BE"/>
    <w:rsid w:val="00EE6EFB"/>
    <w:rsid w:val="00EF0312"/>
    <w:rsid w:val="00EF07EB"/>
    <w:rsid w:val="00EF165B"/>
    <w:rsid w:val="00EF1A90"/>
    <w:rsid w:val="00EF2027"/>
    <w:rsid w:val="00EF2D39"/>
    <w:rsid w:val="00EF365F"/>
    <w:rsid w:val="00EF39FE"/>
    <w:rsid w:val="00EF6718"/>
    <w:rsid w:val="00EF68F7"/>
    <w:rsid w:val="00EF7A08"/>
    <w:rsid w:val="00F005D3"/>
    <w:rsid w:val="00F00FC9"/>
    <w:rsid w:val="00F02A77"/>
    <w:rsid w:val="00F0351A"/>
    <w:rsid w:val="00F06A87"/>
    <w:rsid w:val="00F06C97"/>
    <w:rsid w:val="00F07980"/>
    <w:rsid w:val="00F07A7D"/>
    <w:rsid w:val="00F10B5D"/>
    <w:rsid w:val="00F11B7A"/>
    <w:rsid w:val="00F11D28"/>
    <w:rsid w:val="00F1228B"/>
    <w:rsid w:val="00F127E8"/>
    <w:rsid w:val="00F12ECE"/>
    <w:rsid w:val="00F13628"/>
    <w:rsid w:val="00F13B0B"/>
    <w:rsid w:val="00F14C85"/>
    <w:rsid w:val="00F14CF9"/>
    <w:rsid w:val="00F15896"/>
    <w:rsid w:val="00F15FDE"/>
    <w:rsid w:val="00F17461"/>
    <w:rsid w:val="00F20195"/>
    <w:rsid w:val="00F20AB5"/>
    <w:rsid w:val="00F20BAB"/>
    <w:rsid w:val="00F234A6"/>
    <w:rsid w:val="00F25244"/>
    <w:rsid w:val="00F2545F"/>
    <w:rsid w:val="00F27DB3"/>
    <w:rsid w:val="00F3119C"/>
    <w:rsid w:val="00F32A5F"/>
    <w:rsid w:val="00F32BCC"/>
    <w:rsid w:val="00F3442C"/>
    <w:rsid w:val="00F34533"/>
    <w:rsid w:val="00F34DC7"/>
    <w:rsid w:val="00F366A4"/>
    <w:rsid w:val="00F36D98"/>
    <w:rsid w:val="00F37503"/>
    <w:rsid w:val="00F37843"/>
    <w:rsid w:val="00F402E7"/>
    <w:rsid w:val="00F40615"/>
    <w:rsid w:val="00F411EE"/>
    <w:rsid w:val="00F41302"/>
    <w:rsid w:val="00F41C55"/>
    <w:rsid w:val="00F42F35"/>
    <w:rsid w:val="00F43304"/>
    <w:rsid w:val="00F44909"/>
    <w:rsid w:val="00F46B8D"/>
    <w:rsid w:val="00F5052A"/>
    <w:rsid w:val="00F516E6"/>
    <w:rsid w:val="00F52BA6"/>
    <w:rsid w:val="00F534FE"/>
    <w:rsid w:val="00F53F2A"/>
    <w:rsid w:val="00F54EA9"/>
    <w:rsid w:val="00F55D64"/>
    <w:rsid w:val="00F55E5A"/>
    <w:rsid w:val="00F56C6D"/>
    <w:rsid w:val="00F5749C"/>
    <w:rsid w:val="00F57ADD"/>
    <w:rsid w:val="00F57D31"/>
    <w:rsid w:val="00F62CF2"/>
    <w:rsid w:val="00F62F25"/>
    <w:rsid w:val="00F635BA"/>
    <w:rsid w:val="00F64402"/>
    <w:rsid w:val="00F6457A"/>
    <w:rsid w:val="00F647FD"/>
    <w:rsid w:val="00F6555D"/>
    <w:rsid w:val="00F657C3"/>
    <w:rsid w:val="00F6685A"/>
    <w:rsid w:val="00F67DB7"/>
    <w:rsid w:val="00F70BB8"/>
    <w:rsid w:val="00F71C7E"/>
    <w:rsid w:val="00F71D56"/>
    <w:rsid w:val="00F7249C"/>
    <w:rsid w:val="00F72563"/>
    <w:rsid w:val="00F7388E"/>
    <w:rsid w:val="00F73EAC"/>
    <w:rsid w:val="00F7442E"/>
    <w:rsid w:val="00F80E93"/>
    <w:rsid w:val="00F810DE"/>
    <w:rsid w:val="00F81472"/>
    <w:rsid w:val="00F81CF1"/>
    <w:rsid w:val="00F82353"/>
    <w:rsid w:val="00F823C8"/>
    <w:rsid w:val="00F82598"/>
    <w:rsid w:val="00F831BC"/>
    <w:rsid w:val="00F837F7"/>
    <w:rsid w:val="00F87005"/>
    <w:rsid w:val="00F872D6"/>
    <w:rsid w:val="00F9086A"/>
    <w:rsid w:val="00F908F9"/>
    <w:rsid w:val="00F91B87"/>
    <w:rsid w:val="00F91D92"/>
    <w:rsid w:val="00F92E62"/>
    <w:rsid w:val="00F93BD1"/>
    <w:rsid w:val="00F9461D"/>
    <w:rsid w:val="00F94D3F"/>
    <w:rsid w:val="00F95461"/>
    <w:rsid w:val="00F9717E"/>
    <w:rsid w:val="00F9740D"/>
    <w:rsid w:val="00F97EDA"/>
    <w:rsid w:val="00F97F8D"/>
    <w:rsid w:val="00FA09BB"/>
    <w:rsid w:val="00FA1651"/>
    <w:rsid w:val="00FA1B42"/>
    <w:rsid w:val="00FA243D"/>
    <w:rsid w:val="00FA2BAB"/>
    <w:rsid w:val="00FA3711"/>
    <w:rsid w:val="00FA38FD"/>
    <w:rsid w:val="00FA4CD2"/>
    <w:rsid w:val="00FA4DEA"/>
    <w:rsid w:val="00FA5803"/>
    <w:rsid w:val="00FA5E3F"/>
    <w:rsid w:val="00FA615E"/>
    <w:rsid w:val="00FA63F1"/>
    <w:rsid w:val="00FA7CB7"/>
    <w:rsid w:val="00FB1170"/>
    <w:rsid w:val="00FB1347"/>
    <w:rsid w:val="00FB176C"/>
    <w:rsid w:val="00FB1E6A"/>
    <w:rsid w:val="00FB2039"/>
    <w:rsid w:val="00FB2A92"/>
    <w:rsid w:val="00FB31FC"/>
    <w:rsid w:val="00FB361F"/>
    <w:rsid w:val="00FB399D"/>
    <w:rsid w:val="00FB42BF"/>
    <w:rsid w:val="00FB439D"/>
    <w:rsid w:val="00FB619D"/>
    <w:rsid w:val="00FB6C37"/>
    <w:rsid w:val="00FB6E5D"/>
    <w:rsid w:val="00FB7FC8"/>
    <w:rsid w:val="00FC391E"/>
    <w:rsid w:val="00FC4834"/>
    <w:rsid w:val="00FC561D"/>
    <w:rsid w:val="00FC6519"/>
    <w:rsid w:val="00FD0D0D"/>
    <w:rsid w:val="00FD3586"/>
    <w:rsid w:val="00FD3B09"/>
    <w:rsid w:val="00FD3C10"/>
    <w:rsid w:val="00FD580E"/>
    <w:rsid w:val="00FD654B"/>
    <w:rsid w:val="00FD6DF5"/>
    <w:rsid w:val="00FD76E5"/>
    <w:rsid w:val="00FD792D"/>
    <w:rsid w:val="00FE00E7"/>
    <w:rsid w:val="00FE25DC"/>
    <w:rsid w:val="00FE347A"/>
    <w:rsid w:val="00FE3952"/>
    <w:rsid w:val="00FE3D40"/>
    <w:rsid w:val="00FE4508"/>
    <w:rsid w:val="00FE7F70"/>
    <w:rsid w:val="00FF0041"/>
    <w:rsid w:val="00FF055D"/>
    <w:rsid w:val="00FF22AE"/>
    <w:rsid w:val="00FF3179"/>
    <w:rsid w:val="00FF382E"/>
    <w:rsid w:val="00FF387B"/>
    <w:rsid w:val="00FF4AF0"/>
    <w:rsid w:val="00FF52A8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6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0F57"/>
    <w:pPr>
      <w:spacing w:after="200" w:line="276" w:lineRule="auto"/>
      <w:jc w:val="center"/>
      <w:outlineLvl w:val="0"/>
    </w:pPr>
    <w:rPr>
      <w:rFonts w:ascii="Garamond" w:hAnsi="Garamond" w:cs="Arial"/>
      <w:caps/>
      <w:color w:val="4F6228"/>
      <w:sz w:val="16"/>
      <w:szCs w:val="32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0F5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0F5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50F5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50F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50F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0F57"/>
    <w:rPr>
      <w:rFonts w:ascii="Garamond" w:eastAsia="Times New Roman" w:hAnsi="Garamond" w:cs="Arial"/>
      <w:caps/>
      <w:color w:val="4F6228"/>
      <w:kern w:val="0"/>
      <w:sz w:val="16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0F5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0F5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50F57"/>
    <w:rPr>
      <w:rFonts w:ascii="Times New Roman" w:eastAsia="Times New Roman" w:hAnsi="Times New Roman" w:cs="Times New Roman"/>
      <w:b/>
      <w:kern w:val="0"/>
      <w:sz w:val="24"/>
      <w:szCs w:val="24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50F57"/>
    <w:rPr>
      <w:rFonts w:ascii="Times New Roman" w:eastAsia="Times New Roman" w:hAnsi="Times New Roman" w:cs="Times New Roman"/>
      <w:b/>
      <w:kern w:val="0"/>
      <w:lang w:eastAsia="it-IT"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50F57"/>
    <w:rPr>
      <w:rFonts w:ascii="Times New Roman" w:eastAsia="Times New Roman" w:hAnsi="Times New Roman" w:cs="Times New Roman"/>
      <w:b/>
      <w:kern w:val="0"/>
      <w:sz w:val="20"/>
      <w:szCs w:val="20"/>
      <w:lang w:eastAsia="it-IT" w:bidi="he-IL"/>
    </w:rPr>
  </w:style>
  <w:style w:type="paragraph" w:customStyle="1" w:styleId="Normal1">
    <w:name w:val="Normal1"/>
    <w:rsid w:val="00150F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table" w:customStyle="1" w:styleId="TableNormal1">
    <w:name w:val="Table Normal1"/>
    <w:rsid w:val="00150F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150F5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150F57"/>
    <w:rPr>
      <w:rFonts w:ascii="Times New Roman" w:eastAsia="Times New Roman" w:hAnsi="Times New Roman" w:cs="Times New Roman"/>
      <w:b/>
      <w:kern w:val="0"/>
      <w:sz w:val="72"/>
      <w:szCs w:val="72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150F57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F57"/>
    <w:rPr>
      <w:rFonts w:ascii="Calibri" w:eastAsia="Times New Roman" w:hAnsi="Calibri" w:cs="Times New Roman"/>
      <w:kern w:val="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50F57"/>
    <w:rPr>
      <w:rFonts w:ascii="Calibri" w:eastAsia="Calibri" w:hAnsi="Calibri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50F57"/>
    <w:rPr>
      <w:rFonts w:ascii="Calibri" w:eastAsia="Calibri" w:hAnsi="Calibri" w:cs="Times New Roman"/>
      <w:kern w:val="0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50F5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0F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styleId="Collegamentoipertestuale">
    <w:name w:val="Hyperlink"/>
    <w:uiPriority w:val="99"/>
    <w:rsid w:val="00150F57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50F57"/>
    <w:pPr>
      <w:jc w:val="both"/>
    </w:pPr>
    <w:rPr>
      <w:i/>
      <w:iCs/>
      <w:sz w:val="26"/>
      <w:szCs w:val="20"/>
      <w:lang w:val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150F57"/>
    <w:rPr>
      <w:rFonts w:ascii="Times New Roman" w:eastAsia="Times New Roman" w:hAnsi="Times New Roman" w:cs="Times New Roman"/>
      <w:i/>
      <w:iCs/>
      <w:kern w:val="0"/>
      <w:sz w:val="26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150F57"/>
    <w:pPr>
      <w:spacing w:before="100" w:beforeAutospacing="1" w:after="100" w:afterAutospacing="1"/>
    </w:pPr>
    <w:rPr>
      <w:lang w:bidi="ar-SA"/>
    </w:rPr>
  </w:style>
  <w:style w:type="character" w:customStyle="1" w:styleId="jlqj4b">
    <w:name w:val="jlqj4b"/>
    <w:basedOn w:val="Carpredefinitoparagrafo"/>
    <w:rsid w:val="00150F57"/>
  </w:style>
  <w:style w:type="paragraph" w:styleId="Pidipagina">
    <w:name w:val="footer"/>
    <w:basedOn w:val="Normale"/>
    <w:link w:val="PidipaginaCarattere"/>
    <w:uiPriority w:val="99"/>
    <w:unhideWhenUsed/>
    <w:rsid w:val="00150F5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F57"/>
    <w:rPr>
      <w:rFonts w:ascii="Calibri" w:eastAsia="Calibri" w:hAnsi="Calibri" w:cs="Times New Roman"/>
      <w:kern w:val="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0F57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150F57"/>
    <w:rPr>
      <w:b/>
      <w:bCs/>
    </w:rPr>
  </w:style>
  <w:style w:type="character" w:customStyle="1" w:styleId="viiyi">
    <w:name w:val="viiyi"/>
    <w:basedOn w:val="Carpredefinitoparagrafo"/>
    <w:rsid w:val="00150F57"/>
  </w:style>
  <w:style w:type="paragraph" w:customStyle="1" w:styleId="Body">
    <w:name w:val="Body"/>
    <w:basedOn w:val="Normale"/>
    <w:rsid w:val="00150F57"/>
    <w:rPr>
      <w:rFonts w:ascii="Helvetica" w:eastAsiaTheme="minorHAnsi" w:hAnsi="Helvetica"/>
      <w:color w:val="000000"/>
      <w:sz w:val="22"/>
      <w:szCs w:val="22"/>
      <w:lang w:bidi="ar-SA"/>
    </w:rPr>
  </w:style>
  <w:style w:type="character" w:customStyle="1" w:styleId="meta-part">
    <w:name w:val="meta-part"/>
    <w:basedOn w:val="Carpredefinitoparagrafo"/>
    <w:rsid w:val="00150F5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50F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50F57"/>
  </w:style>
  <w:style w:type="paragraph" w:styleId="PreformattatoHTML">
    <w:name w:val="HTML Preformatted"/>
    <w:basedOn w:val="Normale"/>
    <w:link w:val="PreformattatoHTMLCarattere"/>
    <w:uiPriority w:val="99"/>
    <w:unhideWhenUsed/>
    <w:rsid w:val="00150F57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50F57"/>
    <w:rPr>
      <w:rFonts w:ascii="Consolas" w:eastAsia="Times New Roman" w:hAnsi="Consolas" w:cs="Times New Roman"/>
      <w:kern w:val="0"/>
      <w:sz w:val="20"/>
      <w:szCs w:val="20"/>
      <w:lang w:eastAsia="it-IT" w:bidi="he-IL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150F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150F57"/>
    <w:rPr>
      <w:color w:val="605E5C"/>
      <w:shd w:val="clear" w:color="auto" w:fill="E1DFDD"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150F5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150F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it-IT" w:bidi="he-IL"/>
    </w:rPr>
  </w:style>
  <w:style w:type="character" w:customStyle="1" w:styleId="y2iqfc">
    <w:name w:val="y2iqfc"/>
    <w:basedOn w:val="Carpredefinitoparagrafo"/>
    <w:rsid w:val="00150F57"/>
  </w:style>
  <w:style w:type="paragraph" w:styleId="Testonormale">
    <w:name w:val="Plain Text"/>
    <w:basedOn w:val="Normale"/>
    <w:link w:val="TestonormaleCarattere"/>
    <w:uiPriority w:val="99"/>
    <w:semiHidden/>
    <w:unhideWhenUsed/>
    <w:rsid w:val="00150F57"/>
    <w:rPr>
      <w:rFonts w:ascii="Calibri" w:eastAsiaTheme="minorHAnsi" w:hAnsi="Calibri" w:cstheme="minorBidi"/>
      <w:sz w:val="22"/>
      <w:szCs w:val="21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50F57"/>
    <w:rPr>
      <w:rFonts w:ascii="Calibri" w:hAnsi="Calibri"/>
      <w:kern w:val="0"/>
      <w:szCs w:val="21"/>
      <w:lang w:eastAsia="it-IT"/>
    </w:rPr>
  </w:style>
  <w:style w:type="character" w:customStyle="1" w:styleId="gmail-apple-converted-space">
    <w:name w:val="gmail-apple-converted-space"/>
    <w:basedOn w:val="Carpredefinitoparagrafo"/>
    <w:rsid w:val="00150F57"/>
  </w:style>
  <w:style w:type="paragraph" w:styleId="Sottotitolo">
    <w:name w:val="Subtitle"/>
    <w:basedOn w:val="Normal1"/>
    <w:next w:val="Normal1"/>
    <w:link w:val="SottotitoloCarattere"/>
    <w:rsid w:val="00150F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150F57"/>
    <w:rPr>
      <w:rFonts w:ascii="Georgia" w:eastAsia="Georgia" w:hAnsi="Georgia" w:cs="Georgia"/>
      <w:i/>
      <w:color w:val="666666"/>
      <w:kern w:val="0"/>
      <w:sz w:val="48"/>
      <w:szCs w:val="48"/>
      <w:lang w:eastAsia="it-IT"/>
    </w:rPr>
  </w:style>
  <w:style w:type="character" w:customStyle="1" w:styleId="UnresolvedMention4">
    <w:name w:val="Unresolved Mention4"/>
    <w:basedOn w:val="Carpredefinitoparagrafo"/>
    <w:uiPriority w:val="99"/>
    <w:semiHidden/>
    <w:unhideWhenUsed/>
    <w:rsid w:val="00150F57"/>
    <w:rPr>
      <w:color w:val="605E5C"/>
      <w:shd w:val="clear" w:color="auto" w:fill="E1DFDD"/>
    </w:rPr>
  </w:style>
  <w:style w:type="character" w:customStyle="1" w:styleId="gmail-y2iqfc">
    <w:name w:val="gmail-y2iqfc"/>
    <w:basedOn w:val="Carpredefinitoparagrafo"/>
    <w:rsid w:val="00150F57"/>
  </w:style>
  <w:style w:type="character" w:styleId="Enfasicorsivo">
    <w:name w:val="Emphasis"/>
    <w:basedOn w:val="Carpredefinitoparagrafo"/>
    <w:uiPriority w:val="20"/>
    <w:qFormat/>
    <w:rsid w:val="00150F57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150F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50F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50F57"/>
    <w:rPr>
      <w:rFonts w:ascii="Times New Roman" w:eastAsia="Times New Roman" w:hAnsi="Times New Roman" w:cs="Times New Roman"/>
      <w:kern w:val="0"/>
      <w:sz w:val="20"/>
      <w:szCs w:val="20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0F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0F57"/>
    <w:rPr>
      <w:rFonts w:ascii="Times New Roman" w:eastAsia="Times New Roman" w:hAnsi="Times New Roman" w:cs="Times New Roman"/>
      <w:b/>
      <w:bCs/>
      <w:kern w:val="0"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F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F57"/>
    <w:rPr>
      <w:rFonts w:ascii="Tahoma" w:eastAsia="Times New Roman" w:hAnsi="Tahoma" w:cs="Tahoma"/>
      <w:kern w:val="0"/>
      <w:sz w:val="16"/>
      <w:szCs w:val="16"/>
      <w:lang w:eastAsia="it-IT" w:bidi="he-IL"/>
    </w:rPr>
  </w:style>
  <w:style w:type="character" w:customStyle="1" w:styleId="xt0psk2">
    <w:name w:val="xt0psk2"/>
    <w:basedOn w:val="Carpredefinitoparagrafo"/>
    <w:rsid w:val="00150F57"/>
  </w:style>
  <w:style w:type="character" w:customStyle="1" w:styleId="UnresolvedMention5">
    <w:name w:val="Unresolved Mention5"/>
    <w:basedOn w:val="Carpredefinitoparagrafo"/>
    <w:uiPriority w:val="99"/>
    <w:semiHidden/>
    <w:unhideWhenUsed/>
    <w:rsid w:val="00F20AB5"/>
    <w:rPr>
      <w:color w:val="605E5C"/>
      <w:shd w:val="clear" w:color="auto" w:fill="E1DFDD"/>
    </w:rPr>
  </w:style>
  <w:style w:type="character" w:customStyle="1" w:styleId="hwtze">
    <w:name w:val="hwtze"/>
    <w:basedOn w:val="Carpredefinitoparagrafo"/>
    <w:rsid w:val="006E7228"/>
  </w:style>
  <w:style w:type="character" w:customStyle="1" w:styleId="rynqvb">
    <w:name w:val="rynqvb"/>
    <w:basedOn w:val="Carpredefinitoparagrafo"/>
    <w:rsid w:val="006E7228"/>
  </w:style>
  <w:style w:type="paragraph" w:customStyle="1" w:styleId="atext">
    <w:name w:val="atext"/>
    <w:basedOn w:val="Normale"/>
    <w:rsid w:val="00113E35"/>
    <w:pPr>
      <w:spacing w:before="100" w:beforeAutospacing="1" w:after="100" w:afterAutospacing="1"/>
    </w:pPr>
    <w:rPr>
      <w:lang w:val="it-IT" w:bidi="ar-SA"/>
    </w:rPr>
  </w:style>
  <w:style w:type="character" w:customStyle="1" w:styleId="UnresolvedMention6">
    <w:name w:val="Unresolved Mention6"/>
    <w:basedOn w:val="Carpredefinitoparagrafo"/>
    <w:uiPriority w:val="99"/>
    <w:semiHidden/>
    <w:unhideWhenUsed/>
    <w:rsid w:val="00FC4834"/>
    <w:rPr>
      <w:color w:val="605E5C"/>
      <w:shd w:val="clear" w:color="auto" w:fill="E1DFDD"/>
    </w:rPr>
  </w:style>
  <w:style w:type="character" w:customStyle="1" w:styleId="UnresolvedMention7">
    <w:name w:val="Unresolved Mention7"/>
    <w:basedOn w:val="Carpredefinitoparagrafo"/>
    <w:uiPriority w:val="99"/>
    <w:semiHidden/>
    <w:unhideWhenUsed/>
    <w:rsid w:val="00A92DF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275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lsole24ore.com/art/musk-contro-telecom-italia-blocca-sviluppo-internet-veloce-AF91yWHD" TargetMode="External"/><Relationship Id="rId18" Type="http://schemas.openxmlformats.org/officeDocument/2006/relationships/hyperlink" Target="https://finanza.repubblica.it/News/2024/04/17/vinitaly_chiusura_con_97mila_presenze_e_oltre_30_mila_operatori_esteri_+31percento_-141/" TargetMode="External"/><Relationship Id="rId26" Type="http://schemas.openxmlformats.org/officeDocument/2006/relationships/hyperlink" Target="https://www.corriere.it/economia/finanza/24_aprile_16/fmi-conferma-le-stime-di-crescita-dell-italia-per-il-2024-e-taglia-quelle-per-il-2025-f4723d34-9aec-477c-9372-1610b9ac4xlk.shtml" TargetMode="External"/><Relationship Id="rId39" Type="http://schemas.openxmlformats.org/officeDocument/2006/relationships/hyperlink" Target="https://www.corriere.it/economia/consumi/cards/incentivi-un-anno-senza-vendere-l-auto-per-averlo-tutti-gli-obblighi-da-rispettare-per-ottenere-l-ecobonus/ecobonus-auto-un-pacchetto-da-950-milioni_principale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ise.it/ambiente-e-ricerca/computing-e-fisica-dei-neutrini-firmati-due-nuovi-accordi-tra-italia-e-stati-uniti/204079/1/1/13656" TargetMode="External"/><Relationship Id="rId34" Type="http://schemas.openxmlformats.org/officeDocument/2006/relationships/hyperlink" Target="https://www.ilsole24ore.com/art/la-cinese-dongfeng-pronta-produrre-100mila-auto-italia-AFl5drZD" TargetMode="External"/><Relationship Id="rId42" Type="http://schemas.openxmlformats.org/officeDocument/2006/relationships/hyperlink" Target="https://www.ilmessaggero.it/economia/news/ocse_occupati_record_italia-8063374.html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lsole24ore.com/art/salone-mobile-la-chiusura-attese-oltre-350mila-presenze-AFAwQ9fD" TargetMode="External"/><Relationship Id="rId17" Type="http://schemas.openxmlformats.org/officeDocument/2006/relationships/hyperlink" Target="https://www.padovaoggi.it/attualita/cadoneghe-dedica-parco-alla-lituania-padova-17-aprile-2024.html" TargetMode="External"/><Relationship Id="rId25" Type="http://schemas.openxmlformats.org/officeDocument/2006/relationships/hyperlink" Target="https://www.ilsole24ore.com/art/sp-conferma-rating-dell-italia-bbb-outlook-stabile-AFP6DYeD" TargetMode="External"/><Relationship Id="rId33" Type="http://schemas.openxmlformats.org/officeDocument/2006/relationships/hyperlink" Target="https://www.ilsole24ore.com/art/veicoli-aziendali-inquinanti-contributi-fino-9mila-euro-sostituirli-incentivi-campo-AFppWHbD" TargetMode="External"/><Relationship Id="rId38" Type="http://schemas.openxmlformats.org/officeDocument/2006/relationships/hyperlink" Target="https://www.ilsole24ore.com/art/fs-e-amazon-alleati-il-trasporto-merci-germania-e-italia-AFeAhTKD" TargetMode="External"/><Relationship Id="rId46" Type="http://schemas.openxmlformats.org/officeDocument/2006/relationships/hyperlink" Target="https://www.ilsole24ore.com/art/istat-sud-distante-centro-nord-soprattutto-istruzione-non-formale-AFYhyDQ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ostariacastello.com/la-biennale-venezia-2024-padiglione-lituania/amp/" TargetMode="External"/><Relationship Id="rId20" Type="http://schemas.openxmlformats.org/officeDocument/2006/relationships/hyperlink" Target="https://www.ilsole24ore.com/art/in-corso-cdm-tavolo-regole-sull-intelligenza-artificiale-AFU7U1hD" TargetMode="External"/><Relationship Id="rId29" Type="http://schemas.openxmlformats.org/officeDocument/2006/relationships/hyperlink" Target="https://www.ilfattoquotidiano.it/2024/04/04/le-persone-e-le-aziende-coinvolti-nellinchiesta-sulle-frodi-sui-fondi-del-pnrr-ce-anche-lex-proprietario-della-pistoiese/7501983/" TargetMode="External"/><Relationship Id="rId41" Type="http://schemas.openxmlformats.org/officeDocument/2006/relationships/hyperlink" Target="https://www.ansa.it/sito/notizie/topnews/2024/04/18/istat-il-466-degli-italiani-e-soddisfatto-della-sua-vita_a9810372-0da2-4458-b51b-a0a5ee104e3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lsole24ore.com/art/l-catterton-accordo-acquisizione-maggioranza-kiko-milano-AFbaogkD" TargetMode="External"/><Relationship Id="rId24" Type="http://schemas.openxmlformats.org/officeDocument/2006/relationships/hyperlink" Target="https://www.corriere.it/economia/lavoro/cards/bonus-100-euro-e-sgravi-per-chi-assume-donne-e-giovani-il-cdm-approva-le-nuove-misure-sul-lavoro/gli-sgravi-per-le-assunzioni-di-donne-e-giovani.shtml" TargetMode="External"/><Relationship Id="rId32" Type="http://schemas.openxmlformats.org/officeDocument/2006/relationships/hyperlink" Target="https://www.ilsole24ore.com/art/limenet-start-up-che-immagazzina-co2-mare-vende-prime-mille-tonnellate-AFpD9ueD" TargetMode="External"/><Relationship Id="rId37" Type="http://schemas.openxmlformats.org/officeDocument/2006/relationships/hyperlink" Target="https://www.liberoquotidiano.it/news/politica/39043838/g7-milano-trasporti-biocarburanti-piano-salvini-salvare-auto.html" TargetMode="External"/><Relationship Id="rId40" Type="http://schemas.openxmlformats.org/officeDocument/2006/relationships/hyperlink" Target="https://www.avvenire.it/economia/pagine/pil-italia-primi-tre-mesi-2024" TargetMode="External"/><Relationship Id="rId45" Type="http://schemas.openxmlformats.org/officeDocument/2006/relationships/hyperlink" Target="https://www.ilsole24ore.com/art/bankitalia-torna-salire-febbraio-debito-2872-miliardi-AFnwmcW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lsole24ore.com/art/agriturismi-crescita-costante-ascesa-sicilia-e-campania-AFW6bDbD" TargetMode="External"/><Relationship Id="rId23" Type="http://schemas.openxmlformats.org/officeDocument/2006/relationships/hyperlink" Target="https://www.ansa.it/sito/notizie/economia/2024/04/08/nasce-e-cells-lab-la-ferrari-studiera-le-celle-al-litio_ca7653ae-ab1c-44e9-b51a-0578d6887044.html" TargetMode="External"/><Relationship Id="rId28" Type="http://schemas.openxmlformats.org/officeDocument/2006/relationships/hyperlink" Target="https://www.milanofinanza.it/news/pnrr-ambrosetti-italia-seconda-nell-attuazione-del-piano-ma-8-aziende-su-10-hanno-difficolta-a-partecipare-202404061047569408?refresh_cens" TargetMode="External"/><Relationship Id="rId36" Type="http://schemas.openxmlformats.org/officeDocument/2006/relationships/hyperlink" Target="https://www.ilsole24ore.com/art/ita-e-lufthansa-hanno-presentato-nuovi-impegni-bruxelles-valutera-entro-6-giugno-AF4zZ9WD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investinitaly.gov.it/en" TargetMode="External"/><Relationship Id="rId19" Type="http://schemas.openxmlformats.org/officeDocument/2006/relationships/hyperlink" Target="https://www.ilmessaggero.it/schede/lituania_viaggiare_andare_cosa_vedere_dalla_sauna_passeggiata_ad_alta_quota_7_motivi_scoprirla-8039794.html" TargetMode="External"/><Relationship Id="rId31" Type="http://schemas.openxmlformats.org/officeDocument/2006/relationships/hyperlink" Target="https://www.shippingitaly.it/2024/04/29/snam-investe-circa-80-milioni-per-rimettere-a-nuovo-il-rigassificatore-offshore-di-livorno/" TargetMode="External"/><Relationship Id="rId44" Type="http://schemas.openxmlformats.org/officeDocument/2006/relationships/hyperlink" Target="https://www.ilsole24ore.com/art/inflazione-variazione-nulla-marzo-12percento-anno-AFkuoSY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lanfintechsummit.com/" TargetMode="External"/><Relationship Id="rId14" Type="http://schemas.openxmlformats.org/officeDocument/2006/relationships/hyperlink" Target="https://www.ilsole24ore.com/art/assoviaggi-cst-bene-89percento-fatturato-agenzie-viaggio-primo-trimestre-AFHIXvfD" TargetMode="External"/><Relationship Id="rId22" Type="http://schemas.openxmlformats.org/officeDocument/2006/relationships/hyperlink" Target="ww.ilfattoquotidiano.it/2024/04/09/obiettivo-marte-riparte-la-missione-exomars-2028-il-rover-europeo-cerchera-tracce-di-vita-con-una-trivella-sviluppata-in-italia/7506298/" TargetMode="External"/><Relationship Id="rId27" Type="http://schemas.openxmlformats.org/officeDocument/2006/relationships/hyperlink" Target="https://www.ilsole24ore.com/radiocor/nRC_09.04.2024_13.09_34310343" TargetMode="External"/><Relationship Id="rId30" Type="http://schemas.openxmlformats.org/officeDocument/2006/relationships/hyperlink" Target="https://www.ilfattoquotidiano.it/2024/04/30/g7-ambiente-in-piemonte-ce-lo-stop-al-carbone-entro-il-2035-ma-poco-sul-gas-successo-o-minimo-sindacale-gli-stati-hanno-19-mesi-per-mantenere-le-promesse/7531621/" TargetMode="External"/><Relationship Id="rId35" Type="http://schemas.openxmlformats.org/officeDocument/2006/relationships/hyperlink" Target="https://www.ilsole24ore.com/art/alfa-romeo-milano-cambia-nome-diventa-junior-AFTvRJXD" TargetMode="External"/><Relationship Id="rId43" Type="http://schemas.openxmlformats.org/officeDocument/2006/relationships/hyperlink" Target="https://www.istat.it/it/archivio/296044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lazioinnova.it/laziointernational/2024/04/16/greentech-global-for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66D7-010E-457B-9DBC-93AE2531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6</Pages>
  <Words>3874</Words>
  <Characters>22088</Characters>
  <Application>Microsoft Office Word</Application>
  <DocSecurity>0</DocSecurity>
  <Lines>184</Lines>
  <Paragraphs>51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URM</Company>
  <LinksUpToDate>false</LinksUpToDate>
  <CharactersWithSpaces>25911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Safranaviciute</dc:creator>
  <cp:lastModifiedBy>Viktorija Safranaviciute</cp:lastModifiedBy>
  <cp:revision>47</cp:revision>
  <dcterms:created xsi:type="dcterms:W3CDTF">2024-04-02T08:19:00Z</dcterms:created>
  <dcterms:modified xsi:type="dcterms:W3CDTF">2024-05-03T12:19:00Z</dcterms:modified>
</cp:coreProperties>
</file>