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F9DA" w14:textId="12DEE429" w:rsidR="00CD0A59" w:rsidRDefault="009571FD" w:rsidP="00CD0A59">
      <w:pPr>
        <w:spacing w:line="360" w:lineRule="auto"/>
        <w:jc w:val="center"/>
        <w:rPr>
          <w:rStyle w:val="apple-converted-space"/>
          <w:rFonts w:ascii="Times New Roman" w:hAnsi="Times New Roman" w:cs="Times New Roman"/>
          <w:b/>
          <w:bCs/>
          <w:color w:val="222222"/>
          <w:shd w:val="clear" w:color="auto" w:fill="FFFFFF"/>
        </w:rPr>
      </w:pPr>
      <w:r w:rsidRPr="00B61BB6">
        <w:rPr>
          <w:rStyle w:val="apple-converted-space"/>
          <w:rFonts w:ascii="Times New Roman" w:hAnsi="Times New Roman" w:cs="Times New Roman"/>
          <w:b/>
          <w:bCs/>
          <w:color w:val="222222"/>
          <w:shd w:val="clear" w:color="auto" w:fill="FFFFFF"/>
        </w:rPr>
        <w:t>Lietuvos Respubl</w:t>
      </w:r>
      <w:r w:rsidR="00883E43">
        <w:rPr>
          <w:rStyle w:val="apple-converted-space"/>
          <w:rFonts w:ascii="Times New Roman" w:hAnsi="Times New Roman" w:cs="Times New Roman"/>
          <w:b/>
          <w:bCs/>
          <w:color w:val="222222"/>
          <w:shd w:val="clear" w:color="auto" w:fill="FFFFFF"/>
        </w:rPr>
        <w:t>i</w:t>
      </w:r>
      <w:r w:rsidRPr="00B61BB6">
        <w:rPr>
          <w:rStyle w:val="apple-converted-space"/>
          <w:rFonts w:ascii="Times New Roman" w:hAnsi="Times New Roman" w:cs="Times New Roman"/>
          <w:b/>
          <w:bCs/>
          <w:color w:val="222222"/>
          <w:shd w:val="clear" w:color="auto" w:fill="FFFFFF"/>
        </w:rPr>
        <w:t xml:space="preserve">kos ambasada </w:t>
      </w:r>
      <w:r w:rsidRPr="00ED1BFE">
        <w:rPr>
          <w:rStyle w:val="apple-converted-space"/>
          <w:rFonts w:ascii="Times New Roman" w:hAnsi="Times New Roman" w:cs="Times New Roman"/>
          <w:b/>
          <w:bCs/>
          <w:color w:val="222222"/>
          <w:shd w:val="clear" w:color="auto" w:fill="FFFFFF"/>
        </w:rPr>
        <w:t>Švedijos Karalystėje</w:t>
      </w:r>
    </w:p>
    <w:p w14:paraId="36E5BADE" w14:textId="77777777" w:rsidR="00CD0A59" w:rsidRPr="00B74B65" w:rsidRDefault="00CD0A59" w:rsidP="00CD0A59">
      <w:pPr>
        <w:spacing w:line="360" w:lineRule="auto"/>
        <w:jc w:val="center"/>
        <w:rPr>
          <w:rStyle w:val="apple-converted-space"/>
          <w:rFonts w:ascii="Times New Roman" w:hAnsi="Times New Roman" w:cs="Times New Roman"/>
          <w:b/>
          <w:bCs/>
          <w:color w:val="222222"/>
          <w:shd w:val="clear" w:color="auto" w:fill="FFFFFF"/>
        </w:rPr>
      </w:pPr>
    </w:p>
    <w:p w14:paraId="4D22674C" w14:textId="0D02399A" w:rsidR="00CD0A59" w:rsidRPr="00CD0A59" w:rsidRDefault="009571FD" w:rsidP="00CD0A59">
      <w:pPr>
        <w:spacing w:line="360" w:lineRule="auto"/>
        <w:jc w:val="center"/>
        <w:rPr>
          <w:rStyle w:val="apple-converted-space"/>
          <w:rFonts w:ascii="Times New Roman" w:hAnsi="Times New Roman" w:cs="Times New Roman"/>
          <w:b/>
          <w:bCs/>
          <w:color w:val="222222"/>
          <w:shd w:val="clear" w:color="auto" w:fill="FFFFFF"/>
        </w:rPr>
      </w:pPr>
      <w:r w:rsidRPr="00ED1BFE">
        <w:rPr>
          <w:rStyle w:val="apple-converted-space"/>
          <w:rFonts w:ascii="Times New Roman" w:hAnsi="Times New Roman" w:cs="Times New Roman"/>
          <w:b/>
          <w:bCs/>
          <w:color w:val="222222"/>
          <w:shd w:val="clear" w:color="auto" w:fill="FFFFFF"/>
        </w:rPr>
        <w:t>AKTUALIOS EKONOMINĖS INFORMACIJOS SUVESTINĖ</w:t>
      </w:r>
    </w:p>
    <w:p w14:paraId="16E17E5B" w14:textId="0B8F3E3F" w:rsidR="009571FD" w:rsidRDefault="009571FD" w:rsidP="009571FD">
      <w:pPr>
        <w:spacing w:line="360" w:lineRule="auto"/>
        <w:jc w:val="center"/>
        <w:rPr>
          <w:rStyle w:val="apple-converted-space"/>
          <w:rFonts w:ascii="Times New Roman" w:hAnsi="Times New Roman" w:cs="Times New Roman"/>
          <w:color w:val="222222"/>
          <w:shd w:val="clear" w:color="auto" w:fill="FFFFFF"/>
        </w:rPr>
      </w:pPr>
      <w:r w:rsidRPr="00ED1BFE">
        <w:rPr>
          <w:rStyle w:val="apple-converted-space"/>
          <w:rFonts w:ascii="Times New Roman" w:hAnsi="Times New Roman" w:cs="Times New Roman"/>
          <w:color w:val="222222"/>
          <w:shd w:val="clear" w:color="auto" w:fill="FFFFFF"/>
        </w:rPr>
        <w:t>202</w:t>
      </w:r>
      <w:r w:rsidR="006D6425">
        <w:rPr>
          <w:rStyle w:val="apple-converted-space"/>
          <w:rFonts w:ascii="Times New Roman" w:hAnsi="Times New Roman" w:cs="Times New Roman"/>
          <w:color w:val="222222"/>
          <w:shd w:val="clear" w:color="auto" w:fill="FFFFFF"/>
        </w:rPr>
        <w:t>4</w:t>
      </w:r>
      <w:r w:rsidRPr="00ED1BFE">
        <w:rPr>
          <w:rStyle w:val="apple-converted-space"/>
          <w:rFonts w:ascii="Times New Roman" w:hAnsi="Times New Roman" w:cs="Times New Roman"/>
          <w:color w:val="222222"/>
          <w:shd w:val="clear" w:color="auto" w:fill="FFFFFF"/>
        </w:rPr>
        <w:t xml:space="preserve"> </w:t>
      </w:r>
      <w:r w:rsidR="006D6425">
        <w:rPr>
          <w:rStyle w:val="apple-converted-space"/>
          <w:rFonts w:ascii="Times New Roman" w:hAnsi="Times New Roman" w:cs="Times New Roman"/>
          <w:color w:val="222222"/>
          <w:shd w:val="clear" w:color="auto" w:fill="FFFFFF"/>
        </w:rPr>
        <w:t>sausio</w:t>
      </w:r>
      <w:r>
        <w:rPr>
          <w:rStyle w:val="apple-converted-space"/>
          <w:rFonts w:ascii="Times New Roman" w:hAnsi="Times New Roman" w:cs="Times New Roman"/>
          <w:color w:val="222222"/>
          <w:shd w:val="clear" w:color="auto" w:fill="FFFFFF"/>
        </w:rPr>
        <w:t xml:space="preserve"> </w:t>
      </w:r>
      <w:r w:rsidR="006D6425">
        <w:rPr>
          <w:rStyle w:val="apple-converted-space"/>
          <w:rFonts w:ascii="Times New Roman" w:hAnsi="Times New Roman" w:cs="Times New Roman"/>
          <w:color w:val="222222"/>
          <w:shd w:val="clear" w:color="auto" w:fill="FFFFFF"/>
        </w:rPr>
        <w:t>2</w:t>
      </w:r>
      <w:r w:rsidRPr="00ED1BFE">
        <w:rPr>
          <w:rStyle w:val="apple-converted-space"/>
          <w:rFonts w:ascii="Times New Roman" w:hAnsi="Times New Roman" w:cs="Times New Roman"/>
          <w:color w:val="222222"/>
          <w:shd w:val="clear" w:color="auto" w:fill="FFFFFF"/>
        </w:rPr>
        <w:t xml:space="preserve"> d. – </w:t>
      </w:r>
      <w:r w:rsidR="006D6425">
        <w:rPr>
          <w:rStyle w:val="apple-converted-space"/>
          <w:rFonts w:ascii="Times New Roman" w:hAnsi="Times New Roman" w:cs="Times New Roman"/>
          <w:color w:val="222222"/>
          <w:shd w:val="clear" w:color="auto" w:fill="FFFFFF"/>
        </w:rPr>
        <w:t>sausio</w:t>
      </w:r>
      <w:r w:rsidR="00DA3134">
        <w:rPr>
          <w:rStyle w:val="apple-converted-space"/>
          <w:rFonts w:ascii="Times New Roman" w:hAnsi="Times New Roman" w:cs="Times New Roman"/>
          <w:color w:val="222222"/>
          <w:shd w:val="clear" w:color="auto" w:fill="FFFFFF"/>
        </w:rPr>
        <w:t xml:space="preserve"> </w:t>
      </w:r>
      <w:r w:rsidR="006D6425">
        <w:rPr>
          <w:rStyle w:val="apple-converted-space"/>
          <w:rFonts w:ascii="Times New Roman" w:hAnsi="Times New Roman" w:cs="Times New Roman"/>
          <w:color w:val="222222"/>
          <w:shd w:val="clear" w:color="auto" w:fill="FFFFFF"/>
        </w:rPr>
        <w:t>31</w:t>
      </w:r>
      <w:r>
        <w:rPr>
          <w:rStyle w:val="apple-converted-space"/>
          <w:rFonts w:ascii="Times New Roman" w:hAnsi="Times New Roman" w:cs="Times New Roman"/>
          <w:color w:val="222222"/>
          <w:shd w:val="clear" w:color="auto" w:fill="FFFFFF"/>
        </w:rPr>
        <w:t xml:space="preserve"> d.</w:t>
      </w:r>
    </w:p>
    <w:p w14:paraId="24D70F7A" w14:textId="77777777" w:rsidR="009571FD" w:rsidRDefault="009571FD" w:rsidP="00883E43">
      <w:pPr>
        <w:spacing w:line="360" w:lineRule="auto"/>
        <w:rPr>
          <w:rStyle w:val="apple-converted-space"/>
          <w:rFonts w:ascii="Times New Roman" w:hAnsi="Times New Roman" w:cs="Times New Roman"/>
          <w:color w:val="222222"/>
          <w:shd w:val="clear" w:color="auto" w:fill="FFFFFF"/>
        </w:rPr>
      </w:pPr>
    </w:p>
    <w:tbl>
      <w:tblPr>
        <w:tblStyle w:val="TableGrid"/>
        <w:tblW w:w="21742" w:type="dxa"/>
        <w:tblLook w:val="04A0" w:firstRow="1" w:lastRow="0" w:firstColumn="1" w:lastColumn="0" w:noHBand="0" w:noVBand="1"/>
      </w:tblPr>
      <w:tblGrid>
        <w:gridCol w:w="1097"/>
        <w:gridCol w:w="7120"/>
        <w:gridCol w:w="4653"/>
        <w:gridCol w:w="1056"/>
        <w:gridCol w:w="3340"/>
        <w:gridCol w:w="2238"/>
        <w:gridCol w:w="2238"/>
      </w:tblGrid>
      <w:tr w:rsidR="009571FD" w14:paraId="382780EF" w14:textId="77777777" w:rsidTr="00041D0A">
        <w:trPr>
          <w:gridAfter w:val="3"/>
          <w:wAfter w:w="7816" w:type="dxa"/>
        </w:trPr>
        <w:tc>
          <w:tcPr>
            <w:tcW w:w="1097" w:type="dxa"/>
          </w:tcPr>
          <w:p w14:paraId="2748746B"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lang w:val="sv-SE"/>
              </w:rPr>
              <w:t>Data</w:t>
            </w:r>
          </w:p>
        </w:tc>
        <w:tc>
          <w:tcPr>
            <w:tcW w:w="7120" w:type="dxa"/>
          </w:tcPr>
          <w:p w14:paraId="21A6F075" w14:textId="77777777" w:rsidR="009571FD" w:rsidRPr="009571FD" w:rsidRDefault="009571FD" w:rsidP="009571FD">
            <w:pPr>
              <w:jc w:val="center"/>
              <w:rPr>
                <w:rFonts w:ascii="Times New Roman" w:hAnsi="Times New Roman" w:cs="Times New Roman"/>
                <w:lang w:val="sv-SE"/>
              </w:rPr>
            </w:pPr>
            <w:r w:rsidRPr="009571FD">
              <w:rPr>
                <w:rFonts w:ascii="Times New Roman" w:hAnsi="Times New Roman" w:cs="Times New Roman"/>
                <w:lang w:val="sv-SE"/>
              </w:rPr>
              <w:t>Pateikiamos informacijos apibendrinimas</w:t>
            </w:r>
          </w:p>
        </w:tc>
        <w:tc>
          <w:tcPr>
            <w:tcW w:w="4653" w:type="dxa"/>
          </w:tcPr>
          <w:p w14:paraId="1C638C34"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lang w:val="sv-SE"/>
              </w:rPr>
              <w:t xml:space="preserve">Informacijos </w:t>
            </w:r>
            <w:r w:rsidRPr="009571FD">
              <w:rPr>
                <w:rFonts w:ascii="Times New Roman" w:hAnsi="Times New Roman" w:cs="Times New Roman"/>
              </w:rPr>
              <w:t>šaltinis</w:t>
            </w:r>
          </w:p>
        </w:tc>
        <w:tc>
          <w:tcPr>
            <w:tcW w:w="1056" w:type="dxa"/>
          </w:tcPr>
          <w:p w14:paraId="3206563F"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rPr>
              <w:t>Pastabos</w:t>
            </w:r>
          </w:p>
        </w:tc>
      </w:tr>
      <w:tr w:rsidR="009571FD" w14:paraId="74FB3448" w14:textId="77777777" w:rsidTr="00041D0A">
        <w:trPr>
          <w:gridAfter w:val="3"/>
          <w:wAfter w:w="7816" w:type="dxa"/>
          <w:trHeight w:val="424"/>
        </w:trPr>
        <w:tc>
          <w:tcPr>
            <w:tcW w:w="13926" w:type="dxa"/>
            <w:gridSpan w:val="4"/>
          </w:tcPr>
          <w:p w14:paraId="5E8A26B1" w14:textId="27EB46DB" w:rsidR="009571FD" w:rsidRPr="004C071B" w:rsidRDefault="0058576B" w:rsidP="004C071B">
            <w:pPr>
              <w:spacing w:line="360" w:lineRule="auto"/>
              <w:jc w:val="both"/>
              <w:rPr>
                <w:rFonts w:ascii="Times New Roman" w:hAnsi="Times New Roman" w:cs="Times New Roman"/>
                <w:color w:val="222222"/>
                <w:shd w:val="clear" w:color="auto" w:fill="FFFFFF"/>
              </w:rPr>
            </w:pPr>
            <w:r w:rsidRPr="0058576B">
              <w:rPr>
                <w:rStyle w:val="apple-converted-space"/>
                <w:rFonts w:ascii="Times New Roman" w:hAnsi="Times New Roman" w:cs="Times New Roman"/>
                <w:color w:val="222222"/>
                <w:shd w:val="clear" w:color="auto" w:fill="FFFFFF"/>
              </w:rPr>
              <w:t>Lietuvos eksportuotojams aktuali informacija</w:t>
            </w:r>
          </w:p>
        </w:tc>
      </w:tr>
      <w:tr w:rsidR="00E8148E" w14:paraId="0F13A995" w14:textId="77777777" w:rsidTr="00041D0A">
        <w:trPr>
          <w:gridAfter w:val="3"/>
          <w:wAfter w:w="7816" w:type="dxa"/>
          <w:trHeight w:val="64"/>
        </w:trPr>
        <w:tc>
          <w:tcPr>
            <w:tcW w:w="1097" w:type="dxa"/>
          </w:tcPr>
          <w:p w14:paraId="12EC6A14" w14:textId="0B40376B" w:rsidR="00E8148E" w:rsidRDefault="00E8148E" w:rsidP="0058576B">
            <w:pPr>
              <w:jc w:val="center"/>
              <w:rPr>
                <w:rFonts w:ascii="Times New Roman" w:hAnsi="Times New Roman" w:cs="Times New Roman"/>
                <w:lang w:val="sv-SE"/>
              </w:rPr>
            </w:pPr>
            <w:r>
              <w:rPr>
                <w:rFonts w:ascii="Times New Roman" w:hAnsi="Times New Roman" w:cs="Times New Roman"/>
                <w:lang w:val="sv-SE"/>
              </w:rPr>
              <w:t>2024-01-02</w:t>
            </w:r>
          </w:p>
        </w:tc>
        <w:tc>
          <w:tcPr>
            <w:tcW w:w="7120" w:type="dxa"/>
          </w:tcPr>
          <w:p w14:paraId="12AE3126" w14:textId="599D5753" w:rsidR="00E8148E" w:rsidRPr="00AE1156" w:rsidRDefault="00E8148E" w:rsidP="006D6425">
            <w:pPr>
              <w:jc w:val="both"/>
              <w:rPr>
                <w:rFonts w:ascii="Times New Roman" w:hAnsi="Times New Roman" w:cs="Times New Roman"/>
                <w:b/>
                <w:bCs/>
              </w:rPr>
            </w:pPr>
            <w:r>
              <w:rPr>
                <w:rFonts w:ascii="Times New Roman" w:hAnsi="Times New Roman" w:cs="Times New Roman"/>
                <w:b/>
                <w:bCs/>
              </w:rPr>
              <w:t xml:space="preserve">2023 m. </w:t>
            </w:r>
            <w:r w:rsidR="00C1523C">
              <w:rPr>
                <w:rFonts w:ascii="Times New Roman" w:hAnsi="Times New Roman" w:cs="Times New Roman"/>
                <w:b/>
                <w:bCs/>
              </w:rPr>
              <w:t xml:space="preserve">pabaigoje </w:t>
            </w:r>
            <w:r>
              <w:rPr>
                <w:rFonts w:ascii="Times New Roman" w:hAnsi="Times New Roman" w:cs="Times New Roman"/>
                <w:b/>
                <w:bCs/>
              </w:rPr>
              <w:t xml:space="preserve">fiksuotas ryškus Švedijos gamybos sektoriaus sulėtėjimas, tačiau per pirmąjį 2024 m. pusmetį sektorius patirs didelį augimą. </w:t>
            </w:r>
            <w:r w:rsidRPr="00C1523C">
              <w:rPr>
                <w:rFonts w:ascii="Times New Roman" w:hAnsi="Times New Roman" w:cs="Times New Roman"/>
              </w:rPr>
              <w:t xml:space="preserve">Švedijoje atliktas kasmetinė pramonės įmonių vadovų, atsakingų už pirkimus, apklausa, kuri rodo, kad 2023 m. </w:t>
            </w:r>
            <w:r w:rsidR="00C1523C" w:rsidRPr="00C1523C">
              <w:rPr>
                <w:rFonts w:ascii="Times New Roman" w:hAnsi="Times New Roman" w:cs="Times New Roman"/>
              </w:rPr>
              <w:t xml:space="preserve">lapkritį ir </w:t>
            </w:r>
            <w:r w:rsidRPr="00C1523C">
              <w:rPr>
                <w:rFonts w:ascii="Times New Roman" w:hAnsi="Times New Roman" w:cs="Times New Roman"/>
              </w:rPr>
              <w:t>gruodį gamybos pramonė šalyje turėjo mažiau užsakymų negu įprasta</w:t>
            </w:r>
            <w:r w:rsidR="00C1523C" w:rsidRPr="00C1523C">
              <w:rPr>
                <w:rFonts w:ascii="Times New Roman" w:hAnsi="Times New Roman" w:cs="Times New Roman"/>
              </w:rPr>
              <w:t>, vykdė mažiau gamybinių operacijų. Ekspertai komentuoja, kad gamybos sektorius išgyvena sunkius laikus dėl sumažėjusios perkamosios galios. Tačiau ta pati apklausa rodo, kad Švedijos gamybos sektorius ruošiasi didėjantiems užsakymams. Planuojama, kad per šį pusmetį gamyba šalyje išaugs.</w:t>
            </w:r>
          </w:p>
        </w:tc>
        <w:tc>
          <w:tcPr>
            <w:tcW w:w="4653" w:type="dxa"/>
          </w:tcPr>
          <w:p w14:paraId="3FA034E7" w14:textId="74284061" w:rsidR="00E8148E" w:rsidRDefault="00041D0A" w:rsidP="0058576B">
            <w:pPr>
              <w:jc w:val="center"/>
            </w:pPr>
            <w:hyperlink r:id="rId6" w:history="1">
              <w:proofErr w:type="spellStart"/>
              <w:r w:rsidR="00E8148E">
                <w:rPr>
                  <w:rStyle w:val="Hyperlink"/>
                </w:rPr>
                <w:t>Industrin</w:t>
              </w:r>
              <w:proofErr w:type="spellEnd"/>
              <w:r w:rsidR="00E8148E">
                <w:rPr>
                  <w:rStyle w:val="Hyperlink"/>
                </w:rPr>
                <w:t xml:space="preserve"> </w:t>
              </w:r>
              <w:proofErr w:type="spellStart"/>
              <w:r w:rsidR="00E8148E">
                <w:rPr>
                  <w:rStyle w:val="Hyperlink"/>
                </w:rPr>
                <w:t>bromsade</w:t>
              </w:r>
              <w:proofErr w:type="spellEnd"/>
              <w:r w:rsidR="00E8148E">
                <w:rPr>
                  <w:rStyle w:val="Hyperlink"/>
                </w:rPr>
                <w:t xml:space="preserve"> </w:t>
              </w:r>
              <w:proofErr w:type="spellStart"/>
              <w:r w:rsidR="00E8148E">
                <w:rPr>
                  <w:rStyle w:val="Hyperlink"/>
                </w:rPr>
                <w:t>in</w:t>
              </w:r>
              <w:proofErr w:type="spellEnd"/>
              <w:r w:rsidR="00E8148E">
                <w:rPr>
                  <w:rStyle w:val="Hyperlink"/>
                </w:rPr>
                <w:t xml:space="preserve"> i </w:t>
              </w:r>
              <w:proofErr w:type="spellStart"/>
              <w:r w:rsidR="00E8148E">
                <w:rPr>
                  <w:rStyle w:val="Hyperlink"/>
                </w:rPr>
                <w:t>december</w:t>
              </w:r>
              <w:proofErr w:type="spellEnd"/>
              <w:r w:rsidR="00E8148E">
                <w:rPr>
                  <w:rStyle w:val="Hyperlink"/>
                </w:rPr>
                <w:t xml:space="preserve"> | </w:t>
              </w:r>
              <w:proofErr w:type="spellStart"/>
              <w:r w:rsidR="00E8148E">
                <w:rPr>
                  <w:rStyle w:val="Hyperlink"/>
                </w:rPr>
                <w:t>SvD</w:t>
              </w:r>
              <w:proofErr w:type="spellEnd"/>
            </w:hyperlink>
          </w:p>
        </w:tc>
        <w:tc>
          <w:tcPr>
            <w:tcW w:w="1056" w:type="dxa"/>
          </w:tcPr>
          <w:p w14:paraId="001A614E" w14:textId="77777777" w:rsidR="00E8148E" w:rsidRDefault="00E8148E" w:rsidP="0058576B"/>
        </w:tc>
      </w:tr>
      <w:tr w:rsidR="006718FA" w14:paraId="164F9B5A" w14:textId="77777777" w:rsidTr="00041D0A">
        <w:trPr>
          <w:gridAfter w:val="3"/>
          <w:wAfter w:w="7816" w:type="dxa"/>
          <w:trHeight w:val="64"/>
        </w:trPr>
        <w:tc>
          <w:tcPr>
            <w:tcW w:w="1097" w:type="dxa"/>
          </w:tcPr>
          <w:p w14:paraId="4D37335A" w14:textId="2F4F9E44" w:rsidR="006718FA" w:rsidRDefault="006718FA" w:rsidP="0058576B">
            <w:pPr>
              <w:jc w:val="center"/>
              <w:rPr>
                <w:rFonts w:ascii="Times New Roman" w:hAnsi="Times New Roman" w:cs="Times New Roman"/>
                <w:lang w:val="sv-SE"/>
              </w:rPr>
            </w:pPr>
            <w:r>
              <w:rPr>
                <w:rFonts w:ascii="Times New Roman" w:hAnsi="Times New Roman" w:cs="Times New Roman"/>
                <w:lang w:val="sv-SE"/>
              </w:rPr>
              <w:t>2024-01-09</w:t>
            </w:r>
          </w:p>
        </w:tc>
        <w:tc>
          <w:tcPr>
            <w:tcW w:w="7120" w:type="dxa"/>
          </w:tcPr>
          <w:p w14:paraId="59B9E4F3" w14:textId="7B82567D" w:rsidR="006718FA" w:rsidRPr="006718FA" w:rsidRDefault="006718FA" w:rsidP="006D6425">
            <w:pPr>
              <w:jc w:val="both"/>
              <w:rPr>
                <w:rFonts w:ascii="Times New Roman" w:hAnsi="Times New Roman" w:cs="Times New Roman"/>
                <w:b/>
                <w:bCs/>
                <w:lang w:val="sv-SE"/>
              </w:rPr>
            </w:pPr>
            <w:r>
              <w:rPr>
                <w:rFonts w:ascii="Times New Roman" w:hAnsi="Times New Roman" w:cs="Times New Roman"/>
                <w:b/>
                <w:bCs/>
              </w:rPr>
              <w:t xml:space="preserve">Švedijos pietuose esančioje </w:t>
            </w:r>
            <w:proofErr w:type="spellStart"/>
            <w:r>
              <w:rPr>
                <w:rFonts w:ascii="Times New Roman" w:hAnsi="Times New Roman" w:cs="Times New Roman"/>
                <w:b/>
                <w:bCs/>
              </w:rPr>
              <w:t>Sj</w:t>
            </w:r>
            <w:proofErr w:type="spellEnd"/>
            <w:r w:rsidRPr="006718FA">
              <w:rPr>
                <w:rFonts w:ascii="Times New Roman" w:hAnsi="Times New Roman" w:cs="Times New Roman"/>
                <w:b/>
                <w:bCs/>
                <w:lang w:val="sv-SE"/>
              </w:rPr>
              <w:t>öbo fermoj</w:t>
            </w:r>
            <w:r>
              <w:rPr>
                <w:rFonts w:ascii="Times New Roman" w:hAnsi="Times New Roman" w:cs="Times New Roman"/>
                <w:b/>
                <w:bCs/>
                <w:lang w:val="sv-SE"/>
              </w:rPr>
              <w:t xml:space="preserve">e nustatytas paukščių gripo protrūkis. </w:t>
            </w:r>
            <w:r w:rsidRPr="006718FA">
              <w:rPr>
                <w:rFonts w:ascii="Times New Roman" w:hAnsi="Times New Roman" w:cs="Times New Roman"/>
                <w:lang w:val="sv-SE"/>
              </w:rPr>
              <w:t>Fermoje taikomas karantinas, 48 tūkst. paukščių utilizuota, stabdoma produkcija.</w:t>
            </w:r>
          </w:p>
        </w:tc>
        <w:tc>
          <w:tcPr>
            <w:tcW w:w="4653" w:type="dxa"/>
          </w:tcPr>
          <w:p w14:paraId="4B9135A3" w14:textId="385B9EA3" w:rsidR="006718FA" w:rsidRDefault="00041D0A" w:rsidP="0058576B">
            <w:pPr>
              <w:jc w:val="center"/>
            </w:pPr>
            <w:hyperlink r:id="rId7" w:history="1">
              <w:proofErr w:type="spellStart"/>
              <w:r w:rsidR="006718FA">
                <w:rPr>
                  <w:rStyle w:val="Hyperlink"/>
                </w:rPr>
                <w:t>Anläggning</w:t>
              </w:r>
              <w:proofErr w:type="spellEnd"/>
              <w:r w:rsidR="006718FA">
                <w:rPr>
                  <w:rStyle w:val="Hyperlink"/>
                </w:rPr>
                <w:t xml:space="preserve"> i </w:t>
              </w:r>
              <w:proofErr w:type="spellStart"/>
              <w:r w:rsidR="006718FA">
                <w:rPr>
                  <w:rStyle w:val="Hyperlink"/>
                </w:rPr>
                <w:t>Sjöbo</w:t>
              </w:r>
              <w:proofErr w:type="spellEnd"/>
              <w:r w:rsidR="006718FA">
                <w:rPr>
                  <w:rStyle w:val="Hyperlink"/>
                </w:rPr>
                <w:t xml:space="preserve"> </w:t>
              </w:r>
              <w:proofErr w:type="spellStart"/>
              <w:r w:rsidR="006718FA">
                <w:rPr>
                  <w:rStyle w:val="Hyperlink"/>
                </w:rPr>
                <w:t>drabbad</w:t>
              </w:r>
              <w:proofErr w:type="spellEnd"/>
              <w:r w:rsidR="006718FA">
                <w:rPr>
                  <w:rStyle w:val="Hyperlink"/>
                </w:rPr>
                <w:t xml:space="preserve"> </w:t>
              </w:r>
              <w:proofErr w:type="spellStart"/>
              <w:r w:rsidR="006718FA">
                <w:rPr>
                  <w:rStyle w:val="Hyperlink"/>
                </w:rPr>
                <w:t>av</w:t>
              </w:r>
              <w:proofErr w:type="spellEnd"/>
              <w:r w:rsidR="006718FA">
                <w:rPr>
                  <w:rStyle w:val="Hyperlink"/>
                </w:rPr>
                <w:t xml:space="preserve"> </w:t>
              </w:r>
              <w:proofErr w:type="spellStart"/>
              <w:r w:rsidR="006718FA">
                <w:rPr>
                  <w:rStyle w:val="Hyperlink"/>
                </w:rPr>
                <w:t>fågelinfluensa</w:t>
              </w:r>
              <w:proofErr w:type="spellEnd"/>
              <w:r w:rsidR="006718FA">
                <w:rPr>
                  <w:rStyle w:val="Hyperlink"/>
                </w:rPr>
                <w:t xml:space="preserve"> (ystadsallehanda.se)</w:t>
              </w:r>
            </w:hyperlink>
          </w:p>
        </w:tc>
        <w:tc>
          <w:tcPr>
            <w:tcW w:w="1056" w:type="dxa"/>
          </w:tcPr>
          <w:p w14:paraId="1CC3959E" w14:textId="77777777" w:rsidR="006718FA" w:rsidRDefault="006718FA" w:rsidP="0058576B"/>
        </w:tc>
      </w:tr>
      <w:tr w:rsidR="005B1278" w14:paraId="0EC0C58E" w14:textId="77777777" w:rsidTr="00041D0A">
        <w:trPr>
          <w:gridAfter w:val="3"/>
          <w:wAfter w:w="7816" w:type="dxa"/>
          <w:trHeight w:val="64"/>
        </w:trPr>
        <w:tc>
          <w:tcPr>
            <w:tcW w:w="1097" w:type="dxa"/>
          </w:tcPr>
          <w:p w14:paraId="37F8E4D9" w14:textId="3E99005E" w:rsidR="005B1278" w:rsidRDefault="005B1278" w:rsidP="0058576B">
            <w:pPr>
              <w:jc w:val="center"/>
              <w:rPr>
                <w:rFonts w:ascii="Times New Roman" w:hAnsi="Times New Roman" w:cs="Times New Roman"/>
                <w:lang w:val="sv-SE"/>
              </w:rPr>
            </w:pPr>
            <w:r>
              <w:rPr>
                <w:rFonts w:ascii="Times New Roman" w:hAnsi="Times New Roman" w:cs="Times New Roman"/>
                <w:lang w:val="sv-SE"/>
              </w:rPr>
              <w:t>2024-01-18</w:t>
            </w:r>
          </w:p>
        </w:tc>
        <w:tc>
          <w:tcPr>
            <w:tcW w:w="7120" w:type="dxa"/>
          </w:tcPr>
          <w:p w14:paraId="62703D3C" w14:textId="5EE8F14B" w:rsidR="005B1278" w:rsidRDefault="005B1278" w:rsidP="006D6425">
            <w:pPr>
              <w:jc w:val="both"/>
              <w:rPr>
                <w:rFonts w:ascii="Times New Roman" w:hAnsi="Times New Roman" w:cs="Times New Roman"/>
                <w:b/>
                <w:bCs/>
              </w:rPr>
            </w:pPr>
            <w:r>
              <w:rPr>
                <w:rFonts w:ascii="Times New Roman" w:hAnsi="Times New Roman" w:cs="Times New Roman"/>
                <w:b/>
                <w:bCs/>
              </w:rPr>
              <w:t xml:space="preserve">Mažmeninės prekybos tinklas ICA ketina mažinti maisto produktų kainas. </w:t>
            </w:r>
            <w:r w:rsidRPr="005B1278">
              <w:rPr>
                <w:rFonts w:ascii="Times New Roman" w:hAnsi="Times New Roman" w:cs="Times New Roman"/>
              </w:rPr>
              <w:t>Pranešama, kad ICA skirs apie 90 mln. EUR, kad sumažintų maisto produktų kainas arba bent užtikrintų, kad esamos daugiau nedidėtų.</w:t>
            </w:r>
            <w:r>
              <w:rPr>
                <w:rFonts w:ascii="Times New Roman" w:hAnsi="Times New Roman" w:cs="Times New Roman"/>
                <w:b/>
                <w:bCs/>
              </w:rPr>
              <w:t xml:space="preserve"> </w:t>
            </w:r>
          </w:p>
        </w:tc>
        <w:tc>
          <w:tcPr>
            <w:tcW w:w="4653" w:type="dxa"/>
          </w:tcPr>
          <w:p w14:paraId="06EA0FED" w14:textId="674D4B81" w:rsidR="005B1278" w:rsidRDefault="00041D0A" w:rsidP="0058576B">
            <w:pPr>
              <w:jc w:val="center"/>
            </w:pPr>
            <w:hyperlink r:id="rId8" w:history="1">
              <w:r w:rsidR="005B1278">
                <w:rPr>
                  <w:rStyle w:val="Hyperlink"/>
                </w:rPr>
                <w:t xml:space="preserve">ICA </w:t>
              </w:r>
              <w:proofErr w:type="spellStart"/>
              <w:r w:rsidR="005B1278">
                <w:rPr>
                  <w:rStyle w:val="Hyperlink"/>
                </w:rPr>
                <w:t>satsar</w:t>
              </w:r>
              <w:proofErr w:type="spellEnd"/>
              <w:r w:rsidR="005B1278">
                <w:rPr>
                  <w:rStyle w:val="Hyperlink"/>
                </w:rPr>
                <w:t xml:space="preserve"> </w:t>
              </w:r>
              <w:proofErr w:type="spellStart"/>
              <w:r w:rsidR="005B1278">
                <w:rPr>
                  <w:rStyle w:val="Hyperlink"/>
                </w:rPr>
                <w:t>en</w:t>
              </w:r>
              <w:proofErr w:type="spellEnd"/>
              <w:r w:rsidR="005B1278">
                <w:rPr>
                  <w:rStyle w:val="Hyperlink"/>
                </w:rPr>
                <w:t xml:space="preserve"> </w:t>
              </w:r>
              <w:proofErr w:type="spellStart"/>
              <w:r w:rsidR="005B1278">
                <w:rPr>
                  <w:rStyle w:val="Hyperlink"/>
                </w:rPr>
                <w:t>miljard</w:t>
              </w:r>
              <w:proofErr w:type="spellEnd"/>
              <w:r w:rsidR="005B1278">
                <w:rPr>
                  <w:rStyle w:val="Hyperlink"/>
                </w:rPr>
                <w:t xml:space="preserve"> </w:t>
              </w:r>
              <w:proofErr w:type="spellStart"/>
              <w:r w:rsidR="005B1278">
                <w:rPr>
                  <w:rStyle w:val="Hyperlink"/>
                </w:rPr>
                <w:t>på</w:t>
              </w:r>
              <w:proofErr w:type="spellEnd"/>
              <w:r w:rsidR="005B1278">
                <w:rPr>
                  <w:rStyle w:val="Hyperlink"/>
                </w:rPr>
                <w:t xml:space="preserve"> </w:t>
              </w:r>
              <w:proofErr w:type="spellStart"/>
              <w:r w:rsidR="005B1278">
                <w:rPr>
                  <w:rStyle w:val="Hyperlink"/>
                </w:rPr>
                <w:t>att</w:t>
              </w:r>
              <w:proofErr w:type="spellEnd"/>
              <w:r w:rsidR="005B1278">
                <w:rPr>
                  <w:rStyle w:val="Hyperlink"/>
                </w:rPr>
                <w:t xml:space="preserve"> bli </w:t>
              </w:r>
              <w:proofErr w:type="spellStart"/>
              <w:r w:rsidR="005B1278">
                <w:rPr>
                  <w:rStyle w:val="Hyperlink"/>
                </w:rPr>
                <w:t>billigare</w:t>
              </w:r>
              <w:proofErr w:type="spellEnd"/>
              <w:r w:rsidR="005B1278">
                <w:rPr>
                  <w:rStyle w:val="Hyperlink"/>
                </w:rPr>
                <w:t>. - DN.se</w:t>
              </w:r>
            </w:hyperlink>
          </w:p>
        </w:tc>
        <w:tc>
          <w:tcPr>
            <w:tcW w:w="1056" w:type="dxa"/>
          </w:tcPr>
          <w:p w14:paraId="5C71A481" w14:textId="77777777" w:rsidR="005B1278" w:rsidRDefault="005B1278" w:rsidP="0058576B"/>
        </w:tc>
      </w:tr>
      <w:tr w:rsidR="0058576B" w14:paraId="6355DB7A" w14:textId="77777777" w:rsidTr="00041D0A">
        <w:trPr>
          <w:gridAfter w:val="3"/>
          <w:wAfter w:w="7816" w:type="dxa"/>
          <w:trHeight w:val="64"/>
        </w:trPr>
        <w:tc>
          <w:tcPr>
            <w:tcW w:w="1097" w:type="dxa"/>
          </w:tcPr>
          <w:p w14:paraId="77C067C7" w14:textId="5E1F833A" w:rsidR="0058576B" w:rsidRPr="00277D95" w:rsidRDefault="00935660" w:rsidP="0058576B">
            <w:pPr>
              <w:jc w:val="center"/>
              <w:rPr>
                <w:rFonts w:ascii="Times New Roman" w:hAnsi="Times New Roman" w:cs="Times New Roman"/>
                <w:lang w:val="sv-SE"/>
              </w:rPr>
            </w:pPr>
            <w:r>
              <w:rPr>
                <w:rFonts w:ascii="Times New Roman" w:hAnsi="Times New Roman" w:cs="Times New Roman"/>
                <w:lang w:val="sv-SE"/>
              </w:rPr>
              <w:t>202</w:t>
            </w:r>
            <w:r w:rsidR="006D6425">
              <w:rPr>
                <w:rFonts w:ascii="Times New Roman" w:hAnsi="Times New Roman" w:cs="Times New Roman"/>
                <w:lang w:val="sv-SE"/>
              </w:rPr>
              <w:t>4</w:t>
            </w:r>
            <w:r>
              <w:rPr>
                <w:rFonts w:ascii="Times New Roman" w:hAnsi="Times New Roman" w:cs="Times New Roman"/>
                <w:lang w:val="sv-SE"/>
              </w:rPr>
              <w:t>-</w:t>
            </w:r>
            <w:r w:rsidR="006D6425">
              <w:rPr>
                <w:rFonts w:ascii="Times New Roman" w:hAnsi="Times New Roman" w:cs="Times New Roman"/>
                <w:lang w:val="sv-SE"/>
              </w:rPr>
              <w:t>01</w:t>
            </w:r>
            <w:r>
              <w:rPr>
                <w:rFonts w:ascii="Times New Roman" w:hAnsi="Times New Roman" w:cs="Times New Roman"/>
                <w:lang w:val="sv-SE"/>
              </w:rPr>
              <w:t>-</w:t>
            </w:r>
            <w:r w:rsidR="006D6425">
              <w:rPr>
                <w:rFonts w:ascii="Times New Roman" w:hAnsi="Times New Roman" w:cs="Times New Roman"/>
                <w:lang w:val="sv-SE"/>
              </w:rPr>
              <w:t>22</w:t>
            </w:r>
          </w:p>
        </w:tc>
        <w:tc>
          <w:tcPr>
            <w:tcW w:w="7120" w:type="dxa"/>
          </w:tcPr>
          <w:p w14:paraId="2B5A358E" w14:textId="775AE6C8" w:rsidR="00123D7C" w:rsidRPr="003417DA" w:rsidRDefault="006D6425" w:rsidP="006D6425">
            <w:pPr>
              <w:jc w:val="both"/>
              <w:rPr>
                <w:rFonts w:ascii="Times New Roman" w:hAnsi="Times New Roman" w:cs="Times New Roman"/>
              </w:rPr>
            </w:pPr>
            <w:r w:rsidRPr="00AE1156">
              <w:rPr>
                <w:rFonts w:ascii="Times New Roman" w:hAnsi="Times New Roman" w:cs="Times New Roman"/>
                <w:b/>
                <w:bCs/>
              </w:rPr>
              <w:t>Švedijoje trūksta elektrinių automobilių krovimo stotelių.</w:t>
            </w:r>
            <w:r w:rsidRPr="00AE1156">
              <w:rPr>
                <w:rFonts w:ascii="Times New Roman" w:hAnsi="Times New Roman" w:cs="Times New Roman"/>
              </w:rPr>
              <w:t xml:space="preserve"> Atvirų duomenų platformos </w:t>
            </w:r>
            <w:proofErr w:type="spellStart"/>
            <w:r w:rsidRPr="00AE1156">
              <w:rPr>
                <w:rFonts w:ascii="Times New Roman" w:hAnsi="Times New Roman" w:cs="Times New Roman"/>
              </w:rPr>
              <w:t>Klimatkollen</w:t>
            </w:r>
            <w:proofErr w:type="spellEnd"/>
            <w:r w:rsidRPr="00AE1156">
              <w:rPr>
                <w:rFonts w:ascii="Times New Roman" w:hAnsi="Times New Roman" w:cs="Times New Roman"/>
              </w:rPr>
              <w:t xml:space="preserve"> atliktas tyrimas rodo, kad Švedijoje 28 elektriniams automobiliams tenka viena stotelė, kuomet ES rekomendacija yra 1 stotelė 10 automobilių. Pranešama, kad ES siūlomas tikslas nėra pasiektas net 216 Švedijos savivaldybių. Ekspertai </w:t>
            </w:r>
            <w:r w:rsidRPr="00AE1156">
              <w:rPr>
                <w:rFonts w:ascii="Times New Roman" w:hAnsi="Times New Roman" w:cs="Times New Roman"/>
              </w:rPr>
              <w:lastRenderedPageBreak/>
              <w:t>teigia, kad tai, kaip ir sumažinti mokesčiai dyzeliui ir benzinui, mažina elektrinių automobilių patrauklumą įprastiems švedams.</w:t>
            </w:r>
          </w:p>
        </w:tc>
        <w:tc>
          <w:tcPr>
            <w:tcW w:w="4653" w:type="dxa"/>
          </w:tcPr>
          <w:p w14:paraId="3EC55098" w14:textId="4F57FB1B" w:rsidR="0058576B" w:rsidRPr="0079096C" w:rsidRDefault="00041D0A" w:rsidP="0058576B">
            <w:pPr>
              <w:jc w:val="center"/>
              <w:rPr>
                <w:rFonts w:ascii="Times New Roman" w:hAnsi="Times New Roman" w:cs="Times New Roman"/>
              </w:rPr>
            </w:pPr>
            <w:hyperlink r:id="rId9" w:history="1">
              <w:proofErr w:type="spellStart"/>
              <w:r w:rsidR="006D6425">
                <w:rPr>
                  <w:rStyle w:val="Hyperlink"/>
                </w:rPr>
                <w:t>Ny</w:t>
              </w:r>
              <w:proofErr w:type="spellEnd"/>
              <w:r w:rsidR="006D6425">
                <w:rPr>
                  <w:rStyle w:val="Hyperlink"/>
                </w:rPr>
                <w:t xml:space="preserve"> </w:t>
              </w:r>
              <w:proofErr w:type="spellStart"/>
              <w:r w:rsidR="006D6425">
                <w:rPr>
                  <w:rStyle w:val="Hyperlink"/>
                </w:rPr>
                <w:t>kartläggning</w:t>
              </w:r>
              <w:proofErr w:type="spellEnd"/>
              <w:r w:rsidR="006D6425">
                <w:rPr>
                  <w:rStyle w:val="Hyperlink"/>
                </w:rPr>
                <w:t xml:space="preserve">: </w:t>
              </w:r>
              <w:proofErr w:type="spellStart"/>
              <w:r w:rsidR="006D6425">
                <w:rPr>
                  <w:rStyle w:val="Hyperlink"/>
                </w:rPr>
                <w:t>antalet</w:t>
              </w:r>
              <w:proofErr w:type="spellEnd"/>
              <w:r w:rsidR="006D6425">
                <w:rPr>
                  <w:rStyle w:val="Hyperlink"/>
                </w:rPr>
                <w:t xml:space="preserve"> </w:t>
              </w:r>
              <w:proofErr w:type="spellStart"/>
              <w:r w:rsidR="006D6425">
                <w:rPr>
                  <w:rStyle w:val="Hyperlink"/>
                </w:rPr>
                <w:t>elbilsladdare</w:t>
              </w:r>
              <w:proofErr w:type="spellEnd"/>
              <w:r w:rsidR="006D6425">
                <w:rPr>
                  <w:rStyle w:val="Hyperlink"/>
                </w:rPr>
                <w:t xml:space="preserve"> i </w:t>
              </w:r>
              <w:proofErr w:type="spellStart"/>
              <w:r w:rsidR="006D6425">
                <w:rPr>
                  <w:rStyle w:val="Hyperlink"/>
                </w:rPr>
                <w:t>kommunerna</w:t>
              </w:r>
              <w:proofErr w:type="spellEnd"/>
              <w:r w:rsidR="006D6425">
                <w:rPr>
                  <w:rStyle w:val="Hyperlink"/>
                </w:rPr>
                <w:t xml:space="preserve"> </w:t>
              </w:r>
              <w:proofErr w:type="spellStart"/>
              <w:r w:rsidR="006D6425">
                <w:rPr>
                  <w:rStyle w:val="Hyperlink"/>
                </w:rPr>
                <w:t>klart</w:t>
              </w:r>
              <w:proofErr w:type="spellEnd"/>
              <w:r w:rsidR="006D6425">
                <w:rPr>
                  <w:rStyle w:val="Hyperlink"/>
                </w:rPr>
                <w:t xml:space="preserve"> </w:t>
              </w:r>
              <w:proofErr w:type="spellStart"/>
              <w:r w:rsidR="006D6425">
                <w:rPr>
                  <w:rStyle w:val="Hyperlink"/>
                </w:rPr>
                <w:t>lägre</w:t>
              </w:r>
              <w:proofErr w:type="spellEnd"/>
              <w:r w:rsidR="006D6425">
                <w:rPr>
                  <w:rStyle w:val="Hyperlink"/>
                </w:rPr>
                <w:t xml:space="preserve"> </w:t>
              </w:r>
              <w:proofErr w:type="spellStart"/>
              <w:r w:rsidR="006D6425">
                <w:rPr>
                  <w:rStyle w:val="Hyperlink"/>
                </w:rPr>
                <w:t>än</w:t>
              </w:r>
              <w:proofErr w:type="spellEnd"/>
              <w:r w:rsidR="006D6425">
                <w:rPr>
                  <w:rStyle w:val="Hyperlink"/>
                </w:rPr>
                <w:t xml:space="preserve"> </w:t>
              </w:r>
              <w:proofErr w:type="spellStart"/>
              <w:r w:rsidR="006D6425">
                <w:rPr>
                  <w:rStyle w:val="Hyperlink"/>
                </w:rPr>
                <w:t>EU:s</w:t>
              </w:r>
              <w:proofErr w:type="spellEnd"/>
              <w:r w:rsidR="006D6425">
                <w:rPr>
                  <w:rStyle w:val="Hyperlink"/>
                </w:rPr>
                <w:t xml:space="preserve"> </w:t>
              </w:r>
              <w:proofErr w:type="spellStart"/>
              <w:r w:rsidR="006D6425">
                <w:rPr>
                  <w:rStyle w:val="Hyperlink"/>
                </w:rPr>
                <w:t>rekommendation</w:t>
              </w:r>
              <w:proofErr w:type="spellEnd"/>
              <w:r w:rsidR="006D6425">
                <w:rPr>
                  <w:rStyle w:val="Hyperlink"/>
                </w:rPr>
                <w:t xml:space="preserve"> | </w:t>
              </w:r>
              <w:proofErr w:type="spellStart"/>
              <w:r w:rsidR="006D6425">
                <w:rPr>
                  <w:rStyle w:val="Hyperlink"/>
                </w:rPr>
                <w:t>Klimatbyrån</w:t>
              </w:r>
              <w:proofErr w:type="spellEnd"/>
              <w:r w:rsidR="006D6425">
                <w:rPr>
                  <w:rStyle w:val="Hyperlink"/>
                </w:rPr>
                <w:t xml:space="preserve"> (mynewsdesk.com)</w:t>
              </w:r>
            </w:hyperlink>
          </w:p>
        </w:tc>
        <w:tc>
          <w:tcPr>
            <w:tcW w:w="1056" w:type="dxa"/>
          </w:tcPr>
          <w:p w14:paraId="32B1A00D" w14:textId="77777777" w:rsidR="0058576B" w:rsidRDefault="0058576B" w:rsidP="0058576B"/>
        </w:tc>
      </w:tr>
      <w:tr w:rsidR="0058576B" w14:paraId="170EF668" w14:textId="77777777" w:rsidTr="00041D0A">
        <w:trPr>
          <w:gridAfter w:val="3"/>
          <w:wAfter w:w="7816" w:type="dxa"/>
        </w:trPr>
        <w:tc>
          <w:tcPr>
            <w:tcW w:w="13926" w:type="dxa"/>
            <w:gridSpan w:val="4"/>
          </w:tcPr>
          <w:p w14:paraId="523359F5" w14:textId="279EF822" w:rsidR="0058576B" w:rsidRPr="0058576B" w:rsidRDefault="0058576B" w:rsidP="0058576B">
            <w:pPr>
              <w:rPr>
                <w:rFonts w:ascii="Times New Roman" w:hAnsi="Times New Roman" w:cs="Times New Roman"/>
              </w:rPr>
            </w:pPr>
            <w:r w:rsidRPr="0058576B">
              <w:rPr>
                <w:rFonts w:ascii="Times New Roman" w:hAnsi="Times New Roman" w:cs="Times New Roman"/>
              </w:rPr>
              <w:t>Lietuvos verslo plėtrai užsienyje aktuali informacija</w:t>
            </w:r>
          </w:p>
        </w:tc>
      </w:tr>
      <w:tr w:rsidR="0058576B" w14:paraId="254DD726" w14:textId="77777777" w:rsidTr="00041D0A">
        <w:trPr>
          <w:gridAfter w:val="3"/>
          <w:wAfter w:w="7816" w:type="dxa"/>
        </w:trPr>
        <w:tc>
          <w:tcPr>
            <w:tcW w:w="1097" w:type="dxa"/>
          </w:tcPr>
          <w:p w14:paraId="20DA6661" w14:textId="1067A0FC" w:rsidR="0058576B" w:rsidRPr="003435C3" w:rsidRDefault="000A74BB" w:rsidP="0058576B">
            <w:pPr>
              <w:jc w:val="center"/>
              <w:rPr>
                <w:rFonts w:ascii="Times New Roman" w:hAnsi="Times New Roman" w:cs="Times New Roman"/>
              </w:rPr>
            </w:pPr>
            <w:r>
              <w:rPr>
                <w:rFonts w:ascii="Times New Roman" w:hAnsi="Times New Roman" w:cs="Times New Roman"/>
              </w:rPr>
              <w:t>2024-01-08</w:t>
            </w:r>
          </w:p>
        </w:tc>
        <w:tc>
          <w:tcPr>
            <w:tcW w:w="7120" w:type="dxa"/>
          </w:tcPr>
          <w:p w14:paraId="75965BCB" w14:textId="491C7496" w:rsidR="0058576B" w:rsidRPr="0058576B" w:rsidRDefault="000A74BB" w:rsidP="0058576B">
            <w:pPr>
              <w:jc w:val="both"/>
              <w:rPr>
                <w:rFonts w:ascii="Times New Roman" w:hAnsi="Times New Roman" w:cs="Times New Roman"/>
              </w:rPr>
            </w:pPr>
            <w:r w:rsidRPr="000A74BB">
              <w:rPr>
                <w:rFonts w:ascii="Times New Roman" w:hAnsi="Times New Roman" w:cs="Times New Roman"/>
                <w:b/>
                <w:bCs/>
              </w:rPr>
              <w:t>Švedijos statybų sektorius išgyvena krizę, apie pasitraukimą iš rinkos pranešė Suomijos statybų įmonė YIT.</w:t>
            </w:r>
            <w:r>
              <w:rPr>
                <w:rFonts w:ascii="Times New Roman" w:hAnsi="Times New Roman" w:cs="Times New Roman"/>
              </w:rPr>
              <w:t xml:space="preserve"> Švedijoje dėl aukštų palūkanų normų ir ekonominės recesijos matomas sąstingis statybų sektoriuje. Naujų projektų, o su jais ir užsakymų mažėja, tai labiausiai paveikia mažesnes statybų ir subrangovų įmones, nemažai jų bankrutuoja. Kitos, kaip suomių YIT, apskritai nusprendžia palikti Švedijos rinką. YIT praneša, kad operacijos Švedijoje neatneša norimo pelno, todėl švediškas YIT padalinys bus uždarytas, o jo 125 darbuotojų – atleisti. Nuo 2027 m. YIT nevykdys jokių veiklų Švedijoje, žiniasklaidoje spėliojama, kad dėl esamos situacijos Švedijoje savo operacijas sustabdyti, o galbūt ir išvis nutraukti, gali ir kitos užsienio įmonės, o tai atvertų daugiau galimybių rinkoje likusiems žaidėjams arba svarstantiems į ją įeiti.</w:t>
            </w:r>
          </w:p>
        </w:tc>
        <w:tc>
          <w:tcPr>
            <w:tcW w:w="4653" w:type="dxa"/>
          </w:tcPr>
          <w:p w14:paraId="244C82AB" w14:textId="395DFCEF" w:rsidR="0058576B" w:rsidRPr="00E512D2" w:rsidRDefault="00041D0A" w:rsidP="0058576B">
            <w:pPr>
              <w:jc w:val="center"/>
            </w:pPr>
            <w:hyperlink r:id="rId10" w:history="1">
              <w:proofErr w:type="spellStart"/>
              <w:r w:rsidR="000A74BB">
                <w:rPr>
                  <w:rStyle w:val="Hyperlink"/>
                </w:rPr>
                <w:t>Finländskt</w:t>
              </w:r>
              <w:proofErr w:type="spellEnd"/>
              <w:r w:rsidR="000A74BB">
                <w:rPr>
                  <w:rStyle w:val="Hyperlink"/>
                </w:rPr>
                <w:t xml:space="preserve"> </w:t>
              </w:r>
              <w:proofErr w:type="spellStart"/>
              <w:r w:rsidR="000A74BB">
                <w:rPr>
                  <w:rStyle w:val="Hyperlink"/>
                </w:rPr>
                <w:t>byggbolag</w:t>
              </w:r>
              <w:proofErr w:type="spellEnd"/>
              <w:r w:rsidR="000A74BB">
                <w:rPr>
                  <w:rStyle w:val="Hyperlink"/>
                </w:rPr>
                <w:t xml:space="preserve"> </w:t>
              </w:r>
              <w:proofErr w:type="spellStart"/>
              <w:r w:rsidR="000A74BB">
                <w:rPr>
                  <w:rStyle w:val="Hyperlink"/>
                </w:rPr>
                <w:t>lämnar</w:t>
              </w:r>
              <w:proofErr w:type="spellEnd"/>
              <w:r w:rsidR="000A74BB">
                <w:rPr>
                  <w:rStyle w:val="Hyperlink"/>
                </w:rPr>
                <w:t xml:space="preserve"> </w:t>
              </w:r>
              <w:proofErr w:type="spellStart"/>
              <w:r w:rsidR="000A74BB">
                <w:rPr>
                  <w:rStyle w:val="Hyperlink"/>
                </w:rPr>
                <w:t>Sverige</w:t>
              </w:r>
              <w:proofErr w:type="spellEnd"/>
              <w:r w:rsidR="000A74BB">
                <w:rPr>
                  <w:rStyle w:val="Hyperlink"/>
                </w:rPr>
                <w:t xml:space="preserve"> – </w:t>
              </w:r>
              <w:proofErr w:type="spellStart"/>
              <w:r w:rsidR="000A74BB">
                <w:rPr>
                  <w:rStyle w:val="Hyperlink"/>
                </w:rPr>
                <w:t>berör</w:t>
              </w:r>
              <w:proofErr w:type="spellEnd"/>
              <w:r w:rsidR="000A74BB">
                <w:rPr>
                  <w:rStyle w:val="Hyperlink"/>
                </w:rPr>
                <w:t xml:space="preserve"> 125 </w:t>
              </w:r>
              <w:proofErr w:type="spellStart"/>
              <w:r w:rsidR="000A74BB">
                <w:rPr>
                  <w:rStyle w:val="Hyperlink"/>
                </w:rPr>
                <w:t>anställda</w:t>
              </w:r>
              <w:proofErr w:type="spellEnd"/>
              <w:r w:rsidR="000A74BB">
                <w:rPr>
                  <w:rStyle w:val="Hyperlink"/>
                </w:rPr>
                <w:t xml:space="preserve"> (di.se)</w:t>
              </w:r>
            </w:hyperlink>
          </w:p>
        </w:tc>
        <w:tc>
          <w:tcPr>
            <w:tcW w:w="1056" w:type="dxa"/>
          </w:tcPr>
          <w:p w14:paraId="263DA0C8" w14:textId="4E6643A7" w:rsidR="0058576B" w:rsidRPr="00DF2BBA" w:rsidRDefault="0058576B" w:rsidP="0058576B"/>
        </w:tc>
      </w:tr>
      <w:tr w:rsidR="0058576B" w14:paraId="100E5542" w14:textId="77777777" w:rsidTr="00041D0A">
        <w:trPr>
          <w:gridAfter w:val="3"/>
          <w:wAfter w:w="7816" w:type="dxa"/>
        </w:trPr>
        <w:tc>
          <w:tcPr>
            <w:tcW w:w="13926" w:type="dxa"/>
            <w:gridSpan w:val="4"/>
          </w:tcPr>
          <w:p w14:paraId="09A813DA" w14:textId="5F9EE269" w:rsidR="0058576B" w:rsidRPr="0058576B" w:rsidRDefault="0058576B" w:rsidP="0058576B">
            <w:pPr>
              <w:rPr>
                <w:rFonts w:ascii="Times New Roman" w:hAnsi="Times New Roman" w:cs="Times New Roman"/>
              </w:rPr>
            </w:pPr>
            <w:r w:rsidRPr="0058576B">
              <w:rPr>
                <w:rFonts w:ascii="Times New Roman" w:hAnsi="Times New Roman" w:cs="Times New Roman"/>
              </w:rPr>
              <w:t>Lietuvos turizmo sektoriui aktuali informacija</w:t>
            </w:r>
          </w:p>
        </w:tc>
      </w:tr>
      <w:tr w:rsidR="0058576B" w14:paraId="5622CDCF" w14:textId="77777777" w:rsidTr="00041D0A">
        <w:trPr>
          <w:gridAfter w:val="3"/>
          <w:wAfter w:w="7816" w:type="dxa"/>
        </w:trPr>
        <w:tc>
          <w:tcPr>
            <w:tcW w:w="1097" w:type="dxa"/>
          </w:tcPr>
          <w:p w14:paraId="67021EE7" w14:textId="2205649E" w:rsidR="0058576B" w:rsidRPr="00CD2AD2" w:rsidRDefault="00EA6F3F" w:rsidP="0058576B">
            <w:pPr>
              <w:jc w:val="center"/>
              <w:rPr>
                <w:rFonts w:ascii="Times New Roman" w:hAnsi="Times New Roman" w:cs="Times New Roman"/>
                <w:lang w:val="sv-SE"/>
              </w:rPr>
            </w:pPr>
            <w:r>
              <w:rPr>
                <w:rFonts w:ascii="Times New Roman" w:hAnsi="Times New Roman" w:cs="Times New Roman"/>
                <w:lang w:val="sv-SE"/>
              </w:rPr>
              <w:t>2024-01-02</w:t>
            </w:r>
          </w:p>
        </w:tc>
        <w:tc>
          <w:tcPr>
            <w:tcW w:w="7120" w:type="dxa"/>
          </w:tcPr>
          <w:p w14:paraId="57686E8A" w14:textId="7D78640F" w:rsidR="0058576B" w:rsidRPr="00155C65" w:rsidRDefault="00EA6F3F" w:rsidP="0058576B">
            <w:pPr>
              <w:jc w:val="both"/>
              <w:rPr>
                <w:rFonts w:ascii="Times New Roman" w:hAnsi="Times New Roman" w:cs="Times New Roman"/>
              </w:rPr>
            </w:pPr>
            <w:r w:rsidRPr="00EA6F3F">
              <w:rPr>
                <w:rFonts w:ascii="Times New Roman" w:hAnsi="Times New Roman" w:cs="Times New Roman"/>
                <w:b/>
                <w:bCs/>
              </w:rPr>
              <w:t xml:space="preserve">Balandžio 23-26 d. Stokholme vyks </w:t>
            </w:r>
            <w:r w:rsidRPr="00EA6F3F">
              <w:rPr>
                <w:rFonts w:ascii="Times New Roman" w:hAnsi="Times New Roman" w:cs="Times New Roman"/>
                <w:b/>
                <w:bCs/>
                <w:i/>
                <w:iCs/>
              </w:rPr>
              <w:t xml:space="preserve">GSTC2024 </w:t>
            </w:r>
            <w:proofErr w:type="spellStart"/>
            <w:r w:rsidRPr="00EA6F3F">
              <w:rPr>
                <w:rFonts w:ascii="Times New Roman" w:hAnsi="Times New Roman" w:cs="Times New Roman"/>
                <w:b/>
                <w:bCs/>
                <w:i/>
                <w:iCs/>
              </w:rPr>
              <w:t>Sweden</w:t>
            </w:r>
            <w:proofErr w:type="spellEnd"/>
            <w:r w:rsidRPr="00EA6F3F">
              <w:rPr>
                <w:rFonts w:ascii="Times New Roman" w:hAnsi="Times New Roman" w:cs="Times New Roman"/>
                <w:b/>
                <w:bCs/>
                <w:i/>
                <w:iCs/>
              </w:rPr>
              <w:t xml:space="preserve"> Global </w:t>
            </w:r>
            <w:proofErr w:type="spellStart"/>
            <w:r w:rsidRPr="00EA6F3F">
              <w:rPr>
                <w:rFonts w:ascii="Times New Roman" w:hAnsi="Times New Roman" w:cs="Times New Roman"/>
                <w:b/>
                <w:bCs/>
                <w:i/>
                <w:iCs/>
              </w:rPr>
              <w:t>Sustainable</w:t>
            </w:r>
            <w:proofErr w:type="spellEnd"/>
            <w:r w:rsidRPr="00EA6F3F">
              <w:rPr>
                <w:rFonts w:ascii="Times New Roman" w:hAnsi="Times New Roman" w:cs="Times New Roman"/>
                <w:b/>
                <w:bCs/>
                <w:i/>
                <w:iCs/>
              </w:rPr>
              <w:t xml:space="preserve"> </w:t>
            </w:r>
            <w:proofErr w:type="spellStart"/>
            <w:r w:rsidRPr="00EA6F3F">
              <w:rPr>
                <w:rFonts w:ascii="Times New Roman" w:hAnsi="Times New Roman" w:cs="Times New Roman"/>
                <w:b/>
                <w:bCs/>
                <w:i/>
                <w:iCs/>
              </w:rPr>
              <w:t>Tourism</w:t>
            </w:r>
            <w:proofErr w:type="spellEnd"/>
            <w:r w:rsidRPr="00EA6F3F">
              <w:rPr>
                <w:rFonts w:ascii="Times New Roman" w:hAnsi="Times New Roman" w:cs="Times New Roman"/>
                <w:b/>
                <w:bCs/>
                <w:i/>
                <w:iCs/>
              </w:rPr>
              <w:t xml:space="preserve"> </w:t>
            </w:r>
            <w:proofErr w:type="spellStart"/>
            <w:r w:rsidRPr="00EA6F3F">
              <w:rPr>
                <w:rFonts w:ascii="Times New Roman" w:hAnsi="Times New Roman" w:cs="Times New Roman"/>
                <w:b/>
                <w:bCs/>
                <w:i/>
                <w:iCs/>
              </w:rPr>
              <w:t>Conference</w:t>
            </w:r>
            <w:proofErr w:type="spellEnd"/>
            <w:r w:rsidRPr="00EA6F3F">
              <w:rPr>
                <w:rFonts w:ascii="Times New Roman" w:hAnsi="Times New Roman" w:cs="Times New Roman"/>
                <w:b/>
                <w:bCs/>
              </w:rPr>
              <w:t xml:space="preserve"> konferencija.</w:t>
            </w:r>
            <w:r>
              <w:rPr>
                <w:rFonts w:ascii="Times New Roman" w:hAnsi="Times New Roman" w:cs="Times New Roman"/>
              </w:rPr>
              <w:t xml:space="preserve"> Konferencijoje dalyvaus turizmo sektoriaus profesionalai, akademinių institucijų, viešbučių, kelionių organizatorių, turų operatorių atstovai.</w:t>
            </w:r>
          </w:p>
        </w:tc>
        <w:tc>
          <w:tcPr>
            <w:tcW w:w="4653" w:type="dxa"/>
          </w:tcPr>
          <w:p w14:paraId="5C65902E" w14:textId="45997235" w:rsidR="0058576B" w:rsidRDefault="00EA6F3F" w:rsidP="0058576B">
            <w:pPr>
              <w:jc w:val="center"/>
            </w:pPr>
            <w:hyperlink r:id="rId11" w:history="1">
              <w:r w:rsidRPr="00BC6F77">
                <w:rPr>
                  <w:rStyle w:val="Hyperlink"/>
                </w:rPr>
                <w:t>https://www.gstcouncil.org/gstc2024sweden</w:t>
              </w:r>
            </w:hyperlink>
            <w:r>
              <w:t xml:space="preserve"> </w:t>
            </w:r>
          </w:p>
        </w:tc>
        <w:tc>
          <w:tcPr>
            <w:tcW w:w="1056" w:type="dxa"/>
          </w:tcPr>
          <w:p w14:paraId="3F590BB4" w14:textId="5D27B15B" w:rsidR="0058576B" w:rsidRPr="000A221F" w:rsidRDefault="000A221F" w:rsidP="0058576B">
            <w:r w:rsidRPr="000A221F">
              <w:t xml:space="preserve"> </w:t>
            </w:r>
          </w:p>
        </w:tc>
      </w:tr>
      <w:tr w:rsidR="000A221F" w14:paraId="577AB60B" w14:textId="77777777" w:rsidTr="00041D0A">
        <w:trPr>
          <w:gridAfter w:val="3"/>
          <w:wAfter w:w="7816" w:type="dxa"/>
        </w:trPr>
        <w:tc>
          <w:tcPr>
            <w:tcW w:w="1097" w:type="dxa"/>
          </w:tcPr>
          <w:p w14:paraId="703BB847" w14:textId="5A956140" w:rsidR="000A221F" w:rsidRPr="00EA6F3F" w:rsidRDefault="000A221F" w:rsidP="0058576B">
            <w:pPr>
              <w:jc w:val="center"/>
              <w:rPr>
                <w:rFonts w:ascii="Times New Roman" w:hAnsi="Times New Roman" w:cs="Times New Roman"/>
              </w:rPr>
            </w:pPr>
          </w:p>
        </w:tc>
        <w:tc>
          <w:tcPr>
            <w:tcW w:w="7120" w:type="dxa"/>
          </w:tcPr>
          <w:p w14:paraId="3E1980A4" w14:textId="0771001E" w:rsidR="000A221F" w:rsidRDefault="000A221F" w:rsidP="0058576B">
            <w:pPr>
              <w:jc w:val="both"/>
              <w:rPr>
                <w:rFonts w:ascii="Times New Roman" w:hAnsi="Times New Roman" w:cs="Times New Roman"/>
              </w:rPr>
            </w:pPr>
          </w:p>
        </w:tc>
        <w:tc>
          <w:tcPr>
            <w:tcW w:w="4653" w:type="dxa"/>
          </w:tcPr>
          <w:p w14:paraId="7368EF5D" w14:textId="151E38D2" w:rsidR="000A221F" w:rsidRPr="000A221F" w:rsidRDefault="000A221F" w:rsidP="0058576B">
            <w:pPr>
              <w:jc w:val="center"/>
            </w:pPr>
          </w:p>
        </w:tc>
        <w:tc>
          <w:tcPr>
            <w:tcW w:w="1056" w:type="dxa"/>
          </w:tcPr>
          <w:p w14:paraId="1BB3B02F" w14:textId="4376936D" w:rsidR="000A221F" w:rsidRPr="00EA6F3F" w:rsidRDefault="000A221F" w:rsidP="0058576B"/>
        </w:tc>
      </w:tr>
      <w:tr w:rsidR="0058576B" w14:paraId="76AED288" w14:textId="77777777" w:rsidTr="00041D0A">
        <w:trPr>
          <w:gridAfter w:val="3"/>
          <w:wAfter w:w="7816" w:type="dxa"/>
        </w:trPr>
        <w:tc>
          <w:tcPr>
            <w:tcW w:w="13926" w:type="dxa"/>
            <w:gridSpan w:val="4"/>
          </w:tcPr>
          <w:p w14:paraId="772E273A" w14:textId="3F1CB2EF" w:rsidR="0058576B" w:rsidRPr="0058576B" w:rsidRDefault="0058576B" w:rsidP="0058576B">
            <w:pPr>
              <w:rPr>
                <w:rFonts w:ascii="Times New Roman" w:hAnsi="Times New Roman" w:cs="Times New Roman"/>
              </w:rPr>
            </w:pPr>
            <w:r w:rsidRPr="0058576B">
              <w:rPr>
                <w:rFonts w:ascii="Times New Roman" w:hAnsi="Times New Roman" w:cs="Times New Roman"/>
              </w:rPr>
              <w:t>Bendradarbiavimui mokslinių tyrimų, eksperimentinės plėtros ir inovacijų (MTEPI) srityse</w:t>
            </w:r>
          </w:p>
          <w:p w14:paraId="018216BC" w14:textId="40A3D036" w:rsidR="0058576B" w:rsidRDefault="0058576B" w:rsidP="0058576B">
            <w:r w:rsidRPr="0058576B">
              <w:rPr>
                <w:rFonts w:ascii="Times New Roman" w:hAnsi="Times New Roman" w:cs="Times New Roman"/>
              </w:rPr>
              <w:t>aktuali informacija</w:t>
            </w:r>
          </w:p>
        </w:tc>
      </w:tr>
      <w:tr w:rsidR="00155C65" w14:paraId="4A9A800C" w14:textId="77777777" w:rsidTr="00041D0A">
        <w:tc>
          <w:tcPr>
            <w:tcW w:w="1097" w:type="dxa"/>
          </w:tcPr>
          <w:p w14:paraId="4A3FFA63" w14:textId="598F7CA6" w:rsidR="00155C65" w:rsidRDefault="00EA6F3F" w:rsidP="00935660">
            <w:pPr>
              <w:rPr>
                <w:rFonts w:ascii="Times New Roman" w:hAnsi="Times New Roman" w:cs="Times New Roman"/>
                <w:lang w:val="sv-SE"/>
              </w:rPr>
            </w:pPr>
            <w:r>
              <w:rPr>
                <w:rFonts w:ascii="Times New Roman" w:hAnsi="Times New Roman" w:cs="Times New Roman"/>
                <w:lang w:val="sv-SE"/>
              </w:rPr>
              <w:t>2024-01-02</w:t>
            </w:r>
          </w:p>
        </w:tc>
        <w:tc>
          <w:tcPr>
            <w:tcW w:w="7120" w:type="dxa"/>
          </w:tcPr>
          <w:p w14:paraId="13757778" w14:textId="4DBE2AC4" w:rsidR="00155C65" w:rsidRPr="00041D0A" w:rsidRDefault="00EA6F3F" w:rsidP="00935660">
            <w:pPr>
              <w:rPr>
                <w:rFonts w:ascii="Times New Roman" w:hAnsi="Times New Roman" w:cs="Times New Roman"/>
                <w:b/>
                <w:bCs/>
                <w:lang w:val="en-US"/>
              </w:rPr>
            </w:pPr>
            <w:proofErr w:type="spellStart"/>
            <w:r w:rsidRPr="00041D0A">
              <w:rPr>
                <w:rFonts w:ascii="Times New Roman" w:hAnsi="Times New Roman" w:cs="Times New Roman"/>
                <w:b/>
                <w:bCs/>
                <w:lang w:val="en-US"/>
              </w:rPr>
              <w:t>Vasario</w:t>
            </w:r>
            <w:proofErr w:type="spellEnd"/>
            <w:r w:rsidRPr="00041D0A">
              <w:rPr>
                <w:rFonts w:ascii="Times New Roman" w:hAnsi="Times New Roman" w:cs="Times New Roman"/>
                <w:b/>
                <w:bCs/>
                <w:lang w:val="en-US"/>
              </w:rPr>
              <w:t xml:space="preserve"> 22-23 d. </w:t>
            </w:r>
            <w:proofErr w:type="spellStart"/>
            <w:r w:rsidRPr="00041D0A">
              <w:rPr>
                <w:rFonts w:ascii="Times New Roman" w:hAnsi="Times New Roman" w:cs="Times New Roman"/>
                <w:b/>
                <w:bCs/>
                <w:lang w:val="en-US"/>
              </w:rPr>
              <w:t>Stokholme</w:t>
            </w:r>
            <w:proofErr w:type="spellEnd"/>
            <w:r w:rsidRPr="00041D0A">
              <w:rPr>
                <w:rFonts w:ascii="Times New Roman" w:hAnsi="Times New Roman" w:cs="Times New Roman"/>
                <w:b/>
                <w:bCs/>
                <w:lang w:val="en-US"/>
              </w:rPr>
              <w:t xml:space="preserve"> </w:t>
            </w:r>
            <w:proofErr w:type="spellStart"/>
            <w:r w:rsidRPr="00041D0A">
              <w:rPr>
                <w:rFonts w:ascii="Times New Roman" w:hAnsi="Times New Roman" w:cs="Times New Roman"/>
                <w:b/>
                <w:bCs/>
                <w:lang w:val="en-US"/>
              </w:rPr>
              <w:t>vyks</w:t>
            </w:r>
            <w:proofErr w:type="spellEnd"/>
            <w:r w:rsidRPr="00041D0A">
              <w:rPr>
                <w:rFonts w:ascii="Times New Roman" w:hAnsi="Times New Roman" w:cs="Times New Roman"/>
                <w:b/>
                <w:bCs/>
                <w:lang w:val="en-US"/>
              </w:rPr>
              <w:t xml:space="preserve"> </w:t>
            </w:r>
            <w:proofErr w:type="spellStart"/>
            <w:r w:rsidRPr="00041D0A">
              <w:rPr>
                <w:rFonts w:ascii="Times New Roman" w:hAnsi="Times New Roman" w:cs="Times New Roman"/>
                <w:b/>
                <w:bCs/>
                <w:lang w:val="en-US"/>
              </w:rPr>
              <w:t>didžiausias</w:t>
            </w:r>
            <w:proofErr w:type="spellEnd"/>
            <w:r w:rsidRPr="00041D0A">
              <w:rPr>
                <w:rFonts w:ascii="Times New Roman" w:hAnsi="Times New Roman" w:cs="Times New Roman"/>
                <w:b/>
                <w:bCs/>
                <w:lang w:val="en-US"/>
              </w:rPr>
              <w:t xml:space="preserve"> </w:t>
            </w:r>
            <w:proofErr w:type="spellStart"/>
            <w:r w:rsidRPr="00041D0A">
              <w:rPr>
                <w:rFonts w:ascii="Times New Roman" w:hAnsi="Times New Roman" w:cs="Times New Roman"/>
                <w:b/>
                <w:bCs/>
                <w:lang w:val="en-US"/>
              </w:rPr>
              <w:t>Švedijos</w:t>
            </w:r>
            <w:proofErr w:type="spellEnd"/>
            <w:r w:rsidRPr="00041D0A">
              <w:rPr>
                <w:rFonts w:ascii="Times New Roman" w:hAnsi="Times New Roman" w:cs="Times New Roman"/>
                <w:b/>
                <w:bCs/>
                <w:lang w:val="en-US"/>
              </w:rPr>
              <w:t xml:space="preserve"> </w:t>
            </w:r>
            <w:proofErr w:type="spellStart"/>
            <w:r w:rsidRPr="00041D0A">
              <w:rPr>
                <w:rFonts w:ascii="Times New Roman" w:hAnsi="Times New Roman" w:cs="Times New Roman"/>
                <w:b/>
                <w:bCs/>
                <w:lang w:val="en-US"/>
              </w:rPr>
              <w:t>renginys</w:t>
            </w:r>
            <w:proofErr w:type="spellEnd"/>
            <w:r w:rsidRPr="00041D0A">
              <w:rPr>
                <w:rFonts w:ascii="Times New Roman" w:hAnsi="Times New Roman" w:cs="Times New Roman"/>
                <w:b/>
                <w:bCs/>
                <w:lang w:val="en-US"/>
              </w:rPr>
              <w:t xml:space="preserve">, </w:t>
            </w:r>
            <w:proofErr w:type="spellStart"/>
            <w:r w:rsidRPr="00041D0A">
              <w:rPr>
                <w:rFonts w:ascii="Times New Roman" w:hAnsi="Times New Roman" w:cs="Times New Roman"/>
                <w:b/>
                <w:bCs/>
                <w:lang w:val="en-US"/>
              </w:rPr>
              <w:t>skirtas</w:t>
            </w:r>
            <w:proofErr w:type="spellEnd"/>
            <w:r w:rsidRPr="00041D0A">
              <w:rPr>
                <w:rFonts w:ascii="Times New Roman" w:hAnsi="Times New Roman" w:cs="Times New Roman"/>
                <w:b/>
                <w:bCs/>
                <w:lang w:val="en-US"/>
              </w:rPr>
              <w:t xml:space="preserve"> </w:t>
            </w:r>
            <w:proofErr w:type="spellStart"/>
            <w:r w:rsidRPr="00041D0A">
              <w:rPr>
                <w:rFonts w:ascii="Times New Roman" w:hAnsi="Times New Roman" w:cs="Times New Roman"/>
                <w:b/>
                <w:bCs/>
                <w:lang w:val="en-US"/>
              </w:rPr>
              <w:t>inovacijoms</w:t>
            </w:r>
            <w:proofErr w:type="spellEnd"/>
            <w:r w:rsidRPr="00041D0A">
              <w:rPr>
                <w:rFonts w:ascii="Times New Roman" w:hAnsi="Times New Roman" w:cs="Times New Roman"/>
                <w:b/>
                <w:bCs/>
                <w:lang w:val="en-US"/>
              </w:rPr>
              <w:t xml:space="preserve">, </w:t>
            </w:r>
            <w:proofErr w:type="spellStart"/>
            <w:r w:rsidRPr="00041D0A">
              <w:rPr>
                <w:rFonts w:ascii="Times New Roman" w:hAnsi="Times New Roman" w:cs="Times New Roman"/>
                <w:b/>
                <w:bCs/>
                <w:lang w:val="en-US"/>
              </w:rPr>
              <w:t>Techarena</w:t>
            </w:r>
            <w:proofErr w:type="spellEnd"/>
            <w:r w:rsidRPr="00041D0A">
              <w:rPr>
                <w:rFonts w:ascii="Times New Roman" w:hAnsi="Times New Roman" w:cs="Times New Roman"/>
                <w:b/>
                <w:bCs/>
                <w:lang w:val="en-US"/>
              </w:rPr>
              <w:t xml:space="preserve"> 2024.</w:t>
            </w:r>
            <w:r w:rsidR="00041D0A" w:rsidRPr="00041D0A">
              <w:rPr>
                <w:rFonts w:ascii="Times New Roman" w:hAnsi="Times New Roman" w:cs="Times New Roman"/>
                <w:b/>
                <w:bCs/>
                <w:lang w:val="en-US"/>
              </w:rPr>
              <w:t xml:space="preserve"> </w:t>
            </w:r>
          </w:p>
        </w:tc>
        <w:tc>
          <w:tcPr>
            <w:tcW w:w="4653" w:type="dxa"/>
          </w:tcPr>
          <w:p w14:paraId="1C74DF5B" w14:textId="197D5862" w:rsidR="00155C65" w:rsidRDefault="00041D0A" w:rsidP="00935660">
            <w:pPr>
              <w:rPr>
                <w:rFonts w:ascii="Times New Roman" w:hAnsi="Times New Roman" w:cs="Times New Roman"/>
              </w:rPr>
            </w:pPr>
            <w:hyperlink r:id="rId12" w:history="1">
              <w:r w:rsidRPr="00BC6F77">
                <w:rPr>
                  <w:rStyle w:val="Hyperlink"/>
                  <w:rFonts w:ascii="Times New Roman" w:hAnsi="Times New Roman" w:cs="Times New Roman"/>
                </w:rPr>
                <w:t>https://techarena.se/speakers/</w:t>
              </w:r>
            </w:hyperlink>
            <w:r>
              <w:rPr>
                <w:rFonts w:ascii="Times New Roman" w:hAnsi="Times New Roman" w:cs="Times New Roman"/>
              </w:rPr>
              <w:t xml:space="preserve"> </w:t>
            </w:r>
          </w:p>
        </w:tc>
        <w:tc>
          <w:tcPr>
            <w:tcW w:w="1056" w:type="dxa"/>
          </w:tcPr>
          <w:p w14:paraId="4AA978B4" w14:textId="77777777" w:rsidR="00155C65" w:rsidRPr="0058576B" w:rsidRDefault="00155C65" w:rsidP="00935660">
            <w:pPr>
              <w:rPr>
                <w:rFonts w:ascii="Times New Roman" w:hAnsi="Times New Roman" w:cs="Times New Roman"/>
              </w:rPr>
            </w:pPr>
          </w:p>
        </w:tc>
        <w:tc>
          <w:tcPr>
            <w:tcW w:w="3340" w:type="dxa"/>
          </w:tcPr>
          <w:p w14:paraId="628878A4" w14:textId="77777777" w:rsidR="00155C65" w:rsidRDefault="00155C65" w:rsidP="00935660"/>
        </w:tc>
        <w:tc>
          <w:tcPr>
            <w:tcW w:w="2238" w:type="dxa"/>
          </w:tcPr>
          <w:p w14:paraId="288910F5" w14:textId="77777777" w:rsidR="00155C65" w:rsidRDefault="00155C65" w:rsidP="00935660"/>
        </w:tc>
        <w:tc>
          <w:tcPr>
            <w:tcW w:w="2238" w:type="dxa"/>
          </w:tcPr>
          <w:p w14:paraId="2D5C57A1" w14:textId="77777777" w:rsidR="00155C65" w:rsidRDefault="00155C65" w:rsidP="00935660"/>
        </w:tc>
      </w:tr>
      <w:tr w:rsidR="00935660" w14:paraId="3CEC9B62" w14:textId="3C1BE0A0" w:rsidTr="00041D0A">
        <w:tc>
          <w:tcPr>
            <w:tcW w:w="1097" w:type="dxa"/>
          </w:tcPr>
          <w:p w14:paraId="705525C0" w14:textId="751066AD" w:rsidR="00935660" w:rsidRPr="00EA6F3F" w:rsidRDefault="00935660" w:rsidP="00935660">
            <w:pPr>
              <w:rPr>
                <w:rFonts w:ascii="Times New Roman" w:hAnsi="Times New Roman" w:cs="Times New Roman"/>
                <w:lang w:val="en-US"/>
              </w:rPr>
            </w:pPr>
          </w:p>
        </w:tc>
        <w:tc>
          <w:tcPr>
            <w:tcW w:w="7120" w:type="dxa"/>
          </w:tcPr>
          <w:p w14:paraId="0D96213A" w14:textId="60A97300" w:rsidR="00935660" w:rsidRPr="00935660" w:rsidRDefault="00935660" w:rsidP="00935660">
            <w:pPr>
              <w:rPr>
                <w:rFonts w:ascii="Times New Roman" w:hAnsi="Times New Roman" w:cs="Times New Roman"/>
              </w:rPr>
            </w:pPr>
          </w:p>
        </w:tc>
        <w:tc>
          <w:tcPr>
            <w:tcW w:w="4653" w:type="dxa"/>
          </w:tcPr>
          <w:p w14:paraId="538565E4" w14:textId="26F11C63" w:rsidR="00935660" w:rsidRPr="00935660" w:rsidRDefault="00935660" w:rsidP="00935660">
            <w:pPr>
              <w:rPr>
                <w:rFonts w:ascii="Times New Roman" w:hAnsi="Times New Roman" w:cs="Times New Roman"/>
              </w:rPr>
            </w:pPr>
          </w:p>
        </w:tc>
        <w:tc>
          <w:tcPr>
            <w:tcW w:w="1056" w:type="dxa"/>
          </w:tcPr>
          <w:p w14:paraId="0BE074C7" w14:textId="41BC4FFB" w:rsidR="00935660" w:rsidRPr="0058576B" w:rsidRDefault="00935660" w:rsidP="00935660">
            <w:pPr>
              <w:rPr>
                <w:rFonts w:ascii="Times New Roman" w:hAnsi="Times New Roman" w:cs="Times New Roman"/>
              </w:rPr>
            </w:pPr>
          </w:p>
        </w:tc>
        <w:tc>
          <w:tcPr>
            <w:tcW w:w="3340" w:type="dxa"/>
          </w:tcPr>
          <w:p w14:paraId="14853DC8" w14:textId="77777777" w:rsidR="00935660" w:rsidRDefault="00935660" w:rsidP="00935660"/>
        </w:tc>
        <w:tc>
          <w:tcPr>
            <w:tcW w:w="2238" w:type="dxa"/>
          </w:tcPr>
          <w:p w14:paraId="569FEB76" w14:textId="77777777" w:rsidR="00935660" w:rsidRDefault="00935660" w:rsidP="00935660"/>
        </w:tc>
        <w:tc>
          <w:tcPr>
            <w:tcW w:w="2238" w:type="dxa"/>
          </w:tcPr>
          <w:p w14:paraId="5018E47C" w14:textId="77777777" w:rsidR="00935660" w:rsidRDefault="00935660" w:rsidP="00935660"/>
        </w:tc>
      </w:tr>
      <w:tr w:rsidR="00935660" w14:paraId="20AB3D2D" w14:textId="77777777" w:rsidTr="00041D0A">
        <w:trPr>
          <w:gridAfter w:val="3"/>
          <w:wAfter w:w="7816" w:type="dxa"/>
        </w:trPr>
        <w:tc>
          <w:tcPr>
            <w:tcW w:w="13926" w:type="dxa"/>
            <w:gridSpan w:val="4"/>
          </w:tcPr>
          <w:p w14:paraId="4FB8F1E8" w14:textId="77777777" w:rsidR="00935660" w:rsidRDefault="00935660" w:rsidP="00935660">
            <w:pPr>
              <w:rPr>
                <w:rFonts w:ascii="Times New Roman" w:hAnsi="Times New Roman" w:cs="Times New Roman"/>
              </w:rPr>
            </w:pPr>
          </w:p>
          <w:p w14:paraId="7C87065B" w14:textId="77777777" w:rsidR="00935660" w:rsidRDefault="00935660" w:rsidP="00935660">
            <w:pPr>
              <w:rPr>
                <w:rFonts w:ascii="Times New Roman" w:hAnsi="Times New Roman" w:cs="Times New Roman"/>
              </w:rPr>
            </w:pPr>
            <w:r w:rsidRPr="0058576B">
              <w:rPr>
                <w:rFonts w:ascii="Times New Roman" w:hAnsi="Times New Roman" w:cs="Times New Roman"/>
              </w:rPr>
              <w:t>Lietuvos ekonominiam ir energetiniam saugumui aktuali informacija</w:t>
            </w:r>
          </w:p>
          <w:p w14:paraId="6DA6522B" w14:textId="2A77C478" w:rsidR="00935660" w:rsidRPr="0058576B" w:rsidRDefault="00935660" w:rsidP="00935660">
            <w:pPr>
              <w:rPr>
                <w:rFonts w:ascii="Times New Roman" w:hAnsi="Times New Roman" w:cs="Times New Roman"/>
              </w:rPr>
            </w:pPr>
          </w:p>
        </w:tc>
      </w:tr>
      <w:tr w:rsidR="00935660" w14:paraId="4F90892A" w14:textId="77777777" w:rsidTr="00041D0A">
        <w:trPr>
          <w:gridAfter w:val="3"/>
          <w:wAfter w:w="7816" w:type="dxa"/>
        </w:trPr>
        <w:tc>
          <w:tcPr>
            <w:tcW w:w="1097" w:type="dxa"/>
          </w:tcPr>
          <w:p w14:paraId="57C4FBAF" w14:textId="33221FFF" w:rsidR="00935660" w:rsidRDefault="00152C4B" w:rsidP="00935660">
            <w:pPr>
              <w:jc w:val="center"/>
              <w:rPr>
                <w:rFonts w:ascii="Times New Roman" w:hAnsi="Times New Roman" w:cs="Times New Roman"/>
                <w:lang w:val="sv-SE"/>
              </w:rPr>
            </w:pPr>
            <w:r>
              <w:rPr>
                <w:rFonts w:ascii="Times New Roman" w:hAnsi="Times New Roman" w:cs="Times New Roman"/>
                <w:lang w:val="sv-SE"/>
              </w:rPr>
              <w:t>2024-01-09</w:t>
            </w:r>
          </w:p>
        </w:tc>
        <w:tc>
          <w:tcPr>
            <w:tcW w:w="7120" w:type="dxa"/>
          </w:tcPr>
          <w:p w14:paraId="2A7CCC62" w14:textId="77777777" w:rsidR="00152C4B" w:rsidRDefault="00152C4B" w:rsidP="00152C4B">
            <w:pPr>
              <w:jc w:val="both"/>
            </w:pPr>
            <w:r w:rsidRPr="002B77B0">
              <w:rPr>
                <w:rFonts w:ascii="Times New Roman" w:hAnsi="Times New Roman" w:cs="Times New Roman"/>
                <w:b/>
                <w:bCs/>
              </w:rPr>
              <w:t>Švedijos energijos tinklai praneša apie išaugusią sabotažų prieš energetikos infrastruktūrą grėsmę.</w:t>
            </w:r>
            <w:r>
              <w:rPr>
                <w:rFonts w:ascii="Times New Roman" w:hAnsi="Times New Roman" w:cs="Times New Roman"/>
                <w:b/>
                <w:bCs/>
              </w:rPr>
              <w:t xml:space="preserve"> </w:t>
            </w:r>
            <w:r>
              <w:rPr>
                <w:rFonts w:ascii="Times New Roman" w:hAnsi="Times New Roman" w:cs="Times New Roman"/>
              </w:rPr>
              <w:t xml:space="preserve">Energijos tinklų saugumo </w:t>
            </w:r>
            <w:r>
              <w:rPr>
                <w:rFonts w:ascii="Times New Roman" w:hAnsi="Times New Roman" w:cs="Times New Roman"/>
              </w:rPr>
              <w:lastRenderedPageBreak/>
              <w:t xml:space="preserve">padalinio vadovo </w:t>
            </w:r>
            <w:proofErr w:type="spellStart"/>
            <w:r>
              <w:rPr>
                <w:rFonts w:ascii="Times New Roman" w:hAnsi="Times New Roman" w:cs="Times New Roman"/>
              </w:rPr>
              <w:t>Erik</w:t>
            </w:r>
            <w:proofErr w:type="spellEnd"/>
            <w:r>
              <w:rPr>
                <w:rFonts w:ascii="Times New Roman" w:hAnsi="Times New Roman" w:cs="Times New Roman"/>
              </w:rPr>
              <w:t xml:space="preserve"> </w:t>
            </w:r>
            <w:proofErr w:type="spellStart"/>
            <w:r>
              <w:rPr>
                <w:rFonts w:ascii="Times New Roman" w:hAnsi="Times New Roman" w:cs="Times New Roman"/>
              </w:rPr>
              <w:t>Nordman</w:t>
            </w:r>
            <w:proofErr w:type="spellEnd"/>
            <w:r>
              <w:rPr>
                <w:rFonts w:ascii="Times New Roman" w:hAnsi="Times New Roman" w:cs="Times New Roman"/>
              </w:rPr>
              <w:t xml:space="preserve"> teigimu, pagrindinės grėsmės kyla iš Rusijos. Švedijos energetikos infrastruktūros saugumo klausimą aktualizavo Rusijos išpuoliai prieš Ukrainos infrastruktūrą. E. </w:t>
            </w:r>
            <w:proofErr w:type="spellStart"/>
            <w:r>
              <w:rPr>
                <w:rFonts w:ascii="Times New Roman" w:hAnsi="Times New Roman" w:cs="Times New Roman"/>
              </w:rPr>
              <w:t>Nordman</w:t>
            </w:r>
            <w:proofErr w:type="spellEnd"/>
            <w:r>
              <w:rPr>
                <w:rFonts w:ascii="Times New Roman" w:hAnsi="Times New Roman" w:cs="Times New Roman"/>
              </w:rPr>
              <w:t xml:space="preserve"> teigimu, jeigu kas ir pultų Švediją, tai būtų Rusija, todėl Švedijos energijos tinklai jau ruošia infrastruktūros atsparumą prieš tokius išpuolius. Teigiama, kad jau sustiprinti pajėgumai atsilaikyti prieš kibernetines atakas. Pagrindinės grėsmės yra galimos kibernetinės atakos arba fizinės atakos prieš įvairius energetikos objektus. Pabrėžiama, kad Švedija būtų ypač pažeidžiama žiemą, kuomet tokios įstaigos, kaip mokyklos, ligoninės, transporto sistemos turi turėti nenutraukiamą energijos tiekimą. Ekspertai komentuojantys galimas rizikas neįžvelgia konkrečių indikacijų, kad didelės atakos prieš Švedijos infrastruktūrą galėtų įvykti, bet pripažįsta, kad jeigu įvyktų, padariniai būtų milžiniški. </w:t>
            </w:r>
          </w:p>
          <w:p w14:paraId="3AF85A9E" w14:textId="77777777" w:rsidR="00935660" w:rsidRPr="005B44C5" w:rsidRDefault="00935660" w:rsidP="006D6425">
            <w:pPr>
              <w:spacing w:before="100" w:beforeAutospacing="1" w:after="100" w:afterAutospacing="1" w:line="293" w:lineRule="atLeast"/>
              <w:jc w:val="both"/>
              <w:rPr>
                <w:rFonts w:ascii="Times New Roman" w:hAnsi="Times New Roman" w:cs="Times New Roman"/>
              </w:rPr>
            </w:pPr>
          </w:p>
        </w:tc>
        <w:tc>
          <w:tcPr>
            <w:tcW w:w="4653" w:type="dxa"/>
          </w:tcPr>
          <w:p w14:paraId="64B92468" w14:textId="7ABAC773" w:rsidR="00935660" w:rsidRDefault="00041D0A" w:rsidP="00935660">
            <w:pPr>
              <w:jc w:val="center"/>
            </w:pPr>
            <w:hyperlink r:id="rId13" w:history="1">
              <w:proofErr w:type="spellStart"/>
              <w:r w:rsidR="00152C4B">
                <w:rPr>
                  <w:rStyle w:val="Hyperlink"/>
                </w:rPr>
                <w:t>Hoten</w:t>
              </w:r>
              <w:proofErr w:type="spellEnd"/>
              <w:r w:rsidR="00152C4B">
                <w:rPr>
                  <w:rStyle w:val="Hyperlink"/>
                </w:rPr>
                <w:t xml:space="preserve"> mot </w:t>
              </w:r>
              <w:proofErr w:type="spellStart"/>
              <w:r w:rsidR="00152C4B">
                <w:rPr>
                  <w:rStyle w:val="Hyperlink"/>
                </w:rPr>
                <w:t>svensk</w:t>
              </w:r>
              <w:proofErr w:type="spellEnd"/>
              <w:r w:rsidR="00152C4B">
                <w:rPr>
                  <w:rStyle w:val="Hyperlink"/>
                </w:rPr>
                <w:t xml:space="preserve"> </w:t>
              </w:r>
              <w:proofErr w:type="spellStart"/>
              <w:r w:rsidR="00152C4B">
                <w:rPr>
                  <w:rStyle w:val="Hyperlink"/>
                </w:rPr>
                <w:t>elförsörjning</w:t>
              </w:r>
              <w:proofErr w:type="spellEnd"/>
              <w:r w:rsidR="00152C4B">
                <w:rPr>
                  <w:rStyle w:val="Hyperlink"/>
                </w:rPr>
                <w:t xml:space="preserve"> – </w:t>
              </w:r>
              <w:proofErr w:type="spellStart"/>
              <w:r w:rsidR="00152C4B">
                <w:rPr>
                  <w:rStyle w:val="Hyperlink"/>
                </w:rPr>
                <w:t>risken</w:t>
              </w:r>
              <w:proofErr w:type="spellEnd"/>
              <w:r w:rsidR="00152C4B">
                <w:rPr>
                  <w:rStyle w:val="Hyperlink"/>
                </w:rPr>
                <w:t xml:space="preserve"> </w:t>
              </w:r>
              <w:proofErr w:type="spellStart"/>
              <w:r w:rsidR="00152C4B">
                <w:rPr>
                  <w:rStyle w:val="Hyperlink"/>
                </w:rPr>
                <w:t>för</w:t>
              </w:r>
              <w:proofErr w:type="spellEnd"/>
              <w:r w:rsidR="00152C4B">
                <w:rPr>
                  <w:rStyle w:val="Hyperlink"/>
                </w:rPr>
                <w:t xml:space="preserve"> </w:t>
              </w:r>
              <w:proofErr w:type="spellStart"/>
              <w:r w:rsidR="00152C4B">
                <w:rPr>
                  <w:rStyle w:val="Hyperlink"/>
                </w:rPr>
                <w:t>en</w:t>
              </w:r>
              <w:proofErr w:type="spellEnd"/>
              <w:r w:rsidR="00152C4B">
                <w:rPr>
                  <w:rStyle w:val="Hyperlink"/>
                </w:rPr>
                <w:t xml:space="preserve"> </w:t>
              </w:r>
              <w:proofErr w:type="spellStart"/>
              <w:r w:rsidR="00152C4B">
                <w:rPr>
                  <w:rStyle w:val="Hyperlink"/>
                </w:rPr>
                <w:t>omfattande</w:t>
              </w:r>
              <w:proofErr w:type="spellEnd"/>
              <w:r w:rsidR="00152C4B">
                <w:rPr>
                  <w:rStyle w:val="Hyperlink"/>
                </w:rPr>
                <w:t xml:space="preserve"> </w:t>
              </w:r>
              <w:proofErr w:type="spellStart"/>
              <w:r w:rsidR="00152C4B">
                <w:rPr>
                  <w:rStyle w:val="Hyperlink"/>
                </w:rPr>
                <w:t>attack</w:t>
              </w:r>
              <w:proofErr w:type="spellEnd"/>
              <w:r w:rsidR="00152C4B">
                <w:rPr>
                  <w:rStyle w:val="Hyperlink"/>
                </w:rPr>
                <w:t xml:space="preserve"> | </w:t>
              </w:r>
              <w:proofErr w:type="spellStart"/>
              <w:r w:rsidR="00152C4B">
                <w:rPr>
                  <w:rStyle w:val="Hyperlink"/>
                </w:rPr>
                <w:t>SvD</w:t>
              </w:r>
              <w:proofErr w:type="spellEnd"/>
            </w:hyperlink>
          </w:p>
        </w:tc>
        <w:tc>
          <w:tcPr>
            <w:tcW w:w="1056" w:type="dxa"/>
          </w:tcPr>
          <w:p w14:paraId="2DB68EC9" w14:textId="77777777" w:rsidR="00935660" w:rsidRPr="00D214D9" w:rsidRDefault="00935660" w:rsidP="00935660">
            <w:pPr>
              <w:rPr>
                <w:rFonts w:ascii="Times New Roman" w:hAnsi="Times New Roman" w:cs="Times New Roman"/>
              </w:rPr>
            </w:pPr>
          </w:p>
        </w:tc>
      </w:tr>
      <w:tr w:rsidR="00717E79" w14:paraId="32DA4890" w14:textId="77777777" w:rsidTr="00041D0A">
        <w:trPr>
          <w:gridAfter w:val="3"/>
          <w:wAfter w:w="7816" w:type="dxa"/>
        </w:trPr>
        <w:tc>
          <w:tcPr>
            <w:tcW w:w="1097" w:type="dxa"/>
          </w:tcPr>
          <w:p w14:paraId="5588F006" w14:textId="624D0E23" w:rsidR="00717E79" w:rsidRDefault="00F17F75" w:rsidP="00935660">
            <w:pPr>
              <w:jc w:val="center"/>
              <w:rPr>
                <w:rFonts w:ascii="Times New Roman" w:hAnsi="Times New Roman" w:cs="Times New Roman"/>
                <w:lang w:val="sv-SE"/>
              </w:rPr>
            </w:pPr>
            <w:r>
              <w:rPr>
                <w:rFonts w:ascii="Times New Roman" w:hAnsi="Times New Roman" w:cs="Times New Roman"/>
                <w:lang w:val="sv-SE"/>
              </w:rPr>
              <w:t>2024-01-16</w:t>
            </w:r>
          </w:p>
        </w:tc>
        <w:tc>
          <w:tcPr>
            <w:tcW w:w="7120" w:type="dxa"/>
          </w:tcPr>
          <w:p w14:paraId="5DAD0A37" w14:textId="7E069D42" w:rsidR="00717E79" w:rsidRDefault="00717E79" w:rsidP="00717E79">
            <w:pPr>
              <w:spacing w:after="160" w:line="252" w:lineRule="auto"/>
              <w:jc w:val="both"/>
              <w:rPr>
                <w:rFonts w:ascii="Times New Roman" w:hAnsi="Times New Roman" w:cs="Times New Roman"/>
              </w:rPr>
            </w:pPr>
            <w:r>
              <w:rPr>
                <w:rFonts w:ascii="Times New Roman" w:hAnsi="Times New Roman" w:cs="Times New Roman"/>
                <w:b/>
                <w:bCs/>
              </w:rPr>
              <w:t xml:space="preserve">Aiškėja, kad Švedijos planuojama branduolinės energetikos plėtra bus galimai brangesnė negu prognozuota. </w:t>
            </w:r>
            <w:r>
              <w:rPr>
                <w:rFonts w:ascii="Times New Roman" w:hAnsi="Times New Roman" w:cs="Times New Roman"/>
              </w:rPr>
              <w:t xml:space="preserve">Valstybinė energetikos įmonė </w:t>
            </w:r>
            <w:proofErr w:type="spellStart"/>
            <w:r>
              <w:rPr>
                <w:rFonts w:ascii="Times New Roman" w:hAnsi="Times New Roman" w:cs="Times New Roman"/>
              </w:rPr>
              <w:t>Vattenfall</w:t>
            </w:r>
            <w:proofErr w:type="spellEnd"/>
            <w:r>
              <w:rPr>
                <w:rFonts w:ascii="Times New Roman" w:hAnsi="Times New Roman" w:cs="Times New Roman"/>
              </w:rPr>
              <w:t xml:space="preserve"> sulaukė pasiūlymų iš mažų modulinių reaktorių (SMR) tiekėjų su konkrečiomis kainomis. Kaip praneša žiniasklaida, nurodytos kainos yra kone dvigubai didesnės negu prognozavo Vyriausybė. Ši prognozavo, kad naujose AE pagaminta elektra kainuotų maždaug 0,048- 0,053 EUR už kWh, tačiau skelbiami kainos pasiūlymai siekia 0,079-0,1 EUR už kWh. Švedijos energetikos agentūros ekspertai jau viešai komentuoja, kad jeigu AE pagamintos elektros kaina sieks 0,1 EUR už kWh vargu ar bus prasminga statyti naujas AE. Ši mintis jau sėkmingai cituojama žiniasklaidoje, paskelbtos kainos lyginamos su vėjo elektros parkuose pagaminamos energijos kaina (0,031 EUR už kWh). Neabejojama, kad, jeigu šios kainos pasitvirtins, Vyriausybė turės didelį spaudimą dėl savo planų. Kol kas oficialių Vyriausybės komentarų nėra.</w:t>
            </w:r>
          </w:p>
          <w:p w14:paraId="016D0B26" w14:textId="77777777" w:rsidR="00717E79" w:rsidRDefault="00717E79" w:rsidP="00717E79">
            <w:pPr>
              <w:jc w:val="both"/>
              <w:rPr>
                <w:rFonts w:ascii="Times New Roman" w:hAnsi="Times New Roman" w:cs="Times New Roman"/>
              </w:rPr>
            </w:pPr>
          </w:p>
        </w:tc>
        <w:tc>
          <w:tcPr>
            <w:tcW w:w="4653" w:type="dxa"/>
          </w:tcPr>
          <w:p w14:paraId="4F5152AC" w14:textId="7ABFD5D5" w:rsidR="00717E79" w:rsidRDefault="00041D0A" w:rsidP="00935660">
            <w:pPr>
              <w:jc w:val="center"/>
            </w:pPr>
            <w:hyperlink r:id="rId14" w:history="1">
              <w:proofErr w:type="spellStart"/>
              <w:r w:rsidR="00F17F75">
                <w:rPr>
                  <w:rStyle w:val="Hyperlink"/>
                </w:rPr>
                <w:t>Ny</w:t>
              </w:r>
              <w:proofErr w:type="spellEnd"/>
              <w:r w:rsidR="00F17F75">
                <w:rPr>
                  <w:rStyle w:val="Hyperlink"/>
                </w:rPr>
                <w:t xml:space="preserve"> </w:t>
              </w:r>
              <w:proofErr w:type="spellStart"/>
              <w:r w:rsidR="00F17F75">
                <w:rPr>
                  <w:rStyle w:val="Hyperlink"/>
                </w:rPr>
                <w:t>kärnkraft</w:t>
              </w:r>
              <w:proofErr w:type="spellEnd"/>
              <w:r w:rsidR="00F17F75">
                <w:rPr>
                  <w:rStyle w:val="Hyperlink"/>
                </w:rPr>
                <w:t xml:space="preserve"> </w:t>
              </w:r>
              <w:proofErr w:type="spellStart"/>
              <w:r w:rsidR="00F17F75">
                <w:rPr>
                  <w:rStyle w:val="Hyperlink"/>
                </w:rPr>
                <w:t>kan</w:t>
              </w:r>
              <w:proofErr w:type="spellEnd"/>
              <w:r w:rsidR="00F17F75">
                <w:rPr>
                  <w:rStyle w:val="Hyperlink"/>
                </w:rPr>
                <w:t xml:space="preserve"> bli </w:t>
              </w:r>
              <w:proofErr w:type="spellStart"/>
              <w:r w:rsidR="00F17F75">
                <w:rPr>
                  <w:rStyle w:val="Hyperlink"/>
                </w:rPr>
                <w:t>dyrare</w:t>
              </w:r>
              <w:proofErr w:type="spellEnd"/>
              <w:r w:rsidR="00F17F75">
                <w:rPr>
                  <w:rStyle w:val="Hyperlink"/>
                </w:rPr>
                <w:t xml:space="preserve"> | SVT </w:t>
              </w:r>
              <w:proofErr w:type="spellStart"/>
              <w:r w:rsidR="00F17F75">
                <w:rPr>
                  <w:rStyle w:val="Hyperlink"/>
                </w:rPr>
                <w:t>Nyheter</w:t>
              </w:r>
              <w:proofErr w:type="spellEnd"/>
            </w:hyperlink>
          </w:p>
        </w:tc>
        <w:tc>
          <w:tcPr>
            <w:tcW w:w="1056" w:type="dxa"/>
          </w:tcPr>
          <w:p w14:paraId="7DDD6E38" w14:textId="77777777" w:rsidR="00717E79" w:rsidRPr="00D214D9" w:rsidRDefault="00717E79" w:rsidP="00935660">
            <w:pPr>
              <w:rPr>
                <w:rFonts w:ascii="Times New Roman" w:hAnsi="Times New Roman" w:cs="Times New Roman"/>
              </w:rPr>
            </w:pPr>
          </w:p>
        </w:tc>
      </w:tr>
      <w:tr w:rsidR="00935660" w14:paraId="3E6135AC" w14:textId="77777777" w:rsidTr="00041D0A">
        <w:trPr>
          <w:gridAfter w:val="3"/>
          <w:wAfter w:w="7816" w:type="dxa"/>
        </w:trPr>
        <w:tc>
          <w:tcPr>
            <w:tcW w:w="1097" w:type="dxa"/>
          </w:tcPr>
          <w:p w14:paraId="3EABA7D6" w14:textId="1578765C" w:rsidR="00935660" w:rsidRDefault="00152C4B" w:rsidP="00935660">
            <w:pPr>
              <w:jc w:val="center"/>
              <w:rPr>
                <w:rFonts w:ascii="Times New Roman" w:hAnsi="Times New Roman" w:cs="Times New Roman"/>
                <w:lang w:val="sv-SE"/>
              </w:rPr>
            </w:pPr>
            <w:r>
              <w:rPr>
                <w:rFonts w:ascii="Times New Roman" w:hAnsi="Times New Roman" w:cs="Times New Roman"/>
                <w:lang w:val="sv-SE"/>
              </w:rPr>
              <w:t>2024-01-04</w:t>
            </w:r>
          </w:p>
        </w:tc>
        <w:tc>
          <w:tcPr>
            <w:tcW w:w="7120" w:type="dxa"/>
          </w:tcPr>
          <w:p w14:paraId="5A528546" w14:textId="085451D5" w:rsidR="00935660" w:rsidRPr="00041D0A" w:rsidRDefault="00152C4B" w:rsidP="00717E79">
            <w:pPr>
              <w:jc w:val="both"/>
            </w:pPr>
            <w:r w:rsidRPr="003417DA">
              <w:rPr>
                <w:rFonts w:ascii="Times New Roman" w:hAnsi="Times New Roman" w:cs="Times New Roman"/>
                <w:b/>
                <w:bCs/>
              </w:rPr>
              <w:t>Paskirtas Švedijos branduolinės energetikos koordinatorius.</w:t>
            </w:r>
            <w:r>
              <w:rPr>
                <w:rFonts w:ascii="Times New Roman" w:hAnsi="Times New Roman" w:cs="Times New Roman"/>
              </w:rPr>
              <w:t xml:space="preserve"> Vyriausybė pranešė, kad nuo 2024 m. vasario 1 d. įsigalios branduolinės energetikos koordinatoriaus, pavaldaus Vyriausybei, pareigybė. Pranešta, kad koordinatoriumi paskirtas </w:t>
            </w:r>
            <w:proofErr w:type="spellStart"/>
            <w:r>
              <w:rPr>
                <w:rFonts w:ascii="Times New Roman" w:hAnsi="Times New Roman" w:cs="Times New Roman"/>
              </w:rPr>
              <w:t>Carl</w:t>
            </w:r>
            <w:proofErr w:type="spellEnd"/>
            <w:r>
              <w:rPr>
                <w:rFonts w:ascii="Times New Roman" w:hAnsi="Times New Roman" w:cs="Times New Roman"/>
              </w:rPr>
              <w:t xml:space="preserve"> </w:t>
            </w:r>
            <w:proofErr w:type="spellStart"/>
            <w:r>
              <w:rPr>
                <w:rFonts w:ascii="Times New Roman" w:hAnsi="Times New Roman" w:cs="Times New Roman"/>
              </w:rPr>
              <w:t>Berglöf</w:t>
            </w:r>
            <w:proofErr w:type="spellEnd"/>
            <w:r>
              <w:rPr>
                <w:rFonts w:ascii="Times New Roman" w:hAnsi="Times New Roman" w:cs="Times New Roman"/>
              </w:rPr>
              <w:t xml:space="preserve">, kuris šiuo metu eina eksperto pareigas elektros gamintojų asociacijoje </w:t>
            </w:r>
            <w:proofErr w:type="spellStart"/>
            <w:r>
              <w:rPr>
                <w:rFonts w:ascii="Times New Roman" w:hAnsi="Times New Roman" w:cs="Times New Roman"/>
              </w:rPr>
              <w:t>Swedenergy</w:t>
            </w:r>
            <w:proofErr w:type="spellEnd"/>
            <w:r>
              <w:rPr>
                <w:rFonts w:ascii="Times New Roman" w:hAnsi="Times New Roman" w:cs="Times New Roman"/>
              </w:rPr>
              <w:t xml:space="preserve"> (</w:t>
            </w:r>
            <w:proofErr w:type="spellStart"/>
            <w:r>
              <w:rPr>
                <w:rFonts w:ascii="Times New Roman" w:hAnsi="Times New Roman" w:cs="Times New Roman"/>
              </w:rPr>
              <w:t>šved</w:t>
            </w:r>
            <w:proofErr w:type="spellEnd"/>
            <w:r>
              <w:rPr>
                <w:rFonts w:ascii="Times New Roman" w:hAnsi="Times New Roman" w:cs="Times New Roman"/>
              </w:rPr>
              <w:t xml:space="preserve">. </w:t>
            </w:r>
            <w:proofErr w:type="spellStart"/>
            <w:r>
              <w:rPr>
                <w:rFonts w:ascii="Times New Roman" w:hAnsi="Times New Roman" w:cs="Times New Roman"/>
              </w:rPr>
              <w:t>Energiföretagen</w:t>
            </w:r>
            <w:proofErr w:type="spellEnd"/>
            <w:r>
              <w:rPr>
                <w:rFonts w:ascii="Times New Roman" w:hAnsi="Times New Roman" w:cs="Times New Roman"/>
              </w:rPr>
              <w:t xml:space="preserve">). C. </w:t>
            </w:r>
            <w:proofErr w:type="spellStart"/>
            <w:r>
              <w:rPr>
                <w:rFonts w:ascii="Times New Roman" w:hAnsi="Times New Roman" w:cs="Times New Roman"/>
              </w:rPr>
              <w:t>Berglöf</w:t>
            </w:r>
            <w:proofErr w:type="spellEnd"/>
            <w:r>
              <w:rPr>
                <w:rFonts w:ascii="Times New Roman" w:hAnsi="Times New Roman" w:cs="Times New Roman"/>
              </w:rPr>
              <w:t xml:space="preserve"> bus atsakingas už Vyriausybės tikslo iki 2035 m. pastatyti du branduolinius reaktorius, o iki 2045 m. įvykdyti masinę AE plėtrą šalyje, koordinavimą. Pagrindinė jo funkcija – palaikyti ryšį su įvairiais procese dalyvaujančiais aktoriais, nuo savivaldos iki verslo įmonių bei analizuoti branduolinės plėtros procesą, prireikus pasiūlyti Vyriausybei priemones, kaip procesą pagreitinti. Savo pristatymo metu C. </w:t>
            </w:r>
            <w:proofErr w:type="spellStart"/>
            <w:r>
              <w:rPr>
                <w:rFonts w:ascii="Times New Roman" w:hAnsi="Times New Roman" w:cs="Times New Roman"/>
              </w:rPr>
              <w:t>Berglöf</w:t>
            </w:r>
            <w:proofErr w:type="spellEnd"/>
            <w:r>
              <w:rPr>
                <w:rFonts w:ascii="Times New Roman" w:hAnsi="Times New Roman" w:cs="Times New Roman"/>
              </w:rPr>
              <w:t xml:space="preserve"> akcentavo, kad pagrindiniai prioritetai bus nustatyti tinkamą AE statymo finansavimo modelį ir suefektyvinti leidimų išdavimo procesą.</w:t>
            </w:r>
          </w:p>
        </w:tc>
        <w:tc>
          <w:tcPr>
            <w:tcW w:w="4653" w:type="dxa"/>
          </w:tcPr>
          <w:p w14:paraId="2ACFA1AD" w14:textId="37A46CE0" w:rsidR="00935660" w:rsidRDefault="00041D0A" w:rsidP="00935660">
            <w:pPr>
              <w:jc w:val="center"/>
            </w:pPr>
            <w:hyperlink r:id="rId15" w:history="1">
              <w:proofErr w:type="spellStart"/>
              <w:r w:rsidR="00152C4B">
                <w:rPr>
                  <w:rStyle w:val="Hyperlink"/>
                </w:rPr>
                <w:t>Carl</w:t>
              </w:r>
              <w:proofErr w:type="spellEnd"/>
              <w:r w:rsidR="00152C4B">
                <w:rPr>
                  <w:rStyle w:val="Hyperlink"/>
                </w:rPr>
                <w:t xml:space="preserve"> </w:t>
              </w:r>
              <w:proofErr w:type="spellStart"/>
              <w:r w:rsidR="00152C4B">
                <w:rPr>
                  <w:rStyle w:val="Hyperlink"/>
                </w:rPr>
                <w:t>Berglöf</w:t>
              </w:r>
              <w:proofErr w:type="spellEnd"/>
              <w:r w:rsidR="00152C4B">
                <w:rPr>
                  <w:rStyle w:val="Hyperlink"/>
                </w:rPr>
                <w:t xml:space="preserve"> </w:t>
              </w:r>
              <w:proofErr w:type="spellStart"/>
              <w:r w:rsidR="00152C4B">
                <w:rPr>
                  <w:rStyle w:val="Hyperlink"/>
                </w:rPr>
                <w:t>utses</w:t>
              </w:r>
              <w:proofErr w:type="spellEnd"/>
              <w:r w:rsidR="00152C4B">
                <w:rPr>
                  <w:rStyle w:val="Hyperlink"/>
                </w:rPr>
                <w:t xml:space="preserve"> </w:t>
              </w:r>
              <w:proofErr w:type="spellStart"/>
              <w:r w:rsidR="00152C4B">
                <w:rPr>
                  <w:rStyle w:val="Hyperlink"/>
                </w:rPr>
                <w:t>till</w:t>
              </w:r>
              <w:proofErr w:type="spellEnd"/>
              <w:r w:rsidR="00152C4B">
                <w:rPr>
                  <w:rStyle w:val="Hyperlink"/>
                </w:rPr>
                <w:t xml:space="preserve"> </w:t>
              </w:r>
              <w:proofErr w:type="spellStart"/>
              <w:r w:rsidR="00152C4B">
                <w:rPr>
                  <w:rStyle w:val="Hyperlink"/>
                </w:rPr>
                <w:t>nationell</w:t>
              </w:r>
              <w:proofErr w:type="spellEnd"/>
              <w:r w:rsidR="00152C4B">
                <w:rPr>
                  <w:rStyle w:val="Hyperlink"/>
                </w:rPr>
                <w:t xml:space="preserve"> </w:t>
              </w:r>
              <w:proofErr w:type="spellStart"/>
              <w:r w:rsidR="00152C4B">
                <w:rPr>
                  <w:rStyle w:val="Hyperlink"/>
                </w:rPr>
                <w:t>kärnkraftssamordnare</w:t>
              </w:r>
              <w:proofErr w:type="spellEnd"/>
              <w:r w:rsidR="00152C4B">
                <w:rPr>
                  <w:rStyle w:val="Hyperlink"/>
                </w:rPr>
                <w:t xml:space="preserve"> - Regeringen.se</w:t>
              </w:r>
            </w:hyperlink>
          </w:p>
        </w:tc>
        <w:tc>
          <w:tcPr>
            <w:tcW w:w="1056" w:type="dxa"/>
          </w:tcPr>
          <w:p w14:paraId="7A7A3C1E" w14:textId="77777777" w:rsidR="00935660" w:rsidRPr="00D214D9" w:rsidRDefault="00935660" w:rsidP="00935660">
            <w:pPr>
              <w:rPr>
                <w:rFonts w:ascii="Times New Roman" w:hAnsi="Times New Roman" w:cs="Times New Roman"/>
              </w:rPr>
            </w:pPr>
          </w:p>
        </w:tc>
      </w:tr>
      <w:tr w:rsidR="00935660" w14:paraId="014F0440" w14:textId="77777777" w:rsidTr="00041D0A">
        <w:trPr>
          <w:gridAfter w:val="3"/>
          <w:wAfter w:w="7816" w:type="dxa"/>
        </w:trPr>
        <w:tc>
          <w:tcPr>
            <w:tcW w:w="1097" w:type="dxa"/>
          </w:tcPr>
          <w:p w14:paraId="493B9C95" w14:textId="4221B1DC" w:rsidR="00935660" w:rsidRDefault="00152C4B" w:rsidP="00935660">
            <w:pPr>
              <w:jc w:val="center"/>
              <w:rPr>
                <w:rFonts w:ascii="Times New Roman" w:hAnsi="Times New Roman" w:cs="Times New Roman"/>
              </w:rPr>
            </w:pPr>
            <w:r>
              <w:rPr>
                <w:rFonts w:ascii="Times New Roman" w:hAnsi="Times New Roman" w:cs="Times New Roman"/>
              </w:rPr>
              <w:t>2024-01-10</w:t>
            </w:r>
          </w:p>
        </w:tc>
        <w:tc>
          <w:tcPr>
            <w:tcW w:w="7120" w:type="dxa"/>
          </w:tcPr>
          <w:p w14:paraId="1D5C6244" w14:textId="07BB64CE" w:rsidR="00152C4B" w:rsidRDefault="00152C4B" w:rsidP="00717E79">
            <w:pPr>
              <w:jc w:val="both"/>
            </w:pPr>
            <w:r w:rsidRPr="003417DA">
              <w:rPr>
                <w:rFonts w:ascii="Times New Roman" w:hAnsi="Times New Roman" w:cs="Times New Roman"/>
                <w:b/>
                <w:bCs/>
              </w:rPr>
              <w:t>Vyriausybė patvirtino leidimus statyti tris stambius jūrinio vėjo energijos parkus Švedijos ekonominės zonos vandenyse.</w:t>
            </w:r>
            <w:r>
              <w:rPr>
                <w:rFonts w:ascii="Times New Roman" w:hAnsi="Times New Roman" w:cs="Times New Roman"/>
              </w:rPr>
              <w:t xml:space="preserve"> Tai </w:t>
            </w:r>
            <w:proofErr w:type="spellStart"/>
            <w:r>
              <w:rPr>
                <w:rFonts w:ascii="Times New Roman" w:hAnsi="Times New Roman" w:cs="Times New Roman"/>
              </w:rPr>
              <w:t>Vattenfall</w:t>
            </w:r>
            <w:proofErr w:type="spellEnd"/>
            <w:r>
              <w:rPr>
                <w:rFonts w:ascii="Times New Roman" w:hAnsi="Times New Roman" w:cs="Times New Roman"/>
              </w:rPr>
              <w:t xml:space="preserve"> įmonės </w:t>
            </w:r>
            <w:proofErr w:type="spellStart"/>
            <w:r>
              <w:rPr>
                <w:rFonts w:ascii="Times New Roman" w:hAnsi="Times New Roman" w:cs="Times New Roman"/>
              </w:rPr>
              <w:t>Kattegatt</w:t>
            </w:r>
            <w:proofErr w:type="spellEnd"/>
            <w:r>
              <w:rPr>
                <w:rFonts w:ascii="Times New Roman" w:hAnsi="Times New Roman" w:cs="Times New Roman"/>
              </w:rPr>
              <w:t xml:space="preserve"> </w:t>
            </w:r>
            <w:proofErr w:type="spellStart"/>
            <w:r>
              <w:rPr>
                <w:rFonts w:ascii="Times New Roman" w:hAnsi="Times New Roman" w:cs="Times New Roman"/>
              </w:rPr>
              <w:t>Syd</w:t>
            </w:r>
            <w:proofErr w:type="spellEnd"/>
            <w:r>
              <w:rPr>
                <w:rFonts w:ascii="Times New Roman" w:hAnsi="Times New Roman" w:cs="Times New Roman"/>
              </w:rPr>
              <w:t xml:space="preserve"> parkas netoli </w:t>
            </w:r>
            <w:proofErr w:type="spellStart"/>
            <w:r>
              <w:rPr>
                <w:rFonts w:ascii="Times New Roman" w:hAnsi="Times New Roman" w:cs="Times New Roman"/>
              </w:rPr>
              <w:t>Falkenberg</w:t>
            </w:r>
            <w:proofErr w:type="spellEnd"/>
            <w:r>
              <w:rPr>
                <w:rFonts w:ascii="Times New Roman" w:hAnsi="Times New Roman" w:cs="Times New Roman"/>
              </w:rPr>
              <w:t xml:space="preserve"> miesto pietų Švedijoje ir  </w:t>
            </w:r>
            <w:proofErr w:type="spellStart"/>
            <w:r>
              <w:rPr>
                <w:rFonts w:ascii="Times New Roman" w:hAnsi="Times New Roman" w:cs="Times New Roman"/>
              </w:rPr>
              <w:t>Kriegers</w:t>
            </w:r>
            <w:proofErr w:type="spellEnd"/>
            <w:r>
              <w:rPr>
                <w:rFonts w:ascii="Times New Roman" w:hAnsi="Times New Roman" w:cs="Times New Roman"/>
              </w:rPr>
              <w:t xml:space="preserve"> </w:t>
            </w:r>
            <w:proofErr w:type="spellStart"/>
            <w:r>
              <w:rPr>
                <w:rFonts w:ascii="Times New Roman" w:hAnsi="Times New Roman" w:cs="Times New Roman"/>
              </w:rPr>
              <w:t>Flak</w:t>
            </w:r>
            <w:proofErr w:type="spellEnd"/>
            <w:r>
              <w:rPr>
                <w:rFonts w:ascii="Times New Roman" w:hAnsi="Times New Roman" w:cs="Times New Roman"/>
              </w:rPr>
              <w:t xml:space="preserve"> parkas šalia </w:t>
            </w:r>
            <w:proofErr w:type="spellStart"/>
            <w:r>
              <w:rPr>
                <w:rFonts w:ascii="Times New Roman" w:hAnsi="Times New Roman" w:cs="Times New Roman"/>
              </w:rPr>
              <w:t>Telleborgo</w:t>
            </w:r>
            <w:proofErr w:type="spellEnd"/>
            <w:r>
              <w:rPr>
                <w:rFonts w:ascii="Times New Roman" w:hAnsi="Times New Roman" w:cs="Times New Roman"/>
              </w:rPr>
              <w:t xml:space="preserve"> miesto pietų Švedijoje bei jūrinio vėjo parkas šalia </w:t>
            </w:r>
            <w:proofErr w:type="spellStart"/>
            <w:r>
              <w:rPr>
                <w:rFonts w:ascii="Times New Roman" w:hAnsi="Times New Roman" w:cs="Times New Roman"/>
              </w:rPr>
              <w:t>Varberg</w:t>
            </w:r>
            <w:proofErr w:type="spellEnd"/>
            <w:r>
              <w:rPr>
                <w:rFonts w:ascii="Times New Roman" w:hAnsi="Times New Roman" w:cs="Times New Roman"/>
              </w:rPr>
              <w:t xml:space="preserve"> miesto, pietų Švedijoje, kurio 51% akcijų valdo įmonė OX2, o 49% </w:t>
            </w:r>
            <w:proofErr w:type="spellStart"/>
            <w:r>
              <w:rPr>
                <w:rFonts w:ascii="Times New Roman" w:hAnsi="Times New Roman" w:cs="Times New Roman"/>
              </w:rPr>
              <w:t>Ingka</w:t>
            </w:r>
            <w:proofErr w:type="spellEnd"/>
            <w:r>
              <w:rPr>
                <w:rFonts w:ascii="Times New Roman" w:hAnsi="Times New Roman" w:cs="Times New Roman"/>
              </w:rPr>
              <w:t xml:space="preserve"> </w:t>
            </w:r>
            <w:proofErr w:type="spellStart"/>
            <w:r>
              <w:rPr>
                <w:rFonts w:ascii="Times New Roman" w:hAnsi="Times New Roman" w:cs="Times New Roman"/>
              </w:rPr>
              <w:t>Investments</w:t>
            </w:r>
            <w:proofErr w:type="spellEnd"/>
            <w:r>
              <w:rPr>
                <w:rFonts w:ascii="Times New Roman" w:hAnsi="Times New Roman" w:cs="Times New Roman"/>
              </w:rPr>
              <w:t xml:space="preserve"> valdomo IKEA konglomerato. Tiesa, Vyriausybė jau anksčiau buvo pranešus, kad nefinansuos šių projektų jungčių su žemynine Švedijos dalimi. Projektus valdančios įmonės tuomet pranešė, kad atsižvelgiant į tai galbūt bus nuspręsta projektų atsisakyti. Tačiau dabar pranešama, kad visų trijų projektų atvejais įmonės pačios pasidengs numatomus kaštus be Vyriausybės pagalbos. Planuojama, kad projektai galėtų būti užbaigti iki 2028 m.</w:t>
            </w:r>
          </w:p>
          <w:p w14:paraId="0EF2CAD6" w14:textId="7FEBECD3" w:rsidR="00935660" w:rsidRPr="008F0BE1" w:rsidRDefault="00935660" w:rsidP="00717E79">
            <w:pPr>
              <w:jc w:val="both"/>
              <w:rPr>
                <w:rFonts w:ascii="Times New Roman" w:hAnsi="Times New Roman" w:cs="Times New Roman"/>
              </w:rPr>
            </w:pPr>
          </w:p>
        </w:tc>
        <w:tc>
          <w:tcPr>
            <w:tcW w:w="4653" w:type="dxa"/>
          </w:tcPr>
          <w:p w14:paraId="135C2AE4" w14:textId="46A5668E" w:rsidR="00935660" w:rsidRPr="008F0BE1" w:rsidRDefault="00041D0A" w:rsidP="00935660">
            <w:pPr>
              <w:jc w:val="center"/>
              <w:rPr>
                <w:rFonts w:ascii="Times New Roman" w:hAnsi="Times New Roman" w:cs="Times New Roman"/>
              </w:rPr>
            </w:pPr>
            <w:hyperlink r:id="rId16" w:anchor="_blank" w:history="1">
              <w:r w:rsidR="00717E79">
                <w:rPr>
                  <w:rStyle w:val="Hyperlink"/>
                </w:rPr>
                <w:t>”</w:t>
              </w:r>
              <w:proofErr w:type="spellStart"/>
              <w:r w:rsidR="00717E79">
                <w:rPr>
                  <w:rStyle w:val="Hyperlink"/>
                </w:rPr>
                <w:t>Vi</w:t>
              </w:r>
              <w:proofErr w:type="spellEnd"/>
              <w:r w:rsidR="00717E79">
                <w:rPr>
                  <w:rStyle w:val="Hyperlink"/>
                </w:rPr>
                <w:t xml:space="preserve"> </w:t>
              </w:r>
              <w:proofErr w:type="spellStart"/>
              <w:r w:rsidR="00717E79">
                <w:rPr>
                  <w:rStyle w:val="Hyperlink"/>
                </w:rPr>
                <w:t>bygger</w:t>
              </w:r>
              <w:proofErr w:type="spellEnd"/>
              <w:r w:rsidR="00717E79">
                <w:rPr>
                  <w:rStyle w:val="Hyperlink"/>
                </w:rPr>
                <w:t xml:space="preserve"> </w:t>
              </w:r>
              <w:proofErr w:type="spellStart"/>
              <w:r w:rsidR="00717E79">
                <w:rPr>
                  <w:rStyle w:val="Hyperlink"/>
                </w:rPr>
                <w:t>vindkraft</w:t>
              </w:r>
              <w:proofErr w:type="spellEnd"/>
              <w:r w:rsidR="00717E79">
                <w:rPr>
                  <w:rStyle w:val="Hyperlink"/>
                </w:rPr>
                <w:t xml:space="preserve"> </w:t>
              </w:r>
              <w:proofErr w:type="spellStart"/>
              <w:r w:rsidR="00717E79">
                <w:rPr>
                  <w:rStyle w:val="Hyperlink"/>
                </w:rPr>
                <w:t>till</w:t>
              </w:r>
              <w:proofErr w:type="spellEnd"/>
              <w:r w:rsidR="00717E79">
                <w:rPr>
                  <w:rStyle w:val="Hyperlink"/>
                </w:rPr>
                <w:t xml:space="preserve"> </w:t>
              </w:r>
              <w:proofErr w:type="spellStart"/>
              <w:r w:rsidR="00717E79">
                <w:rPr>
                  <w:rStyle w:val="Hyperlink"/>
                </w:rPr>
                <w:t>havs</w:t>
              </w:r>
              <w:proofErr w:type="spellEnd"/>
              <w:r w:rsidR="00717E79">
                <w:rPr>
                  <w:rStyle w:val="Hyperlink"/>
                </w:rPr>
                <w:t xml:space="preserve"> </w:t>
              </w:r>
              <w:proofErr w:type="spellStart"/>
              <w:r w:rsidR="00717E79">
                <w:rPr>
                  <w:rStyle w:val="Hyperlink"/>
                </w:rPr>
                <w:t>utan</w:t>
              </w:r>
              <w:proofErr w:type="spellEnd"/>
              <w:r w:rsidR="00717E79">
                <w:rPr>
                  <w:rStyle w:val="Hyperlink"/>
                </w:rPr>
                <w:t xml:space="preserve"> </w:t>
              </w:r>
              <w:proofErr w:type="spellStart"/>
              <w:r w:rsidR="00717E79">
                <w:rPr>
                  <w:rStyle w:val="Hyperlink"/>
                </w:rPr>
                <w:t>statsstöd</w:t>
              </w:r>
              <w:proofErr w:type="spellEnd"/>
              <w:r w:rsidR="00717E79">
                <w:rPr>
                  <w:rStyle w:val="Hyperlink"/>
                </w:rPr>
                <w:t xml:space="preserve"> </w:t>
              </w:r>
              <w:proofErr w:type="spellStart"/>
              <w:r w:rsidR="00717E79">
                <w:rPr>
                  <w:rStyle w:val="Hyperlink"/>
                </w:rPr>
                <w:t>för</w:t>
              </w:r>
              <w:proofErr w:type="spellEnd"/>
              <w:r w:rsidR="00717E79">
                <w:rPr>
                  <w:rStyle w:val="Hyperlink"/>
                </w:rPr>
                <w:t xml:space="preserve"> </w:t>
              </w:r>
              <w:proofErr w:type="spellStart"/>
              <w:r w:rsidR="00717E79">
                <w:rPr>
                  <w:rStyle w:val="Hyperlink"/>
                </w:rPr>
                <w:t>kablarna</w:t>
              </w:r>
              <w:proofErr w:type="spellEnd"/>
              <w:r w:rsidR="00717E79">
                <w:rPr>
                  <w:rStyle w:val="Hyperlink"/>
                </w:rPr>
                <w:t>” - DN.se</w:t>
              </w:r>
            </w:hyperlink>
          </w:p>
        </w:tc>
        <w:tc>
          <w:tcPr>
            <w:tcW w:w="1056" w:type="dxa"/>
          </w:tcPr>
          <w:p w14:paraId="32D3C590" w14:textId="0D9FDF06" w:rsidR="00935660" w:rsidRPr="00D214D9" w:rsidRDefault="00935660" w:rsidP="00935660">
            <w:pPr>
              <w:rPr>
                <w:rFonts w:ascii="Times New Roman" w:hAnsi="Times New Roman" w:cs="Times New Roman"/>
              </w:rPr>
            </w:pPr>
          </w:p>
        </w:tc>
      </w:tr>
      <w:tr w:rsidR="00935660" w14:paraId="486CFF8E" w14:textId="77777777" w:rsidTr="00041D0A">
        <w:trPr>
          <w:gridAfter w:val="3"/>
          <w:wAfter w:w="7816" w:type="dxa"/>
        </w:trPr>
        <w:tc>
          <w:tcPr>
            <w:tcW w:w="1097" w:type="dxa"/>
          </w:tcPr>
          <w:p w14:paraId="467CEBF2" w14:textId="27C3A8DD" w:rsidR="00935660" w:rsidRPr="00152C4B" w:rsidRDefault="00717E79" w:rsidP="00935660">
            <w:pPr>
              <w:jc w:val="center"/>
              <w:rPr>
                <w:rFonts w:ascii="Times New Roman" w:hAnsi="Times New Roman" w:cs="Times New Roman"/>
              </w:rPr>
            </w:pPr>
            <w:r>
              <w:rPr>
                <w:rFonts w:ascii="Times New Roman" w:hAnsi="Times New Roman" w:cs="Times New Roman"/>
              </w:rPr>
              <w:t>2024-01-16</w:t>
            </w:r>
          </w:p>
        </w:tc>
        <w:tc>
          <w:tcPr>
            <w:tcW w:w="7120" w:type="dxa"/>
          </w:tcPr>
          <w:p w14:paraId="66E3E07B" w14:textId="77777777" w:rsidR="00717E79" w:rsidRPr="00717E79" w:rsidRDefault="00717E79" w:rsidP="00717E79">
            <w:pPr>
              <w:jc w:val="both"/>
              <w:rPr>
                <w:rFonts w:ascii="Times New Roman" w:hAnsi="Times New Roman" w:cs="Times New Roman"/>
              </w:rPr>
            </w:pPr>
            <w:r w:rsidRPr="006718FA">
              <w:rPr>
                <w:rFonts w:ascii="Times New Roman" w:hAnsi="Times New Roman" w:cs="Times New Roman"/>
                <w:b/>
                <w:bCs/>
              </w:rPr>
              <w:t xml:space="preserve">Švedijos baterijų gamintojai </w:t>
            </w:r>
            <w:proofErr w:type="spellStart"/>
            <w:r w:rsidRPr="006718FA">
              <w:rPr>
                <w:rFonts w:ascii="Times New Roman" w:hAnsi="Times New Roman" w:cs="Times New Roman"/>
                <w:b/>
                <w:bCs/>
              </w:rPr>
              <w:t>Northvolt</w:t>
            </w:r>
            <w:proofErr w:type="spellEnd"/>
            <w:r w:rsidRPr="006718FA">
              <w:rPr>
                <w:rFonts w:ascii="Times New Roman" w:hAnsi="Times New Roman" w:cs="Times New Roman"/>
                <w:b/>
                <w:bCs/>
              </w:rPr>
              <w:t xml:space="preserve"> suteikta 5 mlrd. USD paskola, kad ji galėtų išplėsti produkciją </w:t>
            </w:r>
            <w:proofErr w:type="spellStart"/>
            <w:r w:rsidRPr="006718FA">
              <w:rPr>
                <w:rFonts w:ascii="Times New Roman" w:hAnsi="Times New Roman" w:cs="Times New Roman"/>
                <w:b/>
                <w:bCs/>
              </w:rPr>
              <w:t>Skellefteå</w:t>
            </w:r>
            <w:proofErr w:type="spellEnd"/>
            <w:r w:rsidRPr="006718FA">
              <w:rPr>
                <w:rFonts w:ascii="Times New Roman" w:hAnsi="Times New Roman" w:cs="Times New Roman"/>
                <w:b/>
                <w:bCs/>
              </w:rPr>
              <w:t xml:space="preserve"> mieste (šiaurinė Švedija) esančioje baterijų gamykloje.</w:t>
            </w:r>
            <w:r w:rsidRPr="00717E79">
              <w:rPr>
                <w:rFonts w:ascii="Times New Roman" w:hAnsi="Times New Roman" w:cs="Times New Roman"/>
              </w:rPr>
              <w:t xml:space="preserve"> </w:t>
            </w:r>
            <w:proofErr w:type="spellStart"/>
            <w:r w:rsidRPr="00717E79">
              <w:rPr>
                <w:rFonts w:ascii="Times New Roman" w:hAnsi="Times New Roman" w:cs="Times New Roman"/>
              </w:rPr>
              <w:t>Northvolt</w:t>
            </w:r>
            <w:proofErr w:type="spellEnd"/>
            <w:r w:rsidRPr="00717E79">
              <w:rPr>
                <w:rFonts w:ascii="Times New Roman" w:hAnsi="Times New Roman" w:cs="Times New Roman"/>
              </w:rPr>
              <w:t xml:space="preserve"> skelbia, kad tai yra </w:t>
            </w:r>
            <w:r w:rsidRPr="00717E79">
              <w:rPr>
                <w:rFonts w:ascii="Times New Roman" w:hAnsi="Times New Roman" w:cs="Times New Roman"/>
              </w:rPr>
              <w:lastRenderedPageBreak/>
              <w:t>didžiausia žalioji paskola Europoje, ją suteiks 24 bankai (tarp jų švediški Swedbank ir SEB bei Europos investicijų bankas).</w:t>
            </w:r>
          </w:p>
          <w:p w14:paraId="4174872B" w14:textId="77777777" w:rsidR="00935660" w:rsidRPr="008F0BE1" w:rsidRDefault="00935660" w:rsidP="006D6425">
            <w:pPr>
              <w:jc w:val="both"/>
              <w:rPr>
                <w:rFonts w:ascii="Times New Roman" w:hAnsi="Times New Roman" w:cs="Times New Roman"/>
              </w:rPr>
            </w:pPr>
          </w:p>
        </w:tc>
        <w:tc>
          <w:tcPr>
            <w:tcW w:w="4653" w:type="dxa"/>
          </w:tcPr>
          <w:p w14:paraId="2E7257CF" w14:textId="0E5067DE" w:rsidR="00935660" w:rsidRDefault="00041D0A" w:rsidP="00935660">
            <w:pPr>
              <w:jc w:val="center"/>
            </w:pPr>
            <w:hyperlink r:id="rId17" w:history="1">
              <w:r w:rsidR="00717E79" w:rsidRPr="00F90E60">
                <w:rPr>
                  <w:rStyle w:val="Hyperlink"/>
                </w:rPr>
                <w:t>https://northvolt.com/articles/northvolt-financing-january2024/</w:t>
              </w:r>
            </w:hyperlink>
            <w:r w:rsidR="00717E79">
              <w:t xml:space="preserve"> </w:t>
            </w:r>
          </w:p>
        </w:tc>
        <w:tc>
          <w:tcPr>
            <w:tcW w:w="1056" w:type="dxa"/>
          </w:tcPr>
          <w:p w14:paraId="739F7C35" w14:textId="77777777" w:rsidR="00935660" w:rsidRPr="00D214D9" w:rsidRDefault="00935660" w:rsidP="00935660">
            <w:pPr>
              <w:rPr>
                <w:rFonts w:ascii="Times New Roman" w:hAnsi="Times New Roman" w:cs="Times New Roman"/>
              </w:rPr>
            </w:pPr>
          </w:p>
        </w:tc>
      </w:tr>
      <w:tr w:rsidR="00935660" w14:paraId="33A016F1" w14:textId="77777777" w:rsidTr="00041D0A">
        <w:trPr>
          <w:gridAfter w:val="3"/>
          <w:wAfter w:w="7816" w:type="dxa"/>
        </w:trPr>
        <w:tc>
          <w:tcPr>
            <w:tcW w:w="1097" w:type="dxa"/>
          </w:tcPr>
          <w:p w14:paraId="6AE5AD5D" w14:textId="6E85AAE9" w:rsidR="00935660" w:rsidRPr="00152C4B" w:rsidRDefault="00717E79" w:rsidP="00935660">
            <w:pPr>
              <w:jc w:val="center"/>
              <w:rPr>
                <w:rFonts w:ascii="Times New Roman" w:hAnsi="Times New Roman" w:cs="Times New Roman"/>
              </w:rPr>
            </w:pPr>
            <w:r>
              <w:rPr>
                <w:rFonts w:ascii="Times New Roman" w:hAnsi="Times New Roman" w:cs="Times New Roman"/>
              </w:rPr>
              <w:t>2024-01-25</w:t>
            </w:r>
          </w:p>
        </w:tc>
        <w:tc>
          <w:tcPr>
            <w:tcW w:w="7120" w:type="dxa"/>
          </w:tcPr>
          <w:p w14:paraId="2E42D665" w14:textId="77777777" w:rsidR="00717E79" w:rsidRPr="003417DA" w:rsidRDefault="00717E79" w:rsidP="00717E79">
            <w:pPr>
              <w:rPr>
                <w:rFonts w:ascii="Times New Roman" w:eastAsia="Times New Roman" w:hAnsi="Times New Roman" w:cs="Times New Roman"/>
              </w:rPr>
            </w:pPr>
            <w:r w:rsidRPr="003417DA">
              <w:rPr>
                <w:rFonts w:ascii="Times New Roman" w:eastAsia="Times New Roman" w:hAnsi="Times New Roman" w:cs="Times New Roman"/>
                <w:b/>
                <w:bCs/>
              </w:rPr>
              <w:t>Švedijos energijos tinklai (</w:t>
            </w:r>
            <w:proofErr w:type="spellStart"/>
            <w:r w:rsidRPr="003417DA">
              <w:rPr>
                <w:rFonts w:ascii="Times New Roman" w:eastAsia="Times New Roman" w:hAnsi="Times New Roman" w:cs="Times New Roman"/>
                <w:b/>
                <w:bCs/>
              </w:rPr>
              <w:t>šved</w:t>
            </w:r>
            <w:proofErr w:type="spellEnd"/>
            <w:r w:rsidRPr="003417DA">
              <w:rPr>
                <w:rFonts w:ascii="Times New Roman" w:eastAsia="Times New Roman" w:hAnsi="Times New Roman" w:cs="Times New Roman"/>
                <w:b/>
                <w:bCs/>
              </w:rPr>
              <w:t xml:space="preserve">. </w:t>
            </w:r>
            <w:proofErr w:type="spellStart"/>
            <w:r w:rsidRPr="003417DA">
              <w:rPr>
                <w:rFonts w:ascii="Times New Roman" w:eastAsia="Times New Roman" w:hAnsi="Times New Roman" w:cs="Times New Roman"/>
                <w:b/>
                <w:bCs/>
                <w:i/>
                <w:iCs/>
              </w:rPr>
              <w:t>Svenska</w:t>
            </w:r>
            <w:proofErr w:type="spellEnd"/>
            <w:r w:rsidRPr="003417DA">
              <w:rPr>
                <w:rFonts w:ascii="Times New Roman" w:eastAsia="Times New Roman" w:hAnsi="Times New Roman" w:cs="Times New Roman"/>
                <w:b/>
                <w:bCs/>
                <w:i/>
                <w:iCs/>
              </w:rPr>
              <w:t xml:space="preserve"> </w:t>
            </w:r>
            <w:proofErr w:type="spellStart"/>
            <w:r w:rsidRPr="003417DA">
              <w:rPr>
                <w:rFonts w:ascii="Times New Roman" w:eastAsia="Times New Roman" w:hAnsi="Times New Roman" w:cs="Times New Roman"/>
                <w:b/>
                <w:bCs/>
                <w:i/>
                <w:iCs/>
              </w:rPr>
              <w:t>kraftnätt</w:t>
            </w:r>
            <w:proofErr w:type="spellEnd"/>
            <w:r w:rsidRPr="003417DA">
              <w:rPr>
                <w:rFonts w:ascii="Times New Roman" w:eastAsia="Times New Roman" w:hAnsi="Times New Roman" w:cs="Times New Roman"/>
                <w:b/>
                <w:bCs/>
              </w:rPr>
              <w:t>) atliko prognozių studiją, kurioje konstatuojama, kad Švedijos ateityje laukia nepastovios elektros kainos ir išaugusi elektros kaina šiaurinėje šalies dalyje.</w:t>
            </w:r>
            <w:r w:rsidRPr="003417DA">
              <w:rPr>
                <w:rFonts w:ascii="Times New Roman" w:eastAsia="Times New Roman" w:hAnsi="Times New Roman" w:cs="Times New Roman"/>
              </w:rPr>
              <w:t xml:space="preserve"> Buvo atliktos projekcijos, kurios rodytų, kaip Švedijai pasirinkus vieną ar kitą energetikos vystymo planą augtų šalies apsirūpinimas elektros energija. Šiandien Švedija generuoja 138 </w:t>
            </w:r>
            <w:proofErr w:type="spellStart"/>
            <w:r w:rsidRPr="003417DA">
              <w:rPr>
                <w:rFonts w:ascii="Times New Roman" w:eastAsia="Times New Roman" w:hAnsi="Times New Roman" w:cs="Times New Roman"/>
              </w:rPr>
              <w:t>TWh</w:t>
            </w:r>
            <w:proofErr w:type="spellEnd"/>
            <w:r w:rsidRPr="003417DA">
              <w:rPr>
                <w:rFonts w:ascii="Times New Roman" w:eastAsia="Times New Roman" w:hAnsi="Times New Roman" w:cs="Times New Roman"/>
              </w:rPr>
              <w:t xml:space="preserve"> elektros energijos, o Vyriausybė planuoja, kad Švedijoje 2045 m. bus 300 </w:t>
            </w:r>
            <w:proofErr w:type="spellStart"/>
            <w:r w:rsidRPr="003417DA">
              <w:rPr>
                <w:rFonts w:ascii="Times New Roman" w:eastAsia="Times New Roman" w:hAnsi="Times New Roman" w:cs="Times New Roman"/>
              </w:rPr>
              <w:t>TWh</w:t>
            </w:r>
            <w:proofErr w:type="spellEnd"/>
            <w:r w:rsidRPr="003417DA">
              <w:rPr>
                <w:rFonts w:ascii="Times New Roman" w:eastAsia="Times New Roman" w:hAnsi="Times New Roman" w:cs="Times New Roman"/>
              </w:rPr>
              <w:t xml:space="preserve"> poreikis.  Atsižvelgiant į tai, Švedijos energijos tinklai išskyrė 4 galimus Švedijos energetikos vystymosi scenarijus: </w:t>
            </w:r>
          </w:p>
          <w:p w14:paraId="5527B2F6" w14:textId="77777777" w:rsidR="00717E79" w:rsidRDefault="00717E79" w:rsidP="00717E79">
            <w:pPr>
              <w:pStyle w:val="ListParagraph"/>
              <w:numPr>
                <w:ilvl w:val="0"/>
                <w:numId w:val="4"/>
              </w:numPr>
              <w:spacing w:before="0" w:beforeAutospacing="0" w:after="0" w:afterAutospacing="0"/>
              <w:rPr>
                <w:rFonts w:eastAsia="Times New Roman"/>
              </w:rPr>
            </w:pPr>
            <w:r>
              <w:rPr>
                <w:rFonts w:eastAsia="Times New Roman"/>
                <w:b/>
                <w:bCs/>
              </w:rPr>
              <w:t>Mažos apimties atsinaujinančios energetikos planas.</w:t>
            </w:r>
            <w:r>
              <w:rPr>
                <w:rFonts w:eastAsia="Times New Roman"/>
              </w:rPr>
              <w:t xml:space="preserve"> Tai būtų decentralizuota, mažos apimties produkcija, atskirose regionuose, išlaikant esamą energetikos infrastruktūrą ir pasitelkiant tik atsinaujinančios energetikos mažus projektus, kurie atitiktų vietos poreikį. Pasitelkus šį planą, Švedija pagamintų 210 </w:t>
            </w:r>
            <w:proofErr w:type="spellStart"/>
            <w:r>
              <w:rPr>
                <w:rFonts w:eastAsia="Times New Roman"/>
              </w:rPr>
              <w:t>TWh</w:t>
            </w:r>
            <w:proofErr w:type="spellEnd"/>
            <w:r>
              <w:rPr>
                <w:rFonts w:eastAsia="Times New Roman"/>
              </w:rPr>
              <w:t>.</w:t>
            </w:r>
          </w:p>
          <w:p w14:paraId="6F097223" w14:textId="77777777" w:rsidR="00717E79" w:rsidRDefault="00717E79" w:rsidP="00717E79">
            <w:pPr>
              <w:pStyle w:val="ListParagraph"/>
              <w:numPr>
                <w:ilvl w:val="0"/>
                <w:numId w:val="4"/>
              </w:numPr>
              <w:spacing w:before="0" w:beforeAutospacing="0" w:after="0" w:afterAutospacing="0"/>
              <w:rPr>
                <w:rFonts w:eastAsia="Times New Roman"/>
              </w:rPr>
            </w:pPr>
            <w:r>
              <w:rPr>
                <w:rFonts w:eastAsia="Times New Roman"/>
                <w:b/>
                <w:bCs/>
              </w:rPr>
              <w:t>Mišrios elektros energijos gamybos planas.</w:t>
            </w:r>
            <w:r>
              <w:rPr>
                <w:rFonts w:eastAsia="Times New Roman"/>
              </w:rPr>
              <w:t xml:space="preserve"> Kombinacija tarp atsinaujinančių šaltinių ir branduolinės energetikos, išlaikant dabartinį status quo, </w:t>
            </w:r>
            <w:proofErr w:type="spellStart"/>
            <w:r>
              <w:rPr>
                <w:rFonts w:eastAsia="Times New Roman"/>
              </w:rPr>
              <w:t>t.y</w:t>
            </w:r>
            <w:proofErr w:type="spellEnd"/>
            <w:r>
              <w:rPr>
                <w:rFonts w:eastAsia="Times New Roman"/>
              </w:rPr>
              <w:t xml:space="preserve">. nevystant naujų projektų, o investuojant į elektros tinklų pajėgumus ir pralaidumą. Skaičiuojama, kad tada Švedija iki 2045 m. pasiektų 265 </w:t>
            </w:r>
            <w:proofErr w:type="spellStart"/>
            <w:r>
              <w:rPr>
                <w:rFonts w:eastAsia="Times New Roman"/>
              </w:rPr>
              <w:t>TWh</w:t>
            </w:r>
            <w:proofErr w:type="spellEnd"/>
            <w:r>
              <w:rPr>
                <w:rFonts w:eastAsia="Times New Roman"/>
              </w:rPr>
              <w:t xml:space="preserve"> gamybą.</w:t>
            </w:r>
          </w:p>
          <w:p w14:paraId="586CA2B2" w14:textId="77777777" w:rsidR="00717E79" w:rsidRDefault="00717E79" w:rsidP="00717E79">
            <w:pPr>
              <w:pStyle w:val="ListParagraph"/>
              <w:numPr>
                <w:ilvl w:val="0"/>
                <w:numId w:val="4"/>
              </w:numPr>
              <w:spacing w:before="0" w:beforeAutospacing="0" w:after="0" w:afterAutospacing="0"/>
              <w:rPr>
                <w:rFonts w:eastAsia="Times New Roman"/>
              </w:rPr>
            </w:pPr>
            <w:r>
              <w:rPr>
                <w:rFonts w:eastAsia="Times New Roman"/>
                <w:b/>
                <w:bCs/>
              </w:rPr>
              <w:t>Suplanuotos elektrifikacijos planas.</w:t>
            </w:r>
            <w:r>
              <w:rPr>
                <w:rFonts w:eastAsia="Times New Roman"/>
              </w:rPr>
              <w:t xml:space="preserve"> Planas, kuris būtų įgyvendinamas remiantis į reikšmingą atsinaujinančios energetikos ir branduolinės energetikos plėtrą, mažiau investuojant į elektros tinklų pajėgumus. Skaičiuojama, kad būtų pasiekta 365 </w:t>
            </w:r>
            <w:proofErr w:type="spellStart"/>
            <w:r>
              <w:rPr>
                <w:rFonts w:eastAsia="Times New Roman"/>
              </w:rPr>
              <w:t>TWh</w:t>
            </w:r>
            <w:proofErr w:type="spellEnd"/>
            <w:r>
              <w:rPr>
                <w:rFonts w:eastAsia="Times New Roman"/>
              </w:rPr>
              <w:t xml:space="preserve"> gamyba.</w:t>
            </w:r>
          </w:p>
          <w:p w14:paraId="5AAA7BC7" w14:textId="77777777" w:rsidR="00717E79" w:rsidRDefault="00717E79" w:rsidP="00717E79">
            <w:pPr>
              <w:pStyle w:val="ListParagraph"/>
              <w:numPr>
                <w:ilvl w:val="0"/>
                <w:numId w:val="4"/>
              </w:numPr>
              <w:spacing w:before="0" w:beforeAutospacing="0" w:after="0" w:afterAutospacing="0"/>
              <w:rPr>
                <w:rFonts w:eastAsia="Times New Roman"/>
              </w:rPr>
            </w:pPr>
            <w:r>
              <w:rPr>
                <w:rFonts w:eastAsia="Times New Roman"/>
                <w:b/>
                <w:bCs/>
              </w:rPr>
              <w:t>Elektrifikacijos, paremtos ypač stipria atsinaujinančios energetikos plėtra, planas</w:t>
            </w:r>
            <w:r>
              <w:rPr>
                <w:rFonts w:eastAsia="Times New Roman"/>
              </w:rPr>
              <w:t xml:space="preserve">. Šis planas paremtas teiginiu, kad Švedija vystytų tik vėjo, saulės ir </w:t>
            </w:r>
            <w:proofErr w:type="spellStart"/>
            <w:r>
              <w:rPr>
                <w:rFonts w:eastAsia="Times New Roman"/>
              </w:rPr>
              <w:t>hidro</w:t>
            </w:r>
            <w:proofErr w:type="spellEnd"/>
            <w:r>
              <w:rPr>
                <w:rFonts w:eastAsia="Times New Roman"/>
              </w:rPr>
              <w:t xml:space="preserve"> energetikos projektus, o </w:t>
            </w:r>
            <w:r>
              <w:rPr>
                <w:rFonts w:eastAsia="Times New Roman"/>
              </w:rPr>
              <w:lastRenderedPageBreak/>
              <w:t xml:space="preserve">atsisakytų branduolinės energetikos plėtros. Tuo pačiu būtų reikšmingai investuojama į elektros tinklų pajėgumų didinimą. Tokiu atveju būtų pagaminta irgi 365 </w:t>
            </w:r>
            <w:proofErr w:type="spellStart"/>
            <w:r>
              <w:rPr>
                <w:rFonts w:eastAsia="Times New Roman"/>
              </w:rPr>
              <w:t>TWh</w:t>
            </w:r>
            <w:proofErr w:type="spellEnd"/>
            <w:r>
              <w:rPr>
                <w:rFonts w:eastAsia="Times New Roman"/>
              </w:rPr>
              <w:t xml:space="preserve"> iki 2045 m.</w:t>
            </w:r>
          </w:p>
          <w:p w14:paraId="595B5776" w14:textId="77777777" w:rsidR="00717E79" w:rsidRDefault="00717E79" w:rsidP="00717E79"/>
          <w:p w14:paraId="20371F5D" w14:textId="77777777" w:rsidR="00717E79" w:rsidRDefault="00717E79" w:rsidP="002B77B0">
            <w:pPr>
              <w:jc w:val="both"/>
              <w:rPr>
                <w:rFonts w:ascii="Times New Roman" w:hAnsi="Times New Roman" w:cs="Times New Roman"/>
              </w:rPr>
            </w:pPr>
            <w:r>
              <w:rPr>
                <w:rFonts w:ascii="Times New Roman" w:hAnsi="Times New Roman" w:cs="Times New Roman"/>
              </w:rPr>
              <w:t>Visi scenarijai kurti taip, kad Švedija atitiktų savo klimato politikos įsipareigojimus (iki 2045 m. neturėti CO2 emisijų). Atsižvelgiant į Vyriausybės prognozės dėl elektros poreikio, Švedijos energijos tinklai labiau orientuojasi į 3 ir 4 scenarijus. Kuris scenarijus turėtų būti plėtojamas sprendimo nėra, nes tai Vyriausybės apsisprendimo teisė. Tiesa, atliktus scenarijus tiek Švedijos energijos tinklai, tiek įvairūs ekspertai žiniasklaidoje atkreipia dėmesį į keletą niuansų. Pirma, Švedijai reikia gerinti energijos tinklų pajėgumus ir pralaidumą. Ypač tuo atveju, jeigu bus labiau vystoma atsinaujinanti energetika.  Tačiau tai aktualu visais 4 scenarijais. Antra, jeigu atsinaujinančiai energetikai bus skiriama pirmenybė, Švedija privalo pagalvoti apie stipresnių rezervinių sistemų kūrimą. Esant neprognozuojamiems orams ir remiantis tik į vėjo ar saulės energijos projektus, Švedija rizikuotų turėti mažiau prognozuojamą apsirūpinimą elektros energiją, taip pat elektros kainos būtų nestabilios, mažai prognozuojamos. Trečia, elektros tinklų ir vandenilio tinklų derinimas, bendras planavimas yra būtinas Švedijai kuriant efektyvią energijos sistemą.</w:t>
            </w:r>
          </w:p>
          <w:p w14:paraId="0838ADCB" w14:textId="24EC4866" w:rsidR="00935660" w:rsidRDefault="00935660" w:rsidP="00935660">
            <w:pPr>
              <w:jc w:val="both"/>
              <w:rPr>
                <w:rFonts w:ascii="Times New Roman" w:hAnsi="Times New Roman" w:cs="Times New Roman"/>
              </w:rPr>
            </w:pPr>
          </w:p>
        </w:tc>
        <w:tc>
          <w:tcPr>
            <w:tcW w:w="4653" w:type="dxa"/>
          </w:tcPr>
          <w:p w14:paraId="016FF288" w14:textId="2C28CD97" w:rsidR="00935660" w:rsidRPr="007405A9" w:rsidRDefault="00041D0A" w:rsidP="00935660">
            <w:pPr>
              <w:jc w:val="center"/>
              <w:rPr>
                <w:rFonts w:ascii="Times New Roman" w:hAnsi="Times New Roman" w:cs="Times New Roman"/>
              </w:rPr>
            </w:pPr>
            <w:hyperlink r:id="rId18" w:history="1">
              <w:proofErr w:type="spellStart"/>
              <w:r w:rsidR="00717E79">
                <w:rPr>
                  <w:rStyle w:val="Hyperlink"/>
                </w:rPr>
                <w:t>Svenska</w:t>
              </w:r>
              <w:proofErr w:type="spellEnd"/>
              <w:r w:rsidR="00717E79">
                <w:rPr>
                  <w:rStyle w:val="Hyperlink"/>
                </w:rPr>
                <w:t xml:space="preserve"> </w:t>
              </w:r>
              <w:proofErr w:type="spellStart"/>
              <w:r w:rsidR="00717E79">
                <w:rPr>
                  <w:rStyle w:val="Hyperlink"/>
                </w:rPr>
                <w:t>kraftnät</w:t>
              </w:r>
              <w:proofErr w:type="spellEnd"/>
              <w:r w:rsidR="00717E79">
                <w:rPr>
                  <w:rStyle w:val="Hyperlink"/>
                </w:rPr>
                <w:t xml:space="preserve"> </w:t>
              </w:r>
              <w:proofErr w:type="spellStart"/>
              <w:r w:rsidR="00717E79">
                <w:rPr>
                  <w:rStyle w:val="Hyperlink"/>
                </w:rPr>
                <w:t>skruvar</w:t>
              </w:r>
              <w:proofErr w:type="spellEnd"/>
              <w:r w:rsidR="00717E79">
                <w:rPr>
                  <w:rStyle w:val="Hyperlink"/>
                </w:rPr>
                <w:t xml:space="preserve"> </w:t>
              </w:r>
              <w:proofErr w:type="spellStart"/>
              <w:r w:rsidR="00717E79">
                <w:rPr>
                  <w:rStyle w:val="Hyperlink"/>
                </w:rPr>
                <w:t>upp</w:t>
              </w:r>
              <w:proofErr w:type="spellEnd"/>
              <w:r w:rsidR="00717E79">
                <w:rPr>
                  <w:rStyle w:val="Hyperlink"/>
                </w:rPr>
                <w:t xml:space="preserve"> </w:t>
              </w:r>
              <w:proofErr w:type="spellStart"/>
              <w:r w:rsidR="00717E79">
                <w:rPr>
                  <w:rStyle w:val="Hyperlink"/>
                </w:rPr>
                <w:t>elförbrukningen</w:t>
              </w:r>
              <w:proofErr w:type="spellEnd"/>
              <w:r w:rsidR="00717E79">
                <w:rPr>
                  <w:rStyle w:val="Hyperlink"/>
                </w:rPr>
                <w:t xml:space="preserve"> i </w:t>
              </w:r>
              <w:proofErr w:type="spellStart"/>
              <w:r w:rsidR="00717E79">
                <w:rPr>
                  <w:rStyle w:val="Hyperlink"/>
                </w:rPr>
                <w:t>nya</w:t>
              </w:r>
              <w:proofErr w:type="spellEnd"/>
              <w:r w:rsidR="00717E79">
                <w:rPr>
                  <w:rStyle w:val="Hyperlink"/>
                </w:rPr>
                <w:t xml:space="preserve"> </w:t>
              </w:r>
              <w:proofErr w:type="spellStart"/>
              <w:r w:rsidR="00717E79">
                <w:rPr>
                  <w:rStyle w:val="Hyperlink"/>
                </w:rPr>
                <w:t>analyser</w:t>
              </w:r>
              <w:proofErr w:type="spellEnd"/>
              <w:r w:rsidR="00717E79">
                <w:rPr>
                  <w:rStyle w:val="Hyperlink"/>
                </w:rPr>
                <w:t xml:space="preserve"> | </w:t>
              </w:r>
              <w:proofErr w:type="spellStart"/>
              <w:r w:rsidR="00717E79">
                <w:rPr>
                  <w:rStyle w:val="Hyperlink"/>
                </w:rPr>
                <w:t>Svenska</w:t>
              </w:r>
              <w:proofErr w:type="spellEnd"/>
              <w:r w:rsidR="00717E79">
                <w:rPr>
                  <w:rStyle w:val="Hyperlink"/>
                </w:rPr>
                <w:t xml:space="preserve"> </w:t>
              </w:r>
              <w:proofErr w:type="spellStart"/>
              <w:r w:rsidR="00717E79">
                <w:rPr>
                  <w:rStyle w:val="Hyperlink"/>
                </w:rPr>
                <w:t>kraftnät</w:t>
              </w:r>
              <w:proofErr w:type="spellEnd"/>
              <w:r w:rsidR="00717E79">
                <w:rPr>
                  <w:rStyle w:val="Hyperlink"/>
                </w:rPr>
                <w:t xml:space="preserve"> (svk.se)</w:t>
              </w:r>
            </w:hyperlink>
          </w:p>
        </w:tc>
        <w:tc>
          <w:tcPr>
            <w:tcW w:w="1056" w:type="dxa"/>
          </w:tcPr>
          <w:p w14:paraId="3EB7FE35" w14:textId="77777777" w:rsidR="00935660" w:rsidRPr="00D214D9" w:rsidRDefault="00935660" w:rsidP="00935660">
            <w:pPr>
              <w:rPr>
                <w:rFonts w:ascii="Times New Roman" w:hAnsi="Times New Roman" w:cs="Times New Roman"/>
              </w:rPr>
            </w:pPr>
          </w:p>
        </w:tc>
      </w:tr>
      <w:tr w:rsidR="008D361B" w14:paraId="61650ECE" w14:textId="77777777" w:rsidTr="00041D0A">
        <w:trPr>
          <w:gridAfter w:val="3"/>
          <w:wAfter w:w="7816" w:type="dxa"/>
        </w:trPr>
        <w:tc>
          <w:tcPr>
            <w:tcW w:w="1097" w:type="dxa"/>
          </w:tcPr>
          <w:p w14:paraId="6AA75EB9" w14:textId="4C192BB1" w:rsidR="008D361B" w:rsidRDefault="008D361B" w:rsidP="00935660">
            <w:pPr>
              <w:jc w:val="center"/>
              <w:rPr>
                <w:rFonts w:ascii="Times New Roman" w:hAnsi="Times New Roman" w:cs="Times New Roman"/>
              </w:rPr>
            </w:pPr>
            <w:r>
              <w:rPr>
                <w:rFonts w:ascii="Times New Roman" w:hAnsi="Times New Roman" w:cs="Times New Roman"/>
              </w:rPr>
              <w:t>2024-01-26</w:t>
            </w:r>
          </w:p>
        </w:tc>
        <w:tc>
          <w:tcPr>
            <w:tcW w:w="7120" w:type="dxa"/>
          </w:tcPr>
          <w:p w14:paraId="3941D342" w14:textId="6F42B60D" w:rsidR="002B77B0" w:rsidRPr="002B77B0" w:rsidRDefault="002B77B0" w:rsidP="002B77B0">
            <w:pPr>
              <w:jc w:val="both"/>
              <w:rPr>
                <w:rFonts w:ascii="Times New Roman" w:hAnsi="Times New Roman" w:cs="Times New Roman"/>
              </w:rPr>
            </w:pPr>
            <w:r w:rsidRPr="002B77B0">
              <w:rPr>
                <w:rFonts w:ascii="Times New Roman" w:hAnsi="Times New Roman" w:cs="Times New Roman"/>
                <w:b/>
                <w:bCs/>
              </w:rPr>
              <w:t>Stokholmo jūrų uostas išplatino pranešimą apie planuojamus projektus, kuriems Švedijos Vyriausybė prašys finansavimo iš ES.</w:t>
            </w:r>
            <w:r w:rsidRPr="002B77B0">
              <w:rPr>
                <w:rFonts w:ascii="Times New Roman" w:hAnsi="Times New Roman" w:cs="Times New Roman"/>
              </w:rPr>
              <w:t xml:space="preserve"> Projektai orientuoti į žaliąsias technologijas, o pagrindinis tikslas yra vystyti elektros infrastruktūras. Projektai turi regioninę ambiciją, norima išplėsti energijos jungtis per visą Baltijos jūros regioną. Jeigu projektai gaus ES finansavimą, jie bus vykdomi 2024-2025 m. Iš viso numatyti 3 projektai, viename iš jų (</w:t>
            </w:r>
            <w:r w:rsidRPr="002B77B0">
              <w:rPr>
                <w:rFonts w:ascii="Times New Roman" w:hAnsi="Times New Roman" w:cs="Times New Roman"/>
                <w:i/>
                <w:iCs/>
              </w:rPr>
              <w:t xml:space="preserve">Baltic </w:t>
            </w:r>
            <w:proofErr w:type="spellStart"/>
            <w:r w:rsidRPr="002B77B0">
              <w:rPr>
                <w:rFonts w:ascii="Times New Roman" w:hAnsi="Times New Roman" w:cs="Times New Roman"/>
                <w:i/>
                <w:iCs/>
              </w:rPr>
              <w:t>Ports</w:t>
            </w:r>
            <w:proofErr w:type="spellEnd"/>
            <w:r w:rsidRPr="002B77B0">
              <w:rPr>
                <w:rFonts w:ascii="Times New Roman" w:hAnsi="Times New Roman" w:cs="Times New Roman"/>
                <w:i/>
                <w:iCs/>
              </w:rPr>
              <w:t xml:space="preserve"> </w:t>
            </w:r>
            <w:proofErr w:type="spellStart"/>
            <w:r w:rsidRPr="002B77B0">
              <w:rPr>
                <w:rFonts w:ascii="Times New Roman" w:hAnsi="Times New Roman" w:cs="Times New Roman"/>
                <w:i/>
                <w:iCs/>
              </w:rPr>
              <w:t>for</w:t>
            </w:r>
            <w:proofErr w:type="spellEnd"/>
            <w:r w:rsidRPr="002B77B0">
              <w:rPr>
                <w:rFonts w:ascii="Times New Roman" w:hAnsi="Times New Roman" w:cs="Times New Roman"/>
                <w:i/>
                <w:iCs/>
              </w:rPr>
              <w:t xml:space="preserve"> </w:t>
            </w:r>
            <w:proofErr w:type="spellStart"/>
            <w:r w:rsidRPr="002B77B0">
              <w:rPr>
                <w:rFonts w:ascii="Times New Roman" w:hAnsi="Times New Roman" w:cs="Times New Roman"/>
                <w:i/>
                <w:iCs/>
              </w:rPr>
              <w:t>Climate</w:t>
            </w:r>
            <w:proofErr w:type="spellEnd"/>
            <w:r w:rsidRPr="002B77B0">
              <w:rPr>
                <w:rFonts w:ascii="Times New Roman" w:hAnsi="Times New Roman" w:cs="Times New Roman"/>
                <w:i/>
                <w:iCs/>
              </w:rPr>
              <w:t xml:space="preserve"> – </w:t>
            </w:r>
            <w:proofErr w:type="spellStart"/>
            <w:r w:rsidRPr="002B77B0">
              <w:rPr>
                <w:rFonts w:ascii="Times New Roman" w:hAnsi="Times New Roman" w:cs="Times New Roman"/>
                <w:i/>
                <w:iCs/>
              </w:rPr>
              <w:t>onshore</w:t>
            </w:r>
            <w:proofErr w:type="spellEnd"/>
            <w:r w:rsidRPr="002B77B0">
              <w:rPr>
                <w:rFonts w:ascii="Times New Roman" w:hAnsi="Times New Roman" w:cs="Times New Roman"/>
                <w:i/>
                <w:iCs/>
              </w:rPr>
              <w:t xml:space="preserve"> </w:t>
            </w:r>
            <w:proofErr w:type="spellStart"/>
            <w:r w:rsidRPr="002B77B0">
              <w:rPr>
                <w:rFonts w:ascii="Times New Roman" w:hAnsi="Times New Roman" w:cs="Times New Roman"/>
                <w:i/>
                <w:iCs/>
              </w:rPr>
              <w:t>power</w:t>
            </w:r>
            <w:proofErr w:type="spellEnd"/>
            <w:r w:rsidRPr="002B77B0">
              <w:rPr>
                <w:rFonts w:ascii="Times New Roman" w:hAnsi="Times New Roman" w:cs="Times New Roman"/>
                <w:i/>
                <w:iCs/>
              </w:rPr>
              <w:t xml:space="preserve"> </w:t>
            </w:r>
            <w:proofErr w:type="spellStart"/>
            <w:r w:rsidRPr="002B77B0">
              <w:rPr>
                <w:rFonts w:ascii="Times New Roman" w:hAnsi="Times New Roman" w:cs="Times New Roman"/>
                <w:i/>
                <w:iCs/>
              </w:rPr>
              <w:t>supply</w:t>
            </w:r>
            <w:proofErr w:type="spellEnd"/>
            <w:r w:rsidRPr="002B77B0">
              <w:rPr>
                <w:rFonts w:ascii="Times New Roman" w:hAnsi="Times New Roman" w:cs="Times New Roman"/>
                <w:i/>
                <w:iCs/>
              </w:rPr>
              <w:t xml:space="preserve"> </w:t>
            </w:r>
            <w:proofErr w:type="spellStart"/>
            <w:r w:rsidRPr="002B77B0">
              <w:rPr>
                <w:rFonts w:ascii="Times New Roman" w:hAnsi="Times New Roman" w:cs="Times New Roman"/>
                <w:i/>
                <w:iCs/>
              </w:rPr>
              <w:t>pre-investment</w:t>
            </w:r>
            <w:proofErr w:type="spellEnd"/>
            <w:r w:rsidRPr="002B77B0">
              <w:rPr>
                <w:rFonts w:ascii="Times New Roman" w:hAnsi="Times New Roman" w:cs="Times New Roman"/>
                <w:i/>
                <w:iCs/>
              </w:rPr>
              <w:t xml:space="preserve"> </w:t>
            </w:r>
            <w:proofErr w:type="spellStart"/>
            <w:r w:rsidRPr="002B77B0">
              <w:rPr>
                <w:rFonts w:ascii="Times New Roman" w:hAnsi="Times New Roman" w:cs="Times New Roman"/>
                <w:i/>
                <w:iCs/>
              </w:rPr>
              <w:t>phase</w:t>
            </w:r>
            <w:proofErr w:type="spellEnd"/>
            <w:r w:rsidRPr="002B77B0">
              <w:rPr>
                <w:rFonts w:ascii="Times New Roman" w:hAnsi="Times New Roman" w:cs="Times New Roman"/>
              </w:rPr>
              <w:t xml:space="preserve">), numatytas bendradarbiavimas tarp Stokholmo, Klaipėdos, Rygos, Talino, Hamburgo, </w:t>
            </w:r>
            <w:proofErr w:type="spellStart"/>
            <w:r w:rsidRPr="002B77B0">
              <w:rPr>
                <w:rFonts w:ascii="Times New Roman" w:hAnsi="Times New Roman" w:cs="Times New Roman"/>
              </w:rPr>
              <w:t>Gdynios</w:t>
            </w:r>
            <w:proofErr w:type="spellEnd"/>
            <w:r w:rsidRPr="002B77B0">
              <w:rPr>
                <w:rFonts w:ascii="Times New Roman" w:hAnsi="Times New Roman" w:cs="Times New Roman"/>
              </w:rPr>
              <w:t xml:space="preserve"> ir Gdansko uostų. Dar </w:t>
            </w:r>
            <w:r w:rsidRPr="002B77B0">
              <w:rPr>
                <w:rFonts w:ascii="Times New Roman" w:hAnsi="Times New Roman" w:cs="Times New Roman"/>
              </w:rPr>
              <w:lastRenderedPageBreak/>
              <w:t>vienas projektas būtų skirtas išimtinai susiekimo tarp Stokholmo ir Rygos stiprinimui.</w:t>
            </w:r>
          </w:p>
          <w:p w14:paraId="31E9C124" w14:textId="2D5259A7" w:rsidR="002B77B0" w:rsidRPr="002B77B0" w:rsidRDefault="002B77B0" w:rsidP="002B77B0">
            <w:pPr>
              <w:tabs>
                <w:tab w:val="left" w:pos="1710"/>
              </w:tabs>
              <w:rPr>
                <w:rFonts w:ascii="Times New Roman" w:eastAsia="Times New Roman" w:hAnsi="Times New Roman" w:cs="Times New Roman"/>
              </w:rPr>
            </w:pPr>
          </w:p>
        </w:tc>
        <w:tc>
          <w:tcPr>
            <w:tcW w:w="4653" w:type="dxa"/>
          </w:tcPr>
          <w:p w14:paraId="6FA34510" w14:textId="2F61378E" w:rsidR="008D361B" w:rsidRDefault="00041D0A" w:rsidP="00935660">
            <w:pPr>
              <w:jc w:val="center"/>
            </w:pPr>
            <w:hyperlink r:id="rId19" w:history="1">
              <w:r w:rsidR="008D361B" w:rsidRPr="00774D33">
                <w:rPr>
                  <w:rStyle w:val="Hyperlink"/>
                </w:rPr>
                <w:t>https://www.portsofstockholm.com/about-us/news/2024/government-gives-green-light-for-three-ports-of-stockholm-eu-grant-applications/</w:t>
              </w:r>
            </w:hyperlink>
            <w:r w:rsidR="008D361B">
              <w:t xml:space="preserve"> </w:t>
            </w:r>
          </w:p>
        </w:tc>
        <w:tc>
          <w:tcPr>
            <w:tcW w:w="1056" w:type="dxa"/>
          </w:tcPr>
          <w:p w14:paraId="659D5F7C" w14:textId="77777777" w:rsidR="008D361B" w:rsidRPr="00D214D9" w:rsidRDefault="008D361B" w:rsidP="00935660">
            <w:pPr>
              <w:rPr>
                <w:rFonts w:ascii="Times New Roman" w:hAnsi="Times New Roman" w:cs="Times New Roman"/>
              </w:rPr>
            </w:pPr>
          </w:p>
        </w:tc>
      </w:tr>
      <w:tr w:rsidR="00935660" w14:paraId="070E1486" w14:textId="77777777" w:rsidTr="00041D0A">
        <w:trPr>
          <w:gridAfter w:val="3"/>
          <w:wAfter w:w="7816" w:type="dxa"/>
        </w:trPr>
        <w:tc>
          <w:tcPr>
            <w:tcW w:w="13926" w:type="dxa"/>
            <w:gridSpan w:val="4"/>
          </w:tcPr>
          <w:p w14:paraId="4FCA99B6" w14:textId="77777777" w:rsidR="00935660" w:rsidRPr="00927653" w:rsidRDefault="00935660" w:rsidP="00935660">
            <w:pPr>
              <w:rPr>
                <w:rFonts w:ascii="Times New Roman" w:hAnsi="Times New Roman" w:cs="Times New Roman"/>
              </w:rPr>
            </w:pPr>
          </w:p>
          <w:p w14:paraId="7A797168" w14:textId="517D5081" w:rsidR="00935660" w:rsidRDefault="00935660" w:rsidP="00935660">
            <w:pPr>
              <w:rPr>
                <w:rFonts w:ascii="Times New Roman" w:hAnsi="Times New Roman" w:cs="Times New Roman"/>
              </w:rPr>
            </w:pPr>
            <w:r w:rsidRPr="0058576B">
              <w:rPr>
                <w:rFonts w:ascii="Times New Roman" w:hAnsi="Times New Roman" w:cs="Times New Roman"/>
              </w:rPr>
              <w:t xml:space="preserve">Bendra </w:t>
            </w:r>
            <w:r w:rsidR="006D6425">
              <w:rPr>
                <w:rFonts w:ascii="Times New Roman" w:hAnsi="Times New Roman" w:cs="Times New Roman"/>
              </w:rPr>
              <w:t>Švedijos</w:t>
            </w:r>
            <w:r w:rsidRPr="0058576B">
              <w:rPr>
                <w:rFonts w:ascii="Times New Roman" w:hAnsi="Times New Roman" w:cs="Times New Roman"/>
              </w:rPr>
              <w:t xml:space="preserve"> ekonominė informacija</w:t>
            </w:r>
          </w:p>
          <w:p w14:paraId="2D61412D" w14:textId="41D1D7DF" w:rsidR="00935660" w:rsidRPr="0058576B" w:rsidRDefault="00935660" w:rsidP="00935660">
            <w:pPr>
              <w:rPr>
                <w:rFonts w:ascii="Times New Roman" w:hAnsi="Times New Roman" w:cs="Times New Roman"/>
              </w:rPr>
            </w:pPr>
          </w:p>
        </w:tc>
      </w:tr>
      <w:tr w:rsidR="00935660" w14:paraId="3411F504" w14:textId="77777777" w:rsidTr="00041D0A">
        <w:trPr>
          <w:gridAfter w:val="3"/>
          <w:wAfter w:w="7816" w:type="dxa"/>
        </w:trPr>
        <w:tc>
          <w:tcPr>
            <w:tcW w:w="1097" w:type="dxa"/>
          </w:tcPr>
          <w:p w14:paraId="60D34EB2" w14:textId="51F1E310" w:rsidR="00935660" w:rsidRDefault="00152C4B" w:rsidP="00935660">
            <w:pPr>
              <w:jc w:val="center"/>
              <w:rPr>
                <w:rFonts w:ascii="Times New Roman" w:hAnsi="Times New Roman" w:cs="Times New Roman"/>
                <w:lang w:val="sv-SE"/>
              </w:rPr>
            </w:pPr>
            <w:r>
              <w:rPr>
                <w:rFonts w:ascii="Times New Roman" w:hAnsi="Times New Roman" w:cs="Times New Roman"/>
                <w:lang w:val="en-US"/>
              </w:rPr>
              <w:t>2024-01-02</w:t>
            </w:r>
          </w:p>
        </w:tc>
        <w:tc>
          <w:tcPr>
            <w:tcW w:w="7120" w:type="dxa"/>
          </w:tcPr>
          <w:p w14:paraId="257EEF50" w14:textId="3CEBD4AB" w:rsidR="00935660" w:rsidRPr="000A74BB" w:rsidRDefault="00152C4B" w:rsidP="00935660">
            <w:pPr>
              <w:jc w:val="both"/>
              <w:rPr>
                <w:rFonts w:ascii="Times New Roman" w:hAnsi="Times New Roman" w:cs="Times New Roman"/>
              </w:rPr>
            </w:pPr>
            <w:r w:rsidRPr="000A74BB">
              <w:rPr>
                <w:rStyle w:val="Strong"/>
                <w:rFonts w:ascii="Times New Roman" w:hAnsi="Times New Roman" w:cs="Times New Roman"/>
                <w:color w:val="000000" w:themeColor="text1"/>
              </w:rPr>
              <w:t xml:space="preserve">Portalas </w:t>
            </w:r>
            <w:proofErr w:type="spellStart"/>
            <w:r w:rsidRPr="000A74BB">
              <w:rPr>
                <w:rStyle w:val="Strong"/>
                <w:rFonts w:ascii="Times New Roman" w:hAnsi="Times New Roman" w:cs="Times New Roman"/>
                <w:i/>
                <w:iCs/>
                <w:color w:val="000000" w:themeColor="text1"/>
              </w:rPr>
              <w:t>Svenska</w:t>
            </w:r>
            <w:proofErr w:type="spellEnd"/>
            <w:r w:rsidRPr="000A74BB">
              <w:rPr>
                <w:rStyle w:val="Strong"/>
                <w:rFonts w:ascii="Times New Roman" w:hAnsi="Times New Roman" w:cs="Times New Roman"/>
                <w:i/>
                <w:iCs/>
                <w:color w:val="000000" w:themeColor="text1"/>
              </w:rPr>
              <w:t xml:space="preserve"> </w:t>
            </w:r>
            <w:proofErr w:type="spellStart"/>
            <w:r w:rsidRPr="000A74BB">
              <w:rPr>
                <w:rStyle w:val="Strong"/>
                <w:rFonts w:ascii="Times New Roman" w:hAnsi="Times New Roman" w:cs="Times New Roman"/>
                <w:i/>
                <w:iCs/>
                <w:color w:val="000000" w:themeColor="text1"/>
              </w:rPr>
              <w:t>Dagbladet</w:t>
            </w:r>
            <w:proofErr w:type="spellEnd"/>
            <w:r w:rsidRPr="000A74BB">
              <w:rPr>
                <w:rStyle w:val="Strong"/>
                <w:rFonts w:ascii="Times New Roman" w:hAnsi="Times New Roman" w:cs="Times New Roman"/>
                <w:color w:val="000000" w:themeColor="text1"/>
              </w:rPr>
              <w:t xml:space="preserve"> praneša, kad statistiškai 2023 m. Švedijai buvo rekordiniai pagal bankrotų skaičių.</w:t>
            </w:r>
            <w:r w:rsidRPr="000A74BB">
              <w:rPr>
                <w:rStyle w:val="Strong"/>
                <w:rFonts w:ascii="Times New Roman" w:hAnsi="Times New Roman" w:cs="Times New Roman"/>
                <w:b w:val="0"/>
                <w:bCs w:val="0"/>
                <w:color w:val="000000" w:themeColor="text1"/>
              </w:rPr>
              <w:t xml:space="preserve"> Praėjusiais metais fiksuotas didžiausias bankrotų skaičius nuo 1990-ųjų finansų krizės. Daugiausiai bankrotų patiria grožio ir sveikatingumo paslaugų tiekėjai, šiame sektoriuje per metus bankrotų išaugo net 46%. Statybų pramonėje bankrotų atvejų padaugėjo 36%, o mažmeninėje prekyboje 27 %. Teigiama, kad bankrotų tendencija persiduoda ir į kitus sektorius, pagrinde į kultūros ir renginių organizavimo sektorių.</w:t>
            </w:r>
          </w:p>
        </w:tc>
        <w:tc>
          <w:tcPr>
            <w:tcW w:w="4653" w:type="dxa"/>
          </w:tcPr>
          <w:p w14:paraId="11AF9214" w14:textId="2C7AC7C2" w:rsidR="00935660" w:rsidRPr="007F4633" w:rsidRDefault="00041D0A" w:rsidP="00935660">
            <w:pPr>
              <w:jc w:val="center"/>
              <w:rPr>
                <w:rFonts w:ascii="Times New Roman" w:hAnsi="Times New Roman" w:cs="Times New Roman"/>
              </w:rPr>
            </w:pPr>
            <w:hyperlink r:id="rId20" w:history="1">
              <w:proofErr w:type="spellStart"/>
              <w:r w:rsidR="00152C4B">
                <w:rPr>
                  <w:rStyle w:val="Hyperlink"/>
                </w:rPr>
                <w:t>Högsta</w:t>
              </w:r>
              <w:proofErr w:type="spellEnd"/>
              <w:r w:rsidR="00152C4B">
                <w:rPr>
                  <w:rStyle w:val="Hyperlink"/>
                </w:rPr>
                <w:t xml:space="preserve"> </w:t>
              </w:r>
              <w:proofErr w:type="spellStart"/>
              <w:r w:rsidR="00152C4B">
                <w:rPr>
                  <w:rStyle w:val="Hyperlink"/>
                </w:rPr>
                <w:t>antalet</w:t>
              </w:r>
              <w:proofErr w:type="spellEnd"/>
              <w:r w:rsidR="00152C4B">
                <w:rPr>
                  <w:rStyle w:val="Hyperlink"/>
                </w:rPr>
                <w:t xml:space="preserve"> </w:t>
              </w:r>
              <w:proofErr w:type="spellStart"/>
              <w:r w:rsidR="00152C4B">
                <w:rPr>
                  <w:rStyle w:val="Hyperlink"/>
                </w:rPr>
                <w:t>konkurser</w:t>
              </w:r>
              <w:proofErr w:type="spellEnd"/>
              <w:r w:rsidR="00152C4B">
                <w:rPr>
                  <w:rStyle w:val="Hyperlink"/>
                </w:rPr>
                <w:t xml:space="preserve"> </w:t>
              </w:r>
              <w:proofErr w:type="spellStart"/>
              <w:r w:rsidR="00152C4B">
                <w:rPr>
                  <w:rStyle w:val="Hyperlink"/>
                </w:rPr>
                <w:t>sedan</w:t>
              </w:r>
              <w:proofErr w:type="spellEnd"/>
              <w:r w:rsidR="00152C4B">
                <w:rPr>
                  <w:rStyle w:val="Hyperlink"/>
                </w:rPr>
                <w:t xml:space="preserve"> 90-talet | </w:t>
              </w:r>
              <w:proofErr w:type="spellStart"/>
              <w:r w:rsidR="00152C4B">
                <w:rPr>
                  <w:rStyle w:val="Hyperlink"/>
                </w:rPr>
                <w:t>SvD</w:t>
              </w:r>
              <w:proofErr w:type="spellEnd"/>
            </w:hyperlink>
          </w:p>
        </w:tc>
        <w:tc>
          <w:tcPr>
            <w:tcW w:w="1056" w:type="dxa"/>
          </w:tcPr>
          <w:p w14:paraId="1783BDB8" w14:textId="77777777" w:rsidR="00935660" w:rsidRPr="00927653" w:rsidRDefault="00935660" w:rsidP="00935660">
            <w:pPr>
              <w:rPr>
                <w:rFonts w:ascii="Times New Roman" w:hAnsi="Times New Roman" w:cs="Times New Roman"/>
              </w:rPr>
            </w:pPr>
          </w:p>
        </w:tc>
      </w:tr>
      <w:tr w:rsidR="00935660" w14:paraId="286E7A96" w14:textId="77777777" w:rsidTr="00041D0A">
        <w:trPr>
          <w:gridAfter w:val="3"/>
          <w:wAfter w:w="7816" w:type="dxa"/>
        </w:trPr>
        <w:tc>
          <w:tcPr>
            <w:tcW w:w="1097" w:type="dxa"/>
          </w:tcPr>
          <w:p w14:paraId="44F3618B" w14:textId="09C2AE8D" w:rsidR="00935660" w:rsidRPr="002B090C" w:rsidRDefault="006D6425" w:rsidP="00935660">
            <w:pPr>
              <w:jc w:val="center"/>
              <w:rPr>
                <w:rFonts w:ascii="Times New Roman" w:hAnsi="Times New Roman" w:cs="Times New Roman"/>
              </w:rPr>
            </w:pPr>
            <w:r>
              <w:rPr>
                <w:rFonts w:ascii="Times New Roman" w:hAnsi="Times New Roman" w:cs="Times New Roman"/>
                <w:lang w:val="sv-SE"/>
              </w:rPr>
              <w:t>2024-01-02</w:t>
            </w:r>
          </w:p>
        </w:tc>
        <w:tc>
          <w:tcPr>
            <w:tcW w:w="7120" w:type="dxa"/>
          </w:tcPr>
          <w:p w14:paraId="47F1F394" w14:textId="73030D3B" w:rsidR="00935660" w:rsidRPr="002B090C" w:rsidRDefault="006D6425" w:rsidP="00935660">
            <w:pPr>
              <w:pStyle w:val="NormalWeb"/>
              <w:spacing w:line="293" w:lineRule="atLeast"/>
              <w:jc w:val="both"/>
              <w:rPr>
                <w:rStyle w:val="Strong"/>
                <w:b w:val="0"/>
                <w:bCs w:val="0"/>
                <w:color w:val="000000" w:themeColor="text1"/>
              </w:rPr>
            </w:pPr>
            <w:r w:rsidRPr="00A5694D">
              <w:rPr>
                <w:rStyle w:val="Strong"/>
                <w:b w:val="0"/>
                <w:bCs w:val="0"/>
                <w:color w:val="000000" w:themeColor="text1"/>
              </w:rPr>
              <w:t>Būsto rinkos kainos gruodį toliau mažėjo, vidutiniškai</w:t>
            </w:r>
            <w:r>
              <w:rPr>
                <w:rStyle w:val="Strong"/>
                <w:b w:val="0"/>
                <w:bCs w:val="0"/>
                <w:color w:val="000000" w:themeColor="text1"/>
              </w:rPr>
              <w:t xml:space="preserve"> 1,5 %. </w:t>
            </w:r>
            <w:r w:rsidRPr="00A5694D">
              <w:rPr>
                <w:rStyle w:val="Strong"/>
                <w:b w:val="0"/>
                <w:bCs w:val="0"/>
                <w:color w:val="000000" w:themeColor="text1"/>
              </w:rPr>
              <w:t>Atmetus infliaciją, tokios žemos butų realios kainos nebuvo nuo 2015 m., o namų – 2016 m.</w:t>
            </w:r>
          </w:p>
        </w:tc>
        <w:tc>
          <w:tcPr>
            <w:tcW w:w="4653" w:type="dxa"/>
          </w:tcPr>
          <w:p w14:paraId="281A45B1" w14:textId="620D64D0" w:rsidR="00935660" w:rsidRPr="002B090C" w:rsidRDefault="00041D0A" w:rsidP="00935660">
            <w:pPr>
              <w:jc w:val="center"/>
              <w:rPr>
                <w:rFonts w:ascii="Times New Roman" w:hAnsi="Times New Roman" w:cs="Times New Roman"/>
              </w:rPr>
            </w:pPr>
            <w:hyperlink r:id="rId21" w:history="1">
              <w:r w:rsidR="00152C4B">
                <w:rPr>
                  <w:rStyle w:val="Hyperlink"/>
                </w:rPr>
                <w:t xml:space="preserve">240102_SBAB_Pressmeddelande HPI </w:t>
              </w:r>
              <w:proofErr w:type="spellStart"/>
              <w:r w:rsidR="00152C4B">
                <w:rPr>
                  <w:rStyle w:val="Hyperlink"/>
                </w:rPr>
                <w:t>december</w:t>
              </w:r>
              <w:proofErr w:type="spellEnd"/>
              <w:r w:rsidR="00152C4B">
                <w:rPr>
                  <w:rStyle w:val="Hyperlink"/>
                </w:rPr>
                <w:t xml:space="preserve"> 2023 </w:t>
              </w:r>
              <w:proofErr w:type="spellStart"/>
              <w:r w:rsidR="00152C4B">
                <w:rPr>
                  <w:rStyle w:val="Hyperlink"/>
                </w:rPr>
                <w:t>inkl</w:t>
              </w:r>
              <w:proofErr w:type="spellEnd"/>
              <w:r w:rsidR="00152C4B">
                <w:rPr>
                  <w:rStyle w:val="Hyperlink"/>
                </w:rPr>
                <w:t xml:space="preserve">. </w:t>
              </w:r>
              <w:proofErr w:type="spellStart"/>
              <w:r w:rsidR="00152C4B">
                <w:rPr>
                  <w:rStyle w:val="Hyperlink"/>
                </w:rPr>
                <w:t>tabeller</w:t>
              </w:r>
              <w:proofErr w:type="spellEnd"/>
              <w:r w:rsidR="00152C4B">
                <w:rPr>
                  <w:rStyle w:val="Hyperlink"/>
                </w:rPr>
                <w:t xml:space="preserve"> </w:t>
              </w:r>
              <w:proofErr w:type="spellStart"/>
              <w:r w:rsidR="00152C4B">
                <w:rPr>
                  <w:rStyle w:val="Hyperlink"/>
                </w:rPr>
                <w:t>och</w:t>
              </w:r>
              <w:proofErr w:type="spellEnd"/>
              <w:r w:rsidR="00152C4B">
                <w:rPr>
                  <w:rStyle w:val="Hyperlink"/>
                </w:rPr>
                <w:t xml:space="preserve"> diagram.pdf</w:t>
              </w:r>
            </w:hyperlink>
          </w:p>
        </w:tc>
        <w:tc>
          <w:tcPr>
            <w:tcW w:w="1056" w:type="dxa"/>
          </w:tcPr>
          <w:p w14:paraId="12F05160" w14:textId="77777777" w:rsidR="00935660" w:rsidRPr="00927653" w:rsidRDefault="00935660" w:rsidP="00935660">
            <w:pPr>
              <w:rPr>
                <w:rFonts w:ascii="Times New Roman" w:hAnsi="Times New Roman" w:cs="Times New Roman"/>
              </w:rPr>
            </w:pPr>
          </w:p>
        </w:tc>
      </w:tr>
      <w:tr w:rsidR="00935660" w14:paraId="2165FE51" w14:textId="77777777" w:rsidTr="00041D0A">
        <w:trPr>
          <w:gridAfter w:val="3"/>
          <w:wAfter w:w="7816" w:type="dxa"/>
        </w:trPr>
        <w:tc>
          <w:tcPr>
            <w:tcW w:w="1097" w:type="dxa"/>
          </w:tcPr>
          <w:p w14:paraId="25D9C30D" w14:textId="1AD3E18E" w:rsidR="00935660" w:rsidRPr="002B090C" w:rsidRDefault="00152C4B" w:rsidP="00935660">
            <w:pPr>
              <w:jc w:val="center"/>
              <w:rPr>
                <w:rFonts w:ascii="Times New Roman" w:hAnsi="Times New Roman" w:cs="Times New Roman"/>
              </w:rPr>
            </w:pPr>
            <w:r>
              <w:rPr>
                <w:rFonts w:ascii="Times New Roman" w:hAnsi="Times New Roman" w:cs="Times New Roman"/>
              </w:rPr>
              <w:t>2024-01-02</w:t>
            </w:r>
          </w:p>
        </w:tc>
        <w:tc>
          <w:tcPr>
            <w:tcW w:w="7120" w:type="dxa"/>
          </w:tcPr>
          <w:p w14:paraId="2E1C806C" w14:textId="59C7EA1D" w:rsidR="00935660" w:rsidRPr="002B090C" w:rsidRDefault="00152C4B" w:rsidP="00935660">
            <w:pPr>
              <w:pStyle w:val="NormalWeb"/>
              <w:spacing w:line="293" w:lineRule="atLeast"/>
              <w:jc w:val="both"/>
              <w:rPr>
                <w:rStyle w:val="Strong"/>
                <w:b w:val="0"/>
                <w:bCs w:val="0"/>
                <w:color w:val="000000" w:themeColor="text1"/>
              </w:rPr>
            </w:pPr>
            <w:r>
              <w:rPr>
                <w:rStyle w:val="Strong"/>
                <w:b w:val="0"/>
                <w:bCs w:val="0"/>
                <w:color w:val="000000" w:themeColor="text1"/>
              </w:rPr>
              <w:t>N</w:t>
            </w:r>
            <w:r>
              <w:rPr>
                <w:rStyle w:val="Strong"/>
                <w:color w:val="000000" w:themeColor="text1"/>
              </w:rPr>
              <w:t>uo sausio 1 d. įsigaliojo mažesni mokesčiai už benziną ir dyzelį.</w:t>
            </w:r>
          </w:p>
        </w:tc>
        <w:tc>
          <w:tcPr>
            <w:tcW w:w="4653" w:type="dxa"/>
          </w:tcPr>
          <w:p w14:paraId="167779A4" w14:textId="6E8F08CD" w:rsidR="00935660" w:rsidRPr="002B090C" w:rsidRDefault="00041D0A" w:rsidP="00935660">
            <w:pPr>
              <w:jc w:val="center"/>
              <w:rPr>
                <w:rFonts w:ascii="Times New Roman" w:hAnsi="Times New Roman" w:cs="Times New Roman"/>
              </w:rPr>
            </w:pPr>
            <w:hyperlink r:id="rId22" w:history="1">
              <w:r w:rsidR="00152C4B">
                <w:rPr>
                  <w:rStyle w:val="Hyperlink"/>
                </w:rPr>
                <w:t>viktigare-lagar-och-forordningar-infor-arsskiftet-2023-2024.pdf (regeringen.se)</w:t>
              </w:r>
            </w:hyperlink>
          </w:p>
        </w:tc>
        <w:tc>
          <w:tcPr>
            <w:tcW w:w="1056" w:type="dxa"/>
          </w:tcPr>
          <w:p w14:paraId="00824A38" w14:textId="77777777" w:rsidR="00935660" w:rsidRPr="00927653" w:rsidRDefault="00935660" w:rsidP="00935660">
            <w:pPr>
              <w:rPr>
                <w:rFonts w:ascii="Times New Roman" w:hAnsi="Times New Roman" w:cs="Times New Roman"/>
              </w:rPr>
            </w:pPr>
          </w:p>
        </w:tc>
      </w:tr>
      <w:tr w:rsidR="00935660" w14:paraId="488A695F" w14:textId="77777777" w:rsidTr="00041D0A">
        <w:trPr>
          <w:gridAfter w:val="3"/>
          <w:wAfter w:w="7816" w:type="dxa"/>
        </w:trPr>
        <w:tc>
          <w:tcPr>
            <w:tcW w:w="1097" w:type="dxa"/>
          </w:tcPr>
          <w:p w14:paraId="46B314B0" w14:textId="495B5457" w:rsidR="00935660" w:rsidRPr="002F17C3" w:rsidRDefault="001A6DB6" w:rsidP="00935660">
            <w:pPr>
              <w:jc w:val="center"/>
              <w:rPr>
                <w:rFonts w:ascii="Times New Roman" w:hAnsi="Times New Roman" w:cs="Times New Roman"/>
              </w:rPr>
            </w:pPr>
            <w:r>
              <w:rPr>
                <w:rFonts w:ascii="Times New Roman" w:hAnsi="Times New Roman" w:cs="Times New Roman"/>
              </w:rPr>
              <w:t>2024-01-15</w:t>
            </w:r>
          </w:p>
        </w:tc>
        <w:tc>
          <w:tcPr>
            <w:tcW w:w="7120" w:type="dxa"/>
          </w:tcPr>
          <w:p w14:paraId="468B1479" w14:textId="77777777" w:rsidR="00717E79" w:rsidRDefault="00717E79" w:rsidP="00717E79">
            <w:pPr>
              <w:spacing w:after="160" w:line="252" w:lineRule="auto"/>
              <w:jc w:val="both"/>
              <w:rPr>
                <w:rFonts w:ascii="Times New Roman" w:hAnsi="Times New Roman" w:cs="Times New Roman"/>
                <w:b/>
                <w:bCs/>
              </w:rPr>
            </w:pPr>
            <w:r>
              <w:rPr>
                <w:rFonts w:ascii="Times New Roman" w:hAnsi="Times New Roman" w:cs="Times New Roman"/>
                <w:b/>
                <w:bCs/>
              </w:rPr>
              <w:t>Švedijos bankų pelnai 2023 m. siekia 800 mln. eurų</w:t>
            </w:r>
          </w:p>
          <w:p w14:paraId="35A4A175" w14:textId="77777777" w:rsidR="00935660" w:rsidRDefault="00717E79" w:rsidP="001A6DB6">
            <w:pPr>
              <w:spacing w:after="160" w:line="252" w:lineRule="auto"/>
              <w:jc w:val="both"/>
              <w:rPr>
                <w:rFonts w:ascii="Times New Roman" w:hAnsi="Times New Roman" w:cs="Times New Roman"/>
              </w:rPr>
            </w:pPr>
            <w:r>
              <w:rPr>
                <w:rFonts w:ascii="Times New Roman" w:hAnsi="Times New Roman" w:cs="Times New Roman"/>
              </w:rPr>
              <w:t xml:space="preserve">Užfiksuotas pelnas yra 24% didesnis negu 2022 m., jis nulemtas aukštų palūkanų normų. Bankai savo komunikacijoje bando nuraminti kai kurios politikus ir ekspertus, raginančius įvesti bankų pelnų apmokestinimo taisykles, teigdami, kad pelnas ryškiai sumažės, kai pasikeis ekonominė situacija. </w:t>
            </w:r>
          </w:p>
          <w:p w14:paraId="13525487" w14:textId="77777777" w:rsidR="00DC4A02" w:rsidRDefault="00DC4A02" w:rsidP="00DC4A02">
            <w:pPr>
              <w:jc w:val="both"/>
            </w:pPr>
            <w:r>
              <w:rPr>
                <w:rFonts w:ascii="Times New Roman" w:hAnsi="Times New Roman" w:cs="Times New Roman"/>
              </w:rPr>
              <w:t xml:space="preserve">Finansų ministrė E. </w:t>
            </w:r>
            <w:proofErr w:type="spellStart"/>
            <w:r>
              <w:rPr>
                <w:rFonts w:ascii="Times New Roman" w:hAnsi="Times New Roman" w:cs="Times New Roman"/>
              </w:rPr>
              <w:t>Svantesson</w:t>
            </w:r>
            <w:proofErr w:type="spellEnd"/>
            <w:r>
              <w:rPr>
                <w:rFonts w:ascii="Times New Roman" w:hAnsi="Times New Roman" w:cs="Times New Roman"/>
              </w:rPr>
              <w:t xml:space="preserve"> patiria spaudimą tiek iš opozicinių partijų, tiek iš Vyriausybės narių, tiek iš pramonininkų spaudimą atsisakyti ilgalaikio Švedijos tikslo siekti perteklinio arba subalansuoto biudžeto ir daugiau skolintis iš tarptautinių rinkų. Argumentai skiriasi. Opozicinės partijos, pagrinde didžiausia Švedijos partija </w:t>
            </w:r>
            <w:r>
              <w:rPr>
                <w:rFonts w:ascii="Times New Roman" w:hAnsi="Times New Roman" w:cs="Times New Roman"/>
              </w:rPr>
              <w:lastRenderedPageBreak/>
              <w:t xml:space="preserve">Socialdemokratai ir Kairės partija, Vyriausybę ragina skolintis ir šias lėšas investuoti į viešąsias paslaugas, ypač sveikatos apsaugos sistemą. Tuo tarpu, pramonės atstovai ragina Vyriausybę skolintis ir investuoti į šalies infrastruktūrą, ją atnaujinti. Teigiama, kad Švedijoje numatomos didelės investicijos, pramonės plėtra, tačiau šalies infrastruktūra vienas po kito augantiems dideliems fabrikams yra pasenusi ir nepajėgi jų aptarnauti. Šiam požiūriui pritaria mažosios Vyriausybės narės, Krikščionių demokratų ir Liberalų partijos, kurių teigimu, valstybė gali palankiomis sąlygomis skolintis tam, kad įgyvendintų milžiniškas pinigų sumas kainuosiančius geležinkelių, energetikos ir miestų infrastruktūros projektus. Pritariančių balsų atsiranda ir tarp pačios </w:t>
            </w:r>
            <w:proofErr w:type="spellStart"/>
            <w:r>
              <w:rPr>
                <w:rFonts w:ascii="Times New Roman" w:hAnsi="Times New Roman" w:cs="Times New Roman"/>
              </w:rPr>
              <w:t>Moderatų</w:t>
            </w:r>
            <w:proofErr w:type="spellEnd"/>
            <w:r>
              <w:rPr>
                <w:rFonts w:ascii="Times New Roman" w:hAnsi="Times New Roman" w:cs="Times New Roman"/>
              </w:rPr>
              <w:t xml:space="preserve">/Nuosaikiųjų partijos narių, tačiau finansų ministrė E. </w:t>
            </w:r>
            <w:proofErr w:type="spellStart"/>
            <w:r>
              <w:rPr>
                <w:rFonts w:ascii="Times New Roman" w:hAnsi="Times New Roman" w:cs="Times New Roman"/>
              </w:rPr>
              <w:t>Svantesson</w:t>
            </w:r>
            <w:proofErr w:type="spellEnd"/>
            <w:r>
              <w:rPr>
                <w:rFonts w:ascii="Times New Roman" w:hAnsi="Times New Roman" w:cs="Times New Roman"/>
              </w:rPr>
              <w:t xml:space="preserve"> yra nusiteikusi kategoriškai. Jos teigimu, Švedija ir toliau turi siekti tvarių viešųjų finansų, o pagal investicijas į infrastruktūrą Švedija ir taip yra lyderiaujanti tarp ES valstybių narių. Žiniasklaidoje ekspertai teigia, kad šių metų gale vyksiančios derybos dėl 2025 m. biudžeto bus sudėtingos, esant spaudimui iš koalicijos partnerių, </w:t>
            </w:r>
            <w:proofErr w:type="spellStart"/>
            <w:r>
              <w:rPr>
                <w:rFonts w:ascii="Times New Roman" w:hAnsi="Times New Roman" w:cs="Times New Roman"/>
              </w:rPr>
              <w:t>Moderatų</w:t>
            </w:r>
            <w:proofErr w:type="spellEnd"/>
            <w:r>
              <w:rPr>
                <w:rFonts w:ascii="Times New Roman" w:hAnsi="Times New Roman" w:cs="Times New Roman"/>
              </w:rPr>
              <w:t>/Nuosaikiųjų partija gali būti priversta atsisakyti ilgalaikės savo pozicijos prioritetą teikti pertekliniam biudžetui.</w:t>
            </w:r>
          </w:p>
          <w:p w14:paraId="5F2D7E13" w14:textId="003C3F0A" w:rsidR="00DC4A02" w:rsidRPr="001A6DB6" w:rsidRDefault="00DC4A02" w:rsidP="001A6DB6">
            <w:pPr>
              <w:spacing w:after="160" w:line="252" w:lineRule="auto"/>
              <w:jc w:val="both"/>
              <w:rPr>
                <w:rStyle w:val="Strong"/>
                <w:rFonts w:ascii="Times New Roman" w:hAnsi="Times New Roman" w:cs="Times New Roman"/>
                <w:b w:val="0"/>
                <w:bCs w:val="0"/>
              </w:rPr>
            </w:pPr>
          </w:p>
        </w:tc>
        <w:tc>
          <w:tcPr>
            <w:tcW w:w="4653" w:type="dxa"/>
          </w:tcPr>
          <w:p w14:paraId="15DAE47F" w14:textId="77777777" w:rsidR="00935660" w:rsidRDefault="00041D0A" w:rsidP="00935660">
            <w:pPr>
              <w:jc w:val="center"/>
            </w:pPr>
            <w:hyperlink r:id="rId23" w:history="1">
              <w:proofErr w:type="spellStart"/>
              <w:r w:rsidR="006E1517">
                <w:rPr>
                  <w:rStyle w:val="Hyperlink"/>
                </w:rPr>
                <w:t>Svantesson</w:t>
              </w:r>
              <w:proofErr w:type="spellEnd"/>
              <w:r w:rsidR="006E1517">
                <w:rPr>
                  <w:rStyle w:val="Hyperlink"/>
                </w:rPr>
                <w:t xml:space="preserve"> </w:t>
              </w:r>
              <w:proofErr w:type="spellStart"/>
              <w:r w:rsidR="006E1517">
                <w:rPr>
                  <w:rStyle w:val="Hyperlink"/>
                </w:rPr>
                <w:t>kritisk</w:t>
              </w:r>
              <w:proofErr w:type="spellEnd"/>
              <w:r w:rsidR="006E1517">
                <w:rPr>
                  <w:rStyle w:val="Hyperlink"/>
                </w:rPr>
                <w:t xml:space="preserve"> </w:t>
              </w:r>
              <w:proofErr w:type="spellStart"/>
              <w:r w:rsidR="006E1517">
                <w:rPr>
                  <w:rStyle w:val="Hyperlink"/>
                </w:rPr>
                <w:t>till</w:t>
              </w:r>
              <w:proofErr w:type="spellEnd"/>
              <w:r w:rsidR="006E1517">
                <w:rPr>
                  <w:rStyle w:val="Hyperlink"/>
                </w:rPr>
                <w:t xml:space="preserve"> </w:t>
              </w:r>
              <w:proofErr w:type="spellStart"/>
              <w:r w:rsidR="006E1517">
                <w:rPr>
                  <w:rStyle w:val="Hyperlink"/>
                </w:rPr>
                <w:t>bankernas</w:t>
              </w:r>
              <w:proofErr w:type="spellEnd"/>
              <w:r w:rsidR="006E1517">
                <w:rPr>
                  <w:rStyle w:val="Hyperlink"/>
                </w:rPr>
                <w:t xml:space="preserve"> </w:t>
              </w:r>
              <w:proofErr w:type="spellStart"/>
              <w:r w:rsidR="006E1517">
                <w:rPr>
                  <w:rStyle w:val="Hyperlink"/>
                </w:rPr>
                <w:t>miljardregn</w:t>
              </w:r>
              <w:proofErr w:type="spellEnd"/>
              <w:r w:rsidR="006E1517">
                <w:rPr>
                  <w:rStyle w:val="Hyperlink"/>
                </w:rPr>
                <w:t xml:space="preserve"> - TT (omni.se)</w:t>
              </w:r>
            </w:hyperlink>
          </w:p>
          <w:p w14:paraId="6F4A8C72" w14:textId="791CBC43" w:rsidR="006E1517" w:rsidRPr="006D6425" w:rsidRDefault="00041D0A" w:rsidP="00935660">
            <w:pPr>
              <w:jc w:val="center"/>
              <w:rPr>
                <w:rFonts w:ascii="Times New Roman" w:hAnsi="Times New Roman" w:cs="Times New Roman"/>
              </w:rPr>
            </w:pPr>
            <w:hyperlink r:id="rId24" w:history="1">
              <w:proofErr w:type="spellStart"/>
              <w:r w:rsidR="006E1517">
                <w:rPr>
                  <w:rStyle w:val="Hyperlink"/>
                </w:rPr>
                <w:t>Svantesson</w:t>
              </w:r>
              <w:proofErr w:type="spellEnd"/>
              <w:r w:rsidR="006E1517">
                <w:rPr>
                  <w:rStyle w:val="Hyperlink"/>
                </w:rPr>
                <w:t xml:space="preserve"> </w:t>
              </w:r>
              <w:proofErr w:type="spellStart"/>
              <w:r w:rsidR="006E1517">
                <w:rPr>
                  <w:rStyle w:val="Hyperlink"/>
                </w:rPr>
                <w:t>om</w:t>
              </w:r>
              <w:proofErr w:type="spellEnd"/>
              <w:r w:rsidR="006E1517">
                <w:rPr>
                  <w:rStyle w:val="Hyperlink"/>
                </w:rPr>
                <w:t xml:space="preserve"> </w:t>
              </w:r>
              <w:proofErr w:type="spellStart"/>
              <w:r w:rsidR="006E1517">
                <w:rPr>
                  <w:rStyle w:val="Hyperlink"/>
                </w:rPr>
                <w:t>bankernas</w:t>
              </w:r>
              <w:proofErr w:type="spellEnd"/>
              <w:r w:rsidR="006E1517">
                <w:rPr>
                  <w:rStyle w:val="Hyperlink"/>
                </w:rPr>
                <w:t xml:space="preserve"> </w:t>
              </w:r>
              <w:proofErr w:type="spellStart"/>
              <w:r w:rsidR="006E1517">
                <w:rPr>
                  <w:rStyle w:val="Hyperlink"/>
                </w:rPr>
                <w:t>utdelningar</w:t>
              </w:r>
              <w:proofErr w:type="spellEnd"/>
              <w:r w:rsidR="006E1517">
                <w:rPr>
                  <w:rStyle w:val="Hyperlink"/>
                </w:rPr>
                <w:t>: "</w:t>
              </w:r>
              <w:proofErr w:type="spellStart"/>
              <w:r w:rsidR="006E1517">
                <w:rPr>
                  <w:rStyle w:val="Hyperlink"/>
                </w:rPr>
                <w:t>Orimligt</w:t>
              </w:r>
              <w:proofErr w:type="spellEnd"/>
              <w:r w:rsidR="006E1517">
                <w:rPr>
                  <w:rStyle w:val="Hyperlink"/>
                </w:rPr>
                <w:t>" - TT (omni.se)</w:t>
              </w:r>
            </w:hyperlink>
          </w:p>
        </w:tc>
        <w:tc>
          <w:tcPr>
            <w:tcW w:w="1056" w:type="dxa"/>
          </w:tcPr>
          <w:p w14:paraId="19FAE0AF" w14:textId="77777777" w:rsidR="00935660" w:rsidRPr="00927653" w:rsidRDefault="00935660" w:rsidP="00935660">
            <w:pPr>
              <w:rPr>
                <w:rFonts w:ascii="Times New Roman" w:hAnsi="Times New Roman" w:cs="Times New Roman"/>
              </w:rPr>
            </w:pPr>
          </w:p>
        </w:tc>
      </w:tr>
      <w:tr w:rsidR="00935660" w14:paraId="4DC1A88D" w14:textId="77777777" w:rsidTr="00041D0A">
        <w:trPr>
          <w:gridAfter w:val="3"/>
          <w:wAfter w:w="7816" w:type="dxa"/>
        </w:trPr>
        <w:tc>
          <w:tcPr>
            <w:tcW w:w="1097" w:type="dxa"/>
          </w:tcPr>
          <w:p w14:paraId="738EC1B1" w14:textId="65C8B538" w:rsidR="00935660" w:rsidRPr="006D6425" w:rsidRDefault="001A6DB6" w:rsidP="00935660">
            <w:pPr>
              <w:jc w:val="center"/>
              <w:rPr>
                <w:rFonts w:ascii="Times New Roman" w:hAnsi="Times New Roman" w:cs="Times New Roman"/>
              </w:rPr>
            </w:pPr>
            <w:r>
              <w:rPr>
                <w:rFonts w:ascii="Times New Roman" w:hAnsi="Times New Roman" w:cs="Times New Roman"/>
              </w:rPr>
              <w:t>2024-01-15</w:t>
            </w:r>
          </w:p>
        </w:tc>
        <w:tc>
          <w:tcPr>
            <w:tcW w:w="7120" w:type="dxa"/>
          </w:tcPr>
          <w:p w14:paraId="46A985C2" w14:textId="7DA87C8B" w:rsidR="00935660" w:rsidRPr="001A6DB6" w:rsidRDefault="001A6DB6" w:rsidP="006D6425">
            <w:pPr>
              <w:spacing w:after="160" w:line="252" w:lineRule="auto"/>
              <w:jc w:val="both"/>
              <w:rPr>
                <w:rStyle w:val="Strong"/>
                <w:rFonts w:ascii="Times New Roman" w:hAnsi="Times New Roman" w:cs="Times New Roman"/>
                <w:b w:val="0"/>
                <w:bCs w:val="0"/>
                <w:color w:val="000000" w:themeColor="text1"/>
              </w:rPr>
            </w:pPr>
            <w:bookmarkStart w:id="0" w:name="_Hlk156656345"/>
            <w:r w:rsidRPr="001A6DB6">
              <w:rPr>
                <w:rFonts w:ascii="Times New Roman" w:hAnsi="Times New Roman" w:cs="Times New Roman"/>
                <w:b/>
                <w:bCs/>
              </w:rPr>
              <w:t>2024 m. Finansų ministerijos prognozės dėl Švedijos ekonomikos yra atsargiai pozityvios.</w:t>
            </w:r>
            <w:r w:rsidRPr="001A6DB6">
              <w:rPr>
                <w:rFonts w:ascii="Times New Roman" w:hAnsi="Times New Roman" w:cs="Times New Roman"/>
              </w:rPr>
              <w:t xml:space="preserve"> Iš vienos pusės, džiaugiamasi, kad pagaliau veikia Vyriausybės taikomos priemonės ir infliacija Švedijoje sumažėjo iki 2%. Tačiau akcentuojama, kad kova su infliacija dar nebaigta, nes dėl augančių elektros kainų ji vėl gali padidėti jau šį vasarį. Pagrindiniai veiksniai, kurie apsunkina prognozes yra neprognozuojamos elektros kainos bei situacija Raudonojoje jūroje</w:t>
            </w:r>
            <w:bookmarkEnd w:id="0"/>
            <w:r w:rsidRPr="001A6DB6">
              <w:rPr>
                <w:rFonts w:ascii="Times New Roman" w:hAnsi="Times New Roman" w:cs="Times New Roman"/>
              </w:rPr>
              <w:t xml:space="preserve">, kur dėl užpuolamų laivų gali atsirasti problemų Švedijos verslui. Apibendrindama 2023 m. ministrė konstatavo, kad jie buvo sunkūs – fiksuojamas didžiausias bankrotų skaičius nuo 1990-ųjų, o bedarbių skaičius, lyginant su 2022 m. išaugo per 40 tūkst. Pabrėžta, kad nepaisant prastesnių ekonominių rodiklių </w:t>
            </w:r>
            <w:r w:rsidRPr="001A6DB6">
              <w:rPr>
                <w:rFonts w:ascii="Times New Roman" w:hAnsi="Times New Roman" w:cs="Times New Roman"/>
              </w:rPr>
              <w:lastRenderedPageBreak/>
              <w:t>Vyriausybė nemato, kad gerovės lygis šalyje būtų reikšmingai sumažėjęs.</w:t>
            </w:r>
          </w:p>
        </w:tc>
        <w:tc>
          <w:tcPr>
            <w:tcW w:w="4653" w:type="dxa"/>
          </w:tcPr>
          <w:p w14:paraId="707D3106" w14:textId="4DCB84AE" w:rsidR="00935660" w:rsidRPr="005B44C5" w:rsidRDefault="00041D0A" w:rsidP="00935660">
            <w:pPr>
              <w:jc w:val="center"/>
            </w:pPr>
            <w:hyperlink r:id="rId25" w:history="1">
              <w:proofErr w:type="spellStart"/>
              <w:r w:rsidR="001A6DB6">
                <w:rPr>
                  <w:rStyle w:val="Hyperlink"/>
                </w:rPr>
                <w:t>Pressbriefing</w:t>
              </w:r>
              <w:proofErr w:type="spellEnd"/>
              <w:r w:rsidR="001A6DB6">
                <w:rPr>
                  <w:rStyle w:val="Hyperlink"/>
                </w:rPr>
                <w:t xml:space="preserve"> </w:t>
              </w:r>
              <w:proofErr w:type="spellStart"/>
              <w:r w:rsidR="001A6DB6">
                <w:rPr>
                  <w:rStyle w:val="Hyperlink"/>
                </w:rPr>
                <w:t>med</w:t>
              </w:r>
              <w:proofErr w:type="spellEnd"/>
              <w:r w:rsidR="001A6DB6">
                <w:rPr>
                  <w:rStyle w:val="Hyperlink"/>
                </w:rPr>
                <w:t xml:space="preserve"> </w:t>
              </w:r>
              <w:proofErr w:type="spellStart"/>
              <w:r w:rsidR="001A6DB6">
                <w:rPr>
                  <w:rStyle w:val="Hyperlink"/>
                </w:rPr>
                <w:t>finansminister</w:t>
              </w:r>
              <w:proofErr w:type="spellEnd"/>
              <w:r w:rsidR="001A6DB6">
                <w:rPr>
                  <w:rStyle w:val="Hyperlink"/>
                </w:rPr>
                <w:t xml:space="preserve"> </w:t>
              </w:r>
              <w:proofErr w:type="spellStart"/>
              <w:r w:rsidR="001A6DB6">
                <w:rPr>
                  <w:rStyle w:val="Hyperlink"/>
                </w:rPr>
                <w:t>Elisabeth</w:t>
              </w:r>
              <w:proofErr w:type="spellEnd"/>
              <w:r w:rsidR="001A6DB6">
                <w:rPr>
                  <w:rStyle w:val="Hyperlink"/>
                </w:rPr>
                <w:t xml:space="preserve"> </w:t>
              </w:r>
              <w:proofErr w:type="spellStart"/>
              <w:r w:rsidR="001A6DB6">
                <w:rPr>
                  <w:rStyle w:val="Hyperlink"/>
                </w:rPr>
                <w:t>Svantesson</w:t>
              </w:r>
              <w:proofErr w:type="spellEnd"/>
              <w:r w:rsidR="001A6DB6">
                <w:rPr>
                  <w:rStyle w:val="Hyperlink"/>
                </w:rPr>
                <w:t xml:space="preserve"> </w:t>
              </w:r>
              <w:proofErr w:type="spellStart"/>
              <w:r w:rsidR="001A6DB6">
                <w:rPr>
                  <w:rStyle w:val="Hyperlink"/>
                </w:rPr>
                <w:t>om</w:t>
              </w:r>
              <w:proofErr w:type="spellEnd"/>
              <w:r w:rsidR="001A6DB6">
                <w:rPr>
                  <w:rStyle w:val="Hyperlink"/>
                </w:rPr>
                <w:t xml:space="preserve"> </w:t>
              </w:r>
              <w:proofErr w:type="spellStart"/>
              <w:r w:rsidR="001A6DB6">
                <w:rPr>
                  <w:rStyle w:val="Hyperlink"/>
                </w:rPr>
                <w:t>det</w:t>
              </w:r>
              <w:proofErr w:type="spellEnd"/>
              <w:r w:rsidR="001A6DB6">
                <w:rPr>
                  <w:rStyle w:val="Hyperlink"/>
                </w:rPr>
                <w:t xml:space="preserve"> </w:t>
              </w:r>
              <w:proofErr w:type="spellStart"/>
              <w:r w:rsidR="001A6DB6">
                <w:rPr>
                  <w:rStyle w:val="Hyperlink"/>
                </w:rPr>
                <w:t>ekonomiska</w:t>
              </w:r>
              <w:proofErr w:type="spellEnd"/>
              <w:r w:rsidR="001A6DB6">
                <w:rPr>
                  <w:rStyle w:val="Hyperlink"/>
                </w:rPr>
                <w:t xml:space="preserve"> </w:t>
              </w:r>
              <w:proofErr w:type="spellStart"/>
              <w:r w:rsidR="001A6DB6">
                <w:rPr>
                  <w:rStyle w:val="Hyperlink"/>
                </w:rPr>
                <w:t>läget</w:t>
              </w:r>
              <w:proofErr w:type="spellEnd"/>
              <w:r w:rsidR="001A6DB6">
                <w:rPr>
                  <w:rStyle w:val="Hyperlink"/>
                </w:rPr>
                <w:t xml:space="preserve"> - Regeringen.se</w:t>
              </w:r>
            </w:hyperlink>
          </w:p>
        </w:tc>
        <w:tc>
          <w:tcPr>
            <w:tcW w:w="1056" w:type="dxa"/>
          </w:tcPr>
          <w:p w14:paraId="0DCEB34F" w14:textId="77777777" w:rsidR="00935660" w:rsidRPr="004F2D5D" w:rsidRDefault="00935660" w:rsidP="00935660">
            <w:pPr>
              <w:rPr>
                <w:rFonts w:ascii="Times New Roman" w:hAnsi="Times New Roman" w:cs="Times New Roman"/>
              </w:rPr>
            </w:pPr>
          </w:p>
        </w:tc>
      </w:tr>
      <w:tr w:rsidR="00935660" w14:paraId="254C2710" w14:textId="77777777" w:rsidTr="00041D0A">
        <w:trPr>
          <w:gridAfter w:val="3"/>
          <w:wAfter w:w="7816" w:type="dxa"/>
        </w:trPr>
        <w:tc>
          <w:tcPr>
            <w:tcW w:w="1097" w:type="dxa"/>
          </w:tcPr>
          <w:p w14:paraId="2F2A4874" w14:textId="06918BF2" w:rsidR="00935660" w:rsidRDefault="006D6425" w:rsidP="00935660">
            <w:pPr>
              <w:jc w:val="center"/>
              <w:rPr>
                <w:rFonts w:ascii="Times New Roman" w:hAnsi="Times New Roman" w:cs="Times New Roman"/>
                <w:lang w:val="sv-SE"/>
              </w:rPr>
            </w:pPr>
            <w:r>
              <w:rPr>
                <w:rFonts w:ascii="Times New Roman" w:hAnsi="Times New Roman" w:cs="Times New Roman"/>
                <w:lang w:val="sv-SE"/>
              </w:rPr>
              <w:t>2024-01-24</w:t>
            </w:r>
          </w:p>
        </w:tc>
        <w:tc>
          <w:tcPr>
            <w:tcW w:w="7120" w:type="dxa"/>
          </w:tcPr>
          <w:p w14:paraId="1A1EDC38" w14:textId="77777777" w:rsidR="006D6425" w:rsidRPr="007C784E" w:rsidRDefault="006D6425" w:rsidP="00041D0A">
            <w:pPr>
              <w:jc w:val="both"/>
              <w:rPr>
                <w:rFonts w:ascii="Times New Roman" w:hAnsi="Times New Roman" w:cs="Times New Roman"/>
                <w:b/>
                <w:bCs/>
              </w:rPr>
            </w:pPr>
            <w:r w:rsidRPr="007C784E">
              <w:rPr>
                <w:rFonts w:ascii="Times New Roman" w:hAnsi="Times New Roman" w:cs="Times New Roman"/>
                <w:b/>
                <w:bCs/>
              </w:rPr>
              <w:t>Švedijos bankai skelbia 2024 m. ekonomines prognozes.</w:t>
            </w:r>
          </w:p>
          <w:p w14:paraId="2CF31AE6" w14:textId="77777777" w:rsidR="006D6425" w:rsidRDefault="006D6425" w:rsidP="00041D0A">
            <w:pPr>
              <w:jc w:val="both"/>
              <w:rPr>
                <w:rFonts w:ascii="Times New Roman" w:hAnsi="Times New Roman" w:cs="Times New Roman"/>
              </w:rPr>
            </w:pPr>
            <w:r>
              <w:rPr>
                <w:rFonts w:ascii="Times New Roman" w:hAnsi="Times New Roman" w:cs="Times New Roman"/>
              </w:rPr>
              <w:t xml:space="preserve">Pastaruoju metu didžiausiai Švedijos bankai, tokie kaip SEB, Nordea ir </w:t>
            </w:r>
            <w:proofErr w:type="spellStart"/>
            <w:r>
              <w:rPr>
                <w:rFonts w:ascii="Times New Roman" w:hAnsi="Times New Roman" w:cs="Times New Roman"/>
              </w:rPr>
              <w:t>Handelsbanken</w:t>
            </w:r>
            <w:proofErr w:type="spellEnd"/>
            <w:r>
              <w:rPr>
                <w:rFonts w:ascii="Times New Roman" w:hAnsi="Times New Roman" w:cs="Times New Roman"/>
              </w:rPr>
              <w:t xml:space="preserve"> išplatino Švedijos ekonomines prognozes. Bendra žinia – šių metų recesija bus truputį švelnesnė negu prognozuota anksčiau, ekonomikos atsigavimas mažas žingsniais prasidės šių metų rudenį, o 2025 m. pradės ženkliai atsigauti. Beveik visų bankų duomenys rodo, kad 2023 m. Švedijos BVP sumažėjo 0,4%.  Pozityviausi situaciją vertina didžiausias Švedijos bankas, SEB, jo duomenimis šiais metais prognozuojamas ekonomikos augimas 0,1%, o jau kitais metais ekonomika augs 2,8%. </w:t>
            </w:r>
            <w:proofErr w:type="spellStart"/>
            <w:r>
              <w:rPr>
                <w:rFonts w:ascii="Times New Roman" w:hAnsi="Times New Roman" w:cs="Times New Roman"/>
              </w:rPr>
              <w:t>Handelsbanken</w:t>
            </w:r>
            <w:proofErr w:type="spellEnd"/>
            <w:r>
              <w:rPr>
                <w:rFonts w:ascii="Times New Roman" w:hAnsi="Times New Roman" w:cs="Times New Roman"/>
              </w:rPr>
              <w:t xml:space="preserve"> augimo šiais metais neprognozuoja, teigia, kad kitais metais ekonomika augs 2,4%. Nordea situaciją vertina pesimistiškiausiai – BVP šiais metais ir toliau trauksis (-0,5), o kitų metų augimas sieks 2%. Visi bankai vieningai sutaria, kad Švedijos nacionalinis bankas šiais metais, atsižvelgiant į švelnėjančią ekonominę situaciją, turėtų mažinti palūkanų normas.</w:t>
            </w:r>
          </w:p>
          <w:p w14:paraId="042A57FF" w14:textId="12777E59" w:rsidR="0073797F" w:rsidRPr="005E7558" w:rsidRDefault="0073797F" w:rsidP="006D6425">
            <w:pPr>
              <w:pStyle w:val="NormalWeb"/>
              <w:spacing w:line="293" w:lineRule="atLeast"/>
              <w:jc w:val="both"/>
              <w:rPr>
                <w:rStyle w:val="Strong"/>
                <w:b w:val="0"/>
                <w:bCs w:val="0"/>
                <w:color w:val="000000" w:themeColor="text1"/>
              </w:rPr>
            </w:pPr>
          </w:p>
        </w:tc>
        <w:tc>
          <w:tcPr>
            <w:tcW w:w="4653" w:type="dxa"/>
          </w:tcPr>
          <w:p w14:paraId="5713B495" w14:textId="77777777" w:rsidR="006D6425" w:rsidRDefault="006D6425" w:rsidP="006D6425">
            <w:pPr>
              <w:rPr>
                <w:rFonts w:ascii="Times New Roman" w:hAnsi="Times New Roman" w:cs="Times New Roman"/>
              </w:rPr>
            </w:pPr>
            <w:r>
              <w:rPr>
                <w:rFonts w:ascii="Times New Roman" w:hAnsi="Times New Roman" w:cs="Times New Roman"/>
              </w:rPr>
              <w:t xml:space="preserve">Nordea 2024 m. ekonominės prognozės: </w:t>
            </w:r>
            <w:hyperlink r:id="rId26" w:history="1">
              <w:r w:rsidRPr="00F90E60">
                <w:rPr>
                  <w:rStyle w:val="Hyperlink"/>
                  <w:rFonts w:ascii="Times New Roman" w:hAnsi="Times New Roman" w:cs="Times New Roman"/>
                </w:rPr>
                <w:t>https://docs.nordeamarkets.com/nordea-economic-outlook/economic-outlook-2024/eo-se-01-2024/?page=34</w:t>
              </w:r>
            </w:hyperlink>
            <w:r>
              <w:rPr>
                <w:rFonts w:ascii="Times New Roman" w:hAnsi="Times New Roman" w:cs="Times New Roman"/>
              </w:rPr>
              <w:t xml:space="preserve"> </w:t>
            </w:r>
          </w:p>
          <w:p w14:paraId="4DB080FF" w14:textId="77777777" w:rsidR="006D6425" w:rsidRDefault="006D6425" w:rsidP="006D6425">
            <w:pPr>
              <w:rPr>
                <w:rFonts w:ascii="Times New Roman" w:hAnsi="Times New Roman" w:cs="Times New Roman"/>
              </w:rPr>
            </w:pPr>
          </w:p>
          <w:p w14:paraId="6DE77C10" w14:textId="77777777" w:rsidR="006D6425" w:rsidRDefault="006D6425" w:rsidP="006D6425">
            <w:pPr>
              <w:rPr>
                <w:rFonts w:ascii="Times New Roman" w:hAnsi="Times New Roman" w:cs="Times New Roman"/>
              </w:rPr>
            </w:pPr>
            <w:r>
              <w:rPr>
                <w:rFonts w:ascii="Times New Roman" w:hAnsi="Times New Roman" w:cs="Times New Roman"/>
              </w:rPr>
              <w:t xml:space="preserve">SEB 2024 m. ekonominės prognozės: </w:t>
            </w:r>
            <w:hyperlink r:id="rId27" w:history="1">
              <w:r w:rsidRPr="00F90E60">
                <w:rPr>
                  <w:rStyle w:val="Hyperlink"/>
                  <w:rFonts w:ascii="Times New Roman" w:hAnsi="Times New Roman" w:cs="Times New Roman"/>
                </w:rPr>
                <w:t>https://sebgroup.com/our-offering/reports-and-publications/nordic-outlook-highlights</w:t>
              </w:r>
            </w:hyperlink>
            <w:r>
              <w:rPr>
                <w:rFonts w:ascii="Times New Roman" w:hAnsi="Times New Roman" w:cs="Times New Roman"/>
              </w:rPr>
              <w:t xml:space="preserve"> </w:t>
            </w:r>
          </w:p>
          <w:p w14:paraId="5E29351D" w14:textId="77777777" w:rsidR="006D6425" w:rsidRDefault="006D6425" w:rsidP="006D6425">
            <w:pPr>
              <w:rPr>
                <w:rFonts w:ascii="Times New Roman" w:hAnsi="Times New Roman" w:cs="Times New Roman"/>
              </w:rPr>
            </w:pPr>
          </w:p>
          <w:p w14:paraId="72198FF7" w14:textId="77777777" w:rsidR="006D6425" w:rsidRDefault="006D6425" w:rsidP="006D6425">
            <w:pPr>
              <w:rPr>
                <w:rFonts w:ascii="Times New Roman" w:hAnsi="Times New Roman" w:cs="Times New Roman"/>
              </w:rPr>
            </w:pPr>
            <w:proofErr w:type="spellStart"/>
            <w:r>
              <w:rPr>
                <w:rFonts w:ascii="Times New Roman" w:hAnsi="Times New Roman" w:cs="Times New Roman"/>
              </w:rPr>
              <w:t>Handelsbanken</w:t>
            </w:r>
            <w:proofErr w:type="spellEnd"/>
            <w:r>
              <w:rPr>
                <w:rFonts w:ascii="Times New Roman" w:hAnsi="Times New Roman" w:cs="Times New Roman"/>
              </w:rPr>
              <w:t xml:space="preserve"> 2024 m. ekonominės prognozės: </w:t>
            </w:r>
          </w:p>
          <w:p w14:paraId="3D0B35BE" w14:textId="77777777" w:rsidR="006D6425" w:rsidRDefault="006D6425" w:rsidP="006D6425"/>
          <w:p w14:paraId="3B81EC83" w14:textId="79F81359" w:rsidR="006D6425" w:rsidRDefault="00041D0A" w:rsidP="006D6425">
            <w:pPr>
              <w:rPr>
                <w:rFonts w:ascii="Times New Roman" w:hAnsi="Times New Roman" w:cs="Times New Roman"/>
              </w:rPr>
            </w:pPr>
            <w:hyperlink r:id="rId28" w:history="1">
              <w:proofErr w:type="spellStart"/>
              <w:r w:rsidR="006D6425">
                <w:rPr>
                  <w:rStyle w:val="Hyperlink"/>
                </w:rPr>
                <w:t>Ange</w:t>
              </w:r>
              <w:proofErr w:type="spellEnd"/>
              <w:r w:rsidR="006D6425">
                <w:rPr>
                  <w:rStyle w:val="Hyperlink"/>
                </w:rPr>
                <w:t xml:space="preserve"> </w:t>
              </w:r>
              <w:proofErr w:type="spellStart"/>
              <w:r w:rsidR="006D6425">
                <w:rPr>
                  <w:rStyle w:val="Hyperlink"/>
                </w:rPr>
                <w:t>dokumentets</w:t>
              </w:r>
              <w:proofErr w:type="spellEnd"/>
              <w:r w:rsidR="006D6425">
                <w:rPr>
                  <w:rStyle w:val="Hyperlink"/>
                </w:rPr>
                <w:t xml:space="preserve"> </w:t>
              </w:r>
              <w:proofErr w:type="spellStart"/>
              <w:r w:rsidR="006D6425">
                <w:rPr>
                  <w:rStyle w:val="Hyperlink"/>
                </w:rPr>
                <w:t>rubrik</w:t>
              </w:r>
              <w:proofErr w:type="spellEnd"/>
              <w:r w:rsidR="006D6425">
                <w:rPr>
                  <w:rStyle w:val="Hyperlink"/>
                </w:rPr>
                <w:t xml:space="preserve"> (handelsbanken.se)</w:t>
              </w:r>
            </w:hyperlink>
          </w:p>
          <w:p w14:paraId="677E7A8C" w14:textId="48411977" w:rsidR="0073797F" w:rsidRPr="007405A9" w:rsidRDefault="0073797F" w:rsidP="00935660">
            <w:pPr>
              <w:jc w:val="center"/>
              <w:rPr>
                <w:rFonts w:ascii="Times New Roman" w:hAnsi="Times New Roman" w:cs="Times New Roman"/>
              </w:rPr>
            </w:pPr>
          </w:p>
        </w:tc>
        <w:tc>
          <w:tcPr>
            <w:tcW w:w="1056" w:type="dxa"/>
          </w:tcPr>
          <w:p w14:paraId="7A302D70" w14:textId="77777777" w:rsidR="00935660" w:rsidRPr="00927653" w:rsidRDefault="00935660" w:rsidP="00935660">
            <w:pPr>
              <w:rPr>
                <w:rFonts w:ascii="Times New Roman" w:hAnsi="Times New Roman" w:cs="Times New Roman"/>
              </w:rPr>
            </w:pPr>
          </w:p>
        </w:tc>
      </w:tr>
      <w:tr w:rsidR="00E512D2" w14:paraId="6C25A01C" w14:textId="77777777" w:rsidTr="00041D0A">
        <w:trPr>
          <w:gridAfter w:val="3"/>
          <w:wAfter w:w="7816" w:type="dxa"/>
        </w:trPr>
        <w:tc>
          <w:tcPr>
            <w:tcW w:w="1097" w:type="dxa"/>
          </w:tcPr>
          <w:p w14:paraId="51B5F4BE" w14:textId="79FA384F" w:rsidR="00E512D2" w:rsidRPr="006D6425" w:rsidRDefault="00E512D2" w:rsidP="00935660">
            <w:pPr>
              <w:jc w:val="center"/>
              <w:rPr>
                <w:rFonts w:ascii="Times New Roman" w:hAnsi="Times New Roman" w:cs="Times New Roman"/>
              </w:rPr>
            </w:pPr>
          </w:p>
        </w:tc>
        <w:tc>
          <w:tcPr>
            <w:tcW w:w="7120" w:type="dxa"/>
          </w:tcPr>
          <w:p w14:paraId="4C7B0C5E" w14:textId="77777777" w:rsidR="00E512D2" w:rsidRPr="00E512D2" w:rsidRDefault="00E512D2" w:rsidP="006D6425">
            <w:pPr>
              <w:spacing w:before="100" w:beforeAutospacing="1" w:after="100" w:afterAutospacing="1"/>
              <w:jc w:val="both"/>
              <w:rPr>
                <w:rStyle w:val="Strong"/>
                <w:b w:val="0"/>
                <w:bCs w:val="0"/>
                <w:color w:val="000000" w:themeColor="text1"/>
              </w:rPr>
            </w:pPr>
          </w:p>
        </w:tc>
        <w:tc>
          <w:tcPr>
            <w:tcW w:w="4653" w:type="dxa"/>
          </w:tcPr>
          <w:p w14:paraId="279648D8" w14:textId="047ABC81" w:rsidR="00E512D2" w:rsidRDefault="00E512D2" w:rsidP="00935660">
            <w:pPr>
              <w:jc w:val="center"/>
            </w:pPr>
          </w:p>
        </w:tc>
        <w:tc>
          <w:tcPr>
            <w:tcW w:w="1056" w:type="dxa"/>
          </w:tcPr>
          <w:p w14:paraId="4B754003" w14:textId="77777777" w:rsidR="00E512D2" w:rsidRPr="00927653" w:rsidRDefault="00E512D2" w:rsidP="00935660">
            <w:pPr>
              <w:rPr>
                <w:rFonts w:ascii="Times New Roman" w:hAnsi="Times New Roman" w:cs="Times New Roman"/>
              </w:rPr>
            </w:pPr>
          </w:p>
        </w:tc>
      </w:tr>
      <w:tr w:rsidR="00935660" w14:paraId="16250383" w14:textId="77777777" w:rsidTr="00041D0A">
        <w:trPr>
          <w:gridAfter w:val="3"/>
          <w:wAfter w:w="7816" w:type="dxa"/>
        </w:trPr>
        <w:tc>
          <w:tcPr>
            <w:tcW w:w="13926" w:type="dxa"/>
            <w:gridSpan w:val="4"/>
          </w:tcPr>
          <w:p w14:paraId="0795BA9E" w14:textId="7FACCE33" w:rsidR="00935660" w:rsidRPr="00DC42EF" w:rsidRDefault="00935660" w:rsidP="00935660">
            <w:pPr>
              <w:rPr>
                <w:rFonts w:ascii="Times New Roman" w:hAnsi="Times New Roman" w:cs="Times New Roman"/>
              </w:rPr>
            </w:pPr>
            <w:r w:rsidRPr="00DC42EF">
              <w:rPr>
                <w:rFonts w:ascii="Times New Roman" w:hAnsi="Times New Roman" w:cs="Times New Roman"/>
              </w:rPr>
              <w:t>Kita ekonominiam bendradarbiavimui aktuali informacija</w:t>
            </w:r>
          </w:p>
        </w:tc>
      </w:tr>
      <w:tr w:rsidR="00935660" w14:paraId="3FAE4CB7" w14:textId="77777777" w:rsidTr="00041D0A">
        <w:trPr>
          <w:gridAfter w:val="3"/>
          <w:wAfter w:w="7816" w:type="dxa"/>
        </w:trPr>
        <w:tc>
          <w:tcPr>
            <w:tcW w:w="1097" w:type="dxa"/>
          </w:tcPr>
          <w:p w14:paraId="6608AD1F" w14:textId="77777777" w:rsidR="00935660" w:rsidRDefault="00935660" w:rsidP="00935660"/>
        </w:tc>
        <w:tc>
          <w:tcPr>
            <w:tcW w:w="7120" w:type="dxa"/>
          </w:tcPr>
          <w:p w14:paraId="75E66356" w14:textId="77777777" w:rsidR="00935660" w:rsidRDefault="00935660" w:rsidP="00935660"/>
        </w:tc>
        <w:tc>
          <w:tcPr>
            <w:tcW w:w="4653" w:type="dxa"/>
          </w:tcPr>
          <w:p w14:paraId="227DDBB8" w14:textId="77777777" w:rsidR="00935660" w:rsidRDefault="00935660" w:rsidP="00935660"/>
        </w:tc>
        <w:tc>
          <w:tcPr>
            <w:tcW w:w="1056" w:type="dxa"/>
          </w:tcPr>
          <w:p w14:paraId="3BA83963" w14:textId="461D1DAF" w:rsidR="00935660" w:rsidRDefault="00935660" w:rsidP="00935660"/>
        </w:tc>
      </w:tr>
    </w:tbl>
    <w:p w14:paraId="5FB67D3E" w14:textId="340ABB0E" w:rsidR="00503200" w:rsidRDefault="00503200">
      <w:pPr>
        <w:rPr>
          <w:rFonts w:ascii="Times New Roman" w:hAnsi="Times New Roman" w:cs="Times New Roman"/>
          <w:lang w:val="sv-SE"/>
        </w:rPr>
      </w:pPr>
    </w:p>
    <w:p w14:paraId="3DF4EA04" w14:textId="77777777" w:rsidR="00A10B95" w:rsidRDefault="00A10B95">
      <w:pPr>
        <w:rPr>
          <w:rFonts w:ascii="Times New Roman" w:hAnsi="Times New Roman" w:cs="Times New Roman"/>
          <w:lang w:val="sv-SE"/>
        </w:rPr>
      </w:pPr>
    </w:p>
    <w:p w14:paraId="735DAE67" w14:textId="77777777" w:rsidR="005B44C5" w:rsidRDefault="005B44C5" w:rsidP="005B44C5">
      <w:pPr>
        <w:rPr>
          <w:rFonts w:ascii="Times New Roman" w:hAnsi="Times New Roman" w:cs="Times New Roman"/>
          <w:lang w:val="sv-SE"/>
        </w:rPr>
      </w:pPr>
    </w:p>
    <w:p w14:paraId="6BF88E64" w14:textId="77777777" w:rsidR="005B44C5" w:rsidRDefault="005B44C5" w:rsidP="005B44C5">
      <w:pPr>
        <w:rPr>
          <w:rFonts w:ascii="Times New Roman" w:hAnsi="Times New Roman"/>
        </w:rPr>
      </w:pPr>
      <w:r>
        <w:rPr>
          <w:rFonts w:ascii="Times New Roman" w:hAnsi="Times New Roman"/>
        </w:rPr>
        <w:t>Rengėjas (-ai):</w:t>
      </w:r>
    </w:p>
    <w:p w14:paraId="51B49F8E" w14:textId="77777777" w:rsidR="005B44C5" w:rsidRDefault="005B44C5" w:rsidP="005B44C5">
      <w:pPr>
        <w:rPr>
          <w:rFonts w:ascii="Times New Roman" w:hAnsi="Times New Roman"/>
        </w:rPr>
      </w:pPr>
    </w:p>
    <w:p w14:paraId="1959DA9D" w14:textId="77777777" w:rsidR="005B44C5" w:rsidRDefault="005B44C5" w:rsidP="005B44C5">
      <w:pPr>
        <w:jc w:val="both"/>
        <w:rPr>
          <w:rFonts w:ascii="Calibri" w:hAnsi="Calibri"/>
          <w:sz w:val="22"/>
          <w:szCs w:val="22"/>
        </w:rPr>
      </w:pPr>
      <w:r>
        <w:rPr>
          <w:rFonts w:ascii="Times New Roman" w:hAnsi="Times New Roman"/>
          <w:color w:val="000000"/>
        </w:rPr>
        <w:t xml:space="preserve">LR ambasados Švedijos Karalystėje trečiasis sekretorius Augustinas Uleckas, tel. +46 738014607, </w:t>
      </w:r>
      <w:hyperlink r:id="rId29" w:history="1">
        <w:r>
          <w:rPr>
            <w:rStyle w:val="Hyperlink"/>
            <w:rFonts w:ascii="Times New Roman" w:hAnsi="Times New Roman"/>
          </w:rPr>
          <w:t>augustinas.uleckas@urm.lt</w:t>
        </w:r>
      </w:hyperlink>
      <w:r>
        <w:t xml:space="preserve"> </w:t>
      </w:r>
    </w:p>
    <w:p w14:paraId="78AD8057" w14:textId="77777777" w:rsidR="00A10B95" w:rsidRDefault="00A10B95">
      <w:pPr>
        <w:rPr>
          <w:rFonts w:ascii="Times New Roman" w:hAnsi="Times New Roman" w:cs="Times New Roman"/>
        </w:rPr>
      </w:pPr>
    </w:p>
    <w:p w14:paraId="32BFA06B" w14:textId="6B51A219" w:rsidR="00041D0A" w:rsidRDefault="00041D0A" w:rsidP="00041D0A">
      <w:pPr>
        <w:jc w:val="both"/>
      </w:pPr>
      <w:r>
        <w:rPr>
          <w:rFonts w:ascii="Times New Roman" w:hAnsi="Times New Roman" w:cs="Times New Roman"/>
          <w:b/>
          <w:bCs/>
        </w:rPr>
        <w:t xml:space="preserve">Pastabos: nurodytos piniginės sumos perskaičiuotos pagal kursą 1 EUR = </w:t>
      </w:r>
      <w:r>
        <w:rPr>
          <w:rFonts w:ascii="Times New Roman" w:hAnsi="Times New Roman" w:cs="Times New Roman"/>
          <w:b/>
          <w:bCs/>
          <w:lang w:val="sv-SE"/>
        </w:rPr>
        <w:t>11,3</w:t>
      </w:r>
      <w:r>
        <w:rPr>
          <w:rFonts w:ascii="Times New Roman" w:hAnsi="Times New Roman" w:cs="Times New Roman"/>
          <w:b/>
          <w:bCs/>
          <w:lang w:val="sv-SE"/>
        </w:rPr>
        <w:t>3</w:t>
      </w:r>
      <w:r>
        <w:rPr>
          <w:rFonts w:ascii="Times New Roman" w:hAnsi="Times New Roman" w:cs="Times New Roman"/>
          <w:b/>
          <w:bCs/>
          <w:lang w:val="sv-SE"/>
        </w:rPr>
        <w:t xml:space="preserve"> </w:t>
      </w:r>
      <w:r>
        <w:rPr>
          <w:rFonts w:ascii="Times New Roman" w:hAnsi="Times New Roman" w:cs="Times New Roman"/>
          <w:b/>
          <w:bCs/>
        </w:rPr>
        <w:t>SEK</w:t>
      </w:r>
    </w:p>
    <w:p w14:paraId="476D54EB" w14:textId="77777777" w:rsidR="00041D0A" w:rsidRPr="00A10B95" w:rsidRDefault="00041D0A">
      <w:pPr>
        <w:rPr>
          <w:rFonts w:ascii="Times New Roman" w:hAnsi="Times New Roman" w:cs="Times New Roman"/>
        </w:rPr>
      </w:pPr>
    </w:p>
    <w:sectPr w:rsidR="00041D0A" w:rsidRPr="00A10B95" w:rsidSect="009127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178E"/>
    <w:multiLevelType w:val="hybridMultilevel"/>
    <w:tmpl w:val="21F659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4D42B76"/>
    <w:multiLevelType w:val="hybridMultilevel"/>
    <w:tmpl w:val="438A9A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7EA696E"/>
    <w:multiLevelType w:val="hybridMultilevel"/>
    <w:tmpl w:val="D7C66A6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7E292D2B"/>
    <w:multiLevelType w:val="hybridMultilevel"/>
    <w:tmpl w:val="865E493E"/>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869221378">
    <w:abstractNumId w:val="0"/>
  </w:num>
  <w:num w:numId="2" w16cid:durableId="119687017">
    <w:abstractNumId w:val="1"/>
  </w:num>
  <w:num w:numId="3" w16cid:durableId="1868986566">
    <w:abstractNumId w:val="2"/>
  </w:num>
  <w:num w:numId="4" w16cid:durableId="11863345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D"/>
    <w:rsid w:val="00041D0A"/>
    <w:rsid w:val="00047C25"/>
    <w:rsid w:val="00054251"/>
    <w:rsid w:val="0007491E"/>
    <w:rsid w:val="000900B1"/>
    <w:rsid w:val="000A221F"/>
    <w:rsid w:val="000A74BB"/>
    <w:rsid w:val="00123D7C"/>
    <w:rsid w:val="00152C4B"/>
    <w:rsid w:val="00155C65"/>
    <w:rsid w:val="00172073"/>
    <w:rsid w:val="001A6DB6"/>
    <w:rsid w:val="001C6935"/>
    <w:rsid w:val="001D3749"/>
    <w:rsid w:val="0022476C"/>
    <w:rsid w:val="00250E1B"/>
    <w:rsid w:val="00277D95"/>
    <w:rsid w:val="002B090C"/>
    <w:rsid w:val="002B77B0"/>
    <w:rsid w:val="002F17C3"/>
    <w:rsid w:val="00324145"/>
    <w:rsid w:val="003417DA"/>
    <w:rsid w:val="003435C3"/>
    <w:rsid w:val="00385A6A"/>
    <w:rsid w:val="00395F77"/>
    <w:rsid w:val="004C071B"/>
    <w:rsid w:val="004F2D5D"/>
    <w:rsid w:val="00503200"/>
    <w:rsid w:val="005215CF"/>
    <w:rsid w:val="00530D0C"/>
    <w:rsid w:val="0058576B"/>
    <w:rsid w:val="005B1278"/>
    <w:rsid w:val="005B44C5"/>
    <w:rsid w:val="005E7558"/>
    <w:rsid w:val="00602839"/>
    <w:rsid w:val="006045EE"/>
    <w:rsid w:val="00641646"/>
    <w:rsid w:val="006718FA"/>
    <w:rsid w:val="006750CD"/>
    <w:rsid w:val="006A68F8"/>
    <w:rsid w:val="006C559C"/>
    <w:rsid w:val="006D6425"/>
    <w:rsid w:val="006E1517"/>
    <w:rsid w:val="00717E79"/>
    <w:rsid w:val="0073797F"/>
    <w:rsid w:val="007405A9"/>
    <w:rsid w:val="007727BF"/>
    <w:rsid w:val="0079096C"/>
    <w:rsid w:val="007C3B28"/>
    <w:rsid w:val="007F4633"/>
    <w:rsid w:val="00832FFF"/>
    <w:rsid w:val="00883E43"/>
    <w:rsid w:val="008A74ED"/>
    <w:rsid w:val="008D361B"/>
    <w:rsid w:val="008F0BE1"/>
    <w:rsid w:val="00912705"/>
    <w:rsid w:val="00927653"/>
    <w:rsid w:val="00927697"/>
    <w:rsid w:val="00935660"/>
    <w:rsid w:val="009571FD"/>
    <w:rsid w:val="00970B7C"/>
    <w:rsid w:val="00A10B95"/>
    <w:rsid w:val="00A72DD8"/>
    <w:rsid w:val="00B50313"/>
    <w:rsid w:val="00B60B70"/>
    <w:rsid w:val="00B620E5"/>
    <w:rsid w:val="00B71FCD"/>
    <w:rsid w:val="00B74570"/>
    <w:rsid w:val="00B74B65"/>
    <w:rsid w:val="00C1523C"/>
    <w:rsid w:val="00C87C9F"/>
    <w:rsid w:val="00CD0A59"/>
    <w:rsid w:val="00CD2AD2"/>
    <w:rsid w:val="00D214D9"/>
    <w:rsid w:val="00D41391"/>
    <w:rsid w:val="00D56B07"/>
    <w:rsid w:val="00D62CEB"/>
    <w:rsid w:val="00D95D29"/>
    <w:rsid w:val="00D96FDC"/>
    <w:rsid w:val="00DA3134"/>
    <w:rsid w:val="00DB110C"/>
    <w:rsid w:val="00DC42EF"/>
    <w:rsid w:val="00DC4A02"/>
    <w:rsid w:val="00DD6260"/>
    <w:rsid w:val="00DF2BBA"/>
    <w:rsid w:val="00E512D2"/>
    <w:rsid w:val="00E63DE1"/>
    <w:rsid w:val="00E8148E"/>
    <w:rsid w:val="00E843B3"/>
    <w:rsid w:val="00E975DE"/>
    <w:rsid w:val="00EA6F3F"/>
    <w:rsid w:val="00EC6525"/>
    <w:rsid w:val="00ED2BC0"/>
    <w:rsid w:val="00F17F75"/>
    <w:rsid w:val="00F62F56"/>
    <w:rsid w:val="00FB3252"/>
    <w:rsid w:val="00FC4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BBB"/>
  <w15:chartTrackingRefBased/>
  <w15:docId w15:val="{88CC0289-00CC-8F46-BBD3-4634DC37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71FD"/>
  </w:style>
  <w:style w:type="character" w:styleId="Hyperlink">
    <w:name w:val="Hyperlink"/>
    <w:basedOn w:val="DefaultParagraphFont"/>
    <w:uiPriority w:val="99"/>
    <w:unhideWhenUsed/>
    <w:rsid w:val="00CD2AD2"/>
    <w:rPr>
      <w:color w:val="0563C1" w:themeColor="hyperlink"/>
      <w:u w:val="single"/>
    </w:rPr>
  </w:style>
  <w:style w:type="character" w:styleId="UnresolvedMention">
    <w:name w:val="Unresolved Mention"/>
    <w:basedOn w:val="DefaultParagraphFont"/>
    <w:uiPriority w:val="99"/>
    <w:semiHidden/>
    <w:unhideWhenUsed/>
    <w:rsid w:val="00CD2AD2"/>
    <w:rPr>
      <w:color w:val="605E5C"/>
      <w:shd w:val="clear" w:color="auto" w:fill="E1DFDD"/>
    </w:rPr>
  </w:style>
  <w:style w:type="character" w:styleId="FollowedHyperlink">
    <w:name w:val="FollowedHyperlink"/>
    <w:basedOn w:val="DefaultParagraphFont"/>
    <w:uiPriority w:val="99"/>
    <w:semiHidden/>
    <w:unhideWhenUsed/>
    <w:rsid w:val="0058576B"/>
    <w:rPr>
      <w:color w:val="954F72" w:themeColor="followedHyperlink"/>
      <w:u w:val="single"/>
    </w:rPr>
  </w:style>
  <w:style w:type="paragraph" w:styleId="NormalWeb">
    <w:name w:val="Normal (Web)"/>
    <w:basedOn w:val="Normal"/>
    <w:uiPriority w:val="99"/>
    <w:unhideWhenUsed/>
    <w:rsid w:val="007727B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7727BF"/>
    <w:rPr>
      <w:b/>
      <w:bCs/>
    </w:rPr>
  </w:style>
  <w:style w:type="paragraph" w:styleId="ListParagraph">
    <w:name w:val="List Paragraph"/>
    <w:basedOn w:val="Normal"/>
    <w:uiPriority w:val="34"/>
    <w:qFormat/>
    <w:rsid w:val="005B44C5"/>
    <w:pPr>
      <w:spacing w:before="100" w:beforeAutospacing="1" w:after="100" w:afterAutospacing="1"/>
    </w:pPr>
    <w:rPr>
      <w:rFonts w:ascii="Times New Roman" w:hAnsi="Times New Roman" w:cs="Times New Roman"/>
      <w:kern w:val="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8641">
      <w:bodyDiv w:val="1"/>
      <w:marLeft w:val="0"/>
      <w:marRight w:val="0"/>
      <w:marTop w:val="0"/>
      <w:marBottom w:val="0"/>
      <w:divBdr>
        <w:top w:val="none" w:sz="0" w:space="0" w:color="auto"/>
        <w:left w:val="none" w:sz="0" w:space="0" w:color="auto"/>
        <w:bottom w:val="none" w:sz="0" w:space="0" w:color="auto"/>
        <w:right w:val="none" w:sz="0" w:space="0" w:color="auto"/>
      </w:divBdr>
    </w:div>
    <w:div w:id="84813016">
      <w:bodyDiv w:val="1"/>
      <w:marLeft w:val="0"/>
      <w:marRight w:val="0"/>
      <w:marTop w:val="0"/>
      <w:marBottom w:val="0"/>
      <w:divBdr>
        <w:top w:val="none" w:sz="0" w:space="0" w:color="auto"/>
        <w:left w:val="none" w:sz="0" w:space="0" w:color="auto"/>
        <w:bottom w:val="none" w:sz="0" w:space="0" w:color="auto"/>
        <w:right w:val="none" w:sz="0" w:space="0" w:color="auto"/>
      </w:divBdr>
    </w:div>
    <w:div w:id="175268140">
      <w:bodyDiv w:val="1"/>
      <w:marLeft w:val="0"/>
      <w:marRight w:val="0"/>
      <w:marTop w:val="0"/>
      <w:marBottom w:val="0"/>
      <w:divBdr>
        <w:top w:val="none" w:sz="0" w:space="0" w:color="auto"/>
        <w:left w:val="none" w:sz="0" w:space="0" w:color="auto"/>
        <w:bottom w:val="none" w:sz="0" w:space="0" w:color="auto"/>
        <w:right w:val="none" w:sz="0" w:space="0" w:color="auto"/>
      </w:divBdr>
    </w:div>
    <w:div w:id="263730835">
      <w:bodyDiv w:val="1"/>
      <w:marLeft w:val="0"/>
      <w:marRight w:val="0"/>
      <w:marTop w:val="0"/>
      <w:marBottom w:val="0"/>
      <w:divBdr>
        <w:top w:val="none" w:sz="0" w:space="0" w:color="auto"/>
        <w:left w:val="none" w:sz="0" w:space="0" w:color="auto"/>
        <w:bottom w:val="none" w:sz="0" w:space="0" w:color="auto"/>
        <w:right w:val="none" w:sz="0" w:space="0" w:color="auto"/>
      </w:divBdr>
    </w:div>
    <w:div w:id="277298127">
      <w:bodyDiv w:val="1"/>
      <w:marLeft w:val="0"/>
      <w:marRight w:val="0"/>
      <w:marTop w:val="0"/>
      <w:marBottom w:val="0"/>
      <w:divBdr>
        <w:top w:val="none" w:sz="0" w:space="0" w:color="auto"/>
        <w:left w:val="none" w:sz="0" w:space="0" w:color="auto"/>
        <w:bottom w:val="none" w:sz="0" w:space="0" w:color="auto"/>
        <w:right w:val="none" w:sz="0" w:space="0" w:color="auto"/>
      </w:divBdr>
    </w:div>
    <w:div w:id="312217061">
      <w:bodyDiv w:val="1"/>
      <w:marLeft w:val="0"/>
      <w:marRight w:val="0"/>
      <w:marTop w:val="0"/>
      <w:marBottom w:val="0"/>
      <w:divBdr>
        <w:top w:val="none" w:sz="0" w:space="0" w:color="auto"/>
        <w:left w:val="none" w:sz="0" w:space="0" w:color="auto"/>
        <w:bottom w:val="none" w:sz="0" w:space="0" w:color="auto"/>
        <w:right w:val="none" w:sz="0" w:space="0" w:color="auto"/>
      </w:divBdr>
    </w:div>
    <w:div w:id="415172360">
      <w:bodyDiv w:val="1"/>
      <w:marLeft w:val="0"/>
      <w:marRight w:val="0"/>
      <w:marTop w:val="0"/>
      <w:marBottom w:val="0"/>
      <w:divBdr>
        <w:top w:val="none" w:sz="0" w:space="0" w:color="auto"/>
        <w:left w:val="none" w:sz="0" w:space="0" w:color="auto"/>
        <w:bottom w:val="none" w:sz="0" w:space="0" w:color="auto"/>
        <w:right w:val="none" w:sz="0" w:space="0" w:color="auto"/>
      </w:divBdr>
    </w:div>
    <w:div w:id="514151767">
      <w:bodyDiv w:val="1"/>
      <w:marLeft w:val="0"/>
      <w:marRight w:val="0"/>
      <w:marTop w:val="0"/>
      <w:marBottom w:val="0"/>
      <w:divBdr>
        <w:top w:val="none" w:sz="0" w:space="0" w:color="auto"/>
        <w:left w:val="none" w:sz="0" w:space="0" w:color="auto"/>
        <w:bottom w:val="none" w:sz="0" w:space="0" w:color="auto"/>
        <w:right w:val="none" w:sz="0" w:space="0" w:color="auto"/>
      </w:divBdr>
    </w:div>
    <w:div w:id="655961077">
      <w:bodyDiv w:val="1"/>
      <w:marLeft w:val="0"/>
      <w:marRight w:val="0"/>
      <w:marTop w:val="0"/>
      <w:marBottom w:val="0"/>
      <w:divBdr>
        <w:top w:val="none" w:sz="0" w:space="0" w:color="auto"/>
        <w:left w:val="none" w:sz="0" w:space="0" w:color="auto"/>
        <w:bottom w:val="none" w:sz="0" w:space="0" w:color="auto"/>
        <w:right w:val="none" w:sz="0" w:space="0" w:color="auto"/>
      </w:divBdr>
    </w:div>
    <w:div w:id="706217815">
      <w:bodyDiv w:val="1"/>
      <w:marLeft w:val="0"/>
      <w:marRight w:val="0"/>
      <w:marTop w:val="0"/>
      <w:marBottom w:val="0"/>
      <w:divBdr>
        <w:top w:val="none" w:sz="0" w:space="0" w:color="auto"/>
        <w:left w:val="none" w:sz="0" w:space="0" w:color="auto"/>
        <w:bottom w:val="none" w:sz="0" w:space="0" w:color="auto"/>
        <w:right w:val="none" w:sz="0" w:space="0" w:color="auto"/>
      </w:divBdr>
    </w:div>
    <w:div w:id="818614342">
      <w:bodyDiv w:val="1"/>
      <w:marLeft w:val="0"/>
      <w:marRight w:val="0"/>
      <w:marTop w:val="0"/>
      <w:marBottom w:val="0"/>
      <w:divBdr>
        <w:top w:val="none" w:sz="0" w:space="0" w:color="auto"/>
        <w:left w:val="none" w:sz="0" w:space="0" w:color="auto"/>
        <w:bottom w:val="none" w:sz="0" w:space="0" w:color="auto"/>
        <w:right w:val="none" w:sz="0" w:space="0" w:color="auto"/>
      </w:divBdr>
    </w:div>
    <w:div w:id="1152792838">
      <w:bodyDiv w:val="1"/>
      <w:marLeft w:val="0"/>
      <w:marRight w:val="0"/>
      <w:marTop w:val="0"/>
      <w:marBottom w:val="0"/>
      <w:divBdr>
        <w:top w:val="none" w:sz="0" w:space="0" w:color="auto"/>
        <w:left w:val="none" w:sz="0" w:space="0" w:color="auto"/>
        <w:bottom w:val="none" w:sz="0" w:space="0" w:color="auto"/>
        <w:right w:val="none" w:sz="0" w:space="0" w:color="auto"/>
      </w:divBdr>
    </w:div>
    <w:div w:id="1192181694">
      <w:bodyDiv w:val="1"/>
      <w:marLeft w:val="0"/>
      <w:marRight w:val="0"/>
      <w:marTop w:val="0"/>
      <w:marBottom w:val="0"/>
      <w:divBdr>
        <w:top w:val="none" w:sz="0" w:space="0" w:color="auto"/>
        <w:left w:val="none" w:sz="0" w:space="0" w:color="auto"/>
        <w:bottom w:val="none" w:sz="0" w:space="0" w:color="auto"/>
        <w:right w:val="none" w:sz="0" w:space="0" w:color="auto"/>
      </w:divBdr>
    </w:div>
    <w:div w:id="1322730174">
      <w:bodyDiv w:val="1"/>
      <w:marLeft w:val="0"/>
      <w:marRight w:val="0"/>
      <w:marTop w:val="0"/>
      <w:marBottom w:val="0"/>
      <w:divBdr>
        <w:top w:val="none" w:sz="0" w:space="0" w:color="auto"/>
        <w:left w:val="none" w:sz="0" w:space="0" w:color="auto"/>
        <w:bottom w:val="none" w:sz="0" w:space="0" w:color="auto"/>
        <w:right w:val="none" w:sz="0" w:space="0" w:color="auto"/>
      </w:divBdr>
    </w:div>
    <w:div w:id="1324747060">
      <w:bodyDiv w:val="1"/>
      <w:marLeft w:val="0"/>
      <w:marRight w:val="0"/>
      <w:marTop w:val="0"/>
      <w:marBottom w:val="0"/>
      <w:divBdr>
        <w:top w:val="none" w:sz="0" w:space="0" w:color="auto"/>
        <w:left w:val="none" w:sz="0" w:space="0" w:color="auto"/>
        <w:bottom w:val="none" w:sz="0" w:space="0" w:color="auto"/>
        <w:right w:val="none" w:sz="0" w:space="0" w:color="auto"/>
      </w:divBdr>
    </w:div>
    <w:div w:id="1703045335">
      <w:bodyDiv w:val="1"/>
      <w:marLeft w:val="0"/>
      <w:marRight w:val="0"/>
      <w:marTop w:val="0"/>
      <w:marBottom w:val="0"/>
      <w:divBdr>
        <w:top w:val="none" w:sz="0" w:space="0" w:color="auto"/>
        <w:left w:val="none" w:sz="0" w:space="0" w:color="auto"/>
        <w:bottom w:val="none" w:sz="0" w:space="0" w:color="auto"/>
        <w:right w:val="none" w:sz="0" w:space="0" w:color="auto"/>
      </w:divBdr>
    </w:div>
    <w:div w:id="1895464615">
      <w:bodyDiv w:val="1"/>
      <w:marLeft w:val="0"/>
      <w:marRight w:val="0"/>
      <w:marTop w:val="0"/>
      <w:marBottom w:val="0"/>
      <w:divBdr>
        <w:top w:val="none" w:sz="0" w:space="0" w:color="auto"/>
        <w:left w:val="none" w:sz="0" w:space="0" w:color="auto"/>
        <w:bottom w:val="none" w:sz="0" w:space="0" w:color="auto"/>
        <w:right w:val="none" w:sz="0" w:space="0" w:color="auto"/>
      </w:divBdr>
    </w:div>
    <w:div w:id="1934361359">
      <w:bodyDiv w:val="1"/>
      <w:marLeft w:val="0"/>
      <w:marRight w:val="0"/>
      <w:marTop w:val="0"/>
      <w:marBottom w:val="0"/>
      <w:divBdr>
        <w:top w:val="none" w:sz="0" w:space="0" w:color="auto"/>
        <w:left w:val="none" w:sz="0" w:space="0" w:color="auto"/>
        <w:bottom w:val="none" w:sz="0" w:space="0" w:color="auto"/>
        <w:right w:val="none" w:sz="0" w:space="0" w:color="auto"/>
      </w:divBdr>
    </w:div>
    <w:div w:id="20019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se/ekonomi/ica-satsar-en-miljard-pa-att-bli-billigare/" TargetMode="External"/><Relationship Id="rId13" Type="http://schemas.openxmlformats.org/officeDocument/2006/relationships/hyperlink" Target="https://www.svd.se/a/bgpaQ3/hoten-mot-svensk-elforsorjning-risken-for-en-omfattande-attack?utm_medium=email&amp;_hsmi=289426000&amp;_hsenc=p2ANqtz-8YCjWVnUtT7sZDZykqyzoQZngw6YZIoEOnvo-uzKeisvtUATuP0BOd31Fnp_U3EvK75JnLR3qurZuUKmkQXVj6DcVQ-JpUdaWSnjFO0rev2Ximxlk&amp;utm_content=289426000&amp;utm_source=hs_email" TargetMode="External"/><Relationship Id="rId18" Type="http://schemas.openxmlformats.org/officeDocument/2006/relationships/hyperlink" Target="https://www.svk.se/press-och-nyheter/press/svenska-kraftnat-skruvar-upp-elforbrukningen-i-nya-analyser---3410239/" TargetMode="External"/><Relationship Id="rId26" Type="http://schemas.openxmlformats.org/officeDocument/2006/relationships/hyperlink" Target="https://docs.nordeamarkets.com/nordea-economic-outlook/economic-outlook-2024/eo-se-01-2024/?page=34" TargetMode="External"/><Relationship Id="rId3" Type="http://schemas.openxmlformats.org/officeDocument/2006/relationships/styles" Target="styles.xml"/><Relationship Id="rId21" Type="http://schemas.openxmlformats.org/officeDocument/2006/relationships/hyperlink" Target="https://www.sbab.se/download/18.4d66a18118c67d2da97d68/1704112126503/240102_SBAB_Pressmeddelande%20HPI%20december%202023%20inkl.%20tabeller%20och%20diagram.pdf?utm_medium=email&amp;_hsmi=288452628&amp;_hsenc=p2ANqtz-8TEwzrR2y9wx9k3aNWpfcitMxwVzPtZIqt3Fvm-zVeEg7xSBaMS3_8ssmQ0w5kLDaORadeu1wF6ZQlRLpE0t_os2Lhuw&amp;utm_content=288452628&amp;utm_source=hs_email" TargetMode="External"/><Relationship Id="rId7" Type="http://schemas.openxmlformats.org/officeDocument/2006/relationships/hyperlink" Target="https://www.ystadsallehanda.se/sjobo/anlaggning-i-sjobo-drabbad-av-fagelinfluensa/?utm_medium=email&amp;_hsmi=289240192&amp;_hsenc=p2ANqtz-8JHeFttd5HoaNe9rvHaJT3Bwh3NNWqAqMRcqYzePofZtI-8bMeNIQv1Z5N7egOWI-A7y99hjqv1y0rlGIIqBHfTJ9FPGNwcxeSwxG5avfKIuVR3w8&amp;utm_content=289240192&amp;utm_source=hs_email" TargetMode="External"/><Relationship Id="rId12" Type="http://schemas.openxmlformats.org/officeDocument/2006/relationships/hyperlink" Target="https://techarena.se/speakers/" TargetMode="External"/><Relationship Id="rId17" Type="http://schemas.openxmlformats.org/officeDocument/2006/relationships/hyperlink" Target="https://northvolt.com/articles/northvolt-financing-january2024/" TargetMode="External"/><Relationship Id="rId25" Type="http://schemas.openxmlformats.org/officeDocument/2006/relationships/hyperlink" Target="https://www.regeringen.se/pressmeddelanden/2024/01/pressbriefing-med-finansminister-elisabeth-svantesson-om-det-ekonomiska-laget/" TargetMode="External"/><Relationship Id="rId2" Type="http://schemas.openxmlformats.org/officeDocument/2006/relationships/numbering" Target="numbering.xml"/><Relationship Id="rId16" Type="http://schemas.openxmlformats.org/officeDocument/2006/relationships/hyperlink" Target="https://www.dn.se/ekonomi/vindkraftspark-till-havs-byggs-vidare-utan-statligt-stod/?utm_medium=email&amp;_hsmi=289426000&amp;_hsenc=p2ANqtz-8AsPha-_TSOKO00xcHmAo1JWVyYY6W4S9smZ2ekbDPdFTpv9vIBFuhVGZQq6DuLEdRJVwQlGVULHcSQBn-RfXvjjeuXqVXdvelhYCaIcK0Nz5peh0&amp;utm_content=289426000&amp;utm_source=hs_email" TargetMode="External"/><Relationship Id="rId20" Type="http://schemas.openxmlformats.org/officeDocument/2006/relationships/hyperlink" Target="https://www.svd.se/a/gE8POk/hogsta-antalet-konkurser-sedan-90-talet?utm_medium=email&amp;_hsmi=288452628&amp;_hsenc=p2ANqtz-_UM1llgf2u8kVlRuHb-1tVh1-p9917zqwhyagtKaq5YFjHwXxgOKh1utJh4CVF84SNEOJxopVfHbZ08aZNkTEPzuXkbg&amp;utm_content=288452628&amp;utm_source=hs_email" TargetMode="External"/><Relationship Id="rId29" Type="http://schemas.openxmlformats.org/officeDocument/2006/relationships/hyperlink" Target="mailto:augustinas.uleckas@urm.lt" TargetMode="External"/><Relationship Id="rId1" Type="http://schemas.openxmlformats.org/officeDocument/2006/relationships/customXml" Target="../customXml/item1.xml"/><Relationship Id="rId6" Type="http://schemas.openxmlformats.org/officeDocument/2006/relationships/hyperlink" Target="https://www.svd.se/a/3E2jn0/industrin-bromsade-in-i-december?utm_medium=email&amp;_hsmi=288575097&amp;_hsenc=p2ANqtz-8lOUXhLBcPoeYUGMiGLRTAPJgq9cEjWI1ra1_Gq3_I4XECWQ6NDpcCrWlO8FPHLQg6sSLaYl1uFhqNxQq4-0F-SdXDEnkyDgz7qjXKRVYGGgFtu7o&amp;utm_content=288575097&amp;utm_source=hs_email" TargetMode="External"/><Relationship Id="rId11" Type="http://schemas.openxmlformats.org/officeDocument/2006/relationships/hyperlink" Target="https://www.gstcouncil.org/gstc2024sweden" TargetMode="External"/><Relationship Id="rId24" Type="http://schemas.openxmlformats.org/officeDocument/2006/relationships/hyperlink" Target="https://tt.omni.se/svantesson-om-bankernas-utdelningar-orimligt/a/4o2pXG?utm_medium=email&amp;_hsmi=289985014&amp;_hsenc=p2ANqtz--CgRKqkj6ByEj2hj0MElvQ_aBZhiJWG1mNvk6kjC78BPOvO5hg5K4Mtrz79SkgzXM1W-tPVP52Zk7-1M2k9P88scCwwA&amp;utm_content=289985014&amp;utm_source=hs_email" TargetMode="External"/><Relationship Id="rId5" Type="http://schemas.openxmlformats.org/officeDocument/2006/relationships/webSettings" Target="webSettings.xml"/><Relationship Id="rId15" Type="http://schemas.openxmlformats.org/officeDocument/2006/relationships/hyperlink" Target="https://www.regeringen.se/pressmeddelanden/2024/01/carl-berglof-utses-till-nationell-karnkraftssamordnare/" TargetMode="External"/><Relationship Id="rId23" Type="http://schemas.openxmlformats.org/officeDocument/2006/relationships/hyperlink" Target="https://tt.omni.se/svantesson-kritisk-till-bankernas-miljardregn/a/4o9JMa?utm_medium=email&amp;_hsmi=291541561&amp;_hsenc=p2ANqtz-85Jxlxt-ZGwOcWhp92zgqerWNODX7hGwSskzBxlDcS7DZGFEEREaMibvG6lhtGTvZ2x0AxpwXgIDN2JnblFVWPpV6tFLEOAxh8YAvz5WCDSFwZXt8&amp;utm_content=291541561&amp;utm_source=hs_email" TargetMode="External"/><Relationship Id="rId28" Type="http://schemas.openxmlformats.org/officeDocument/2006/relationships/hyperlink" Target="https://www.handelsbanken.se/tron/public/info/contents/v1/document/32-99686" TargetMode="External"/><Relationship Id="rId10" Type="http://schemas.openxmlformats.org/officeDocument/2006/relationships/hyperlink" Target="https://www.di.se/live/finlandskt-byggbolag-lamnar-sverige-beror-125-anstallda/?utm_medium=email&amp;_hsmi=289240192&amp;_hsenc=p2ANqtz-_axpTPZ6rgrd2o3pTbzAJ8o5V_HIRoETxGhW38e1YE4ACLSkVc4NIyZFQ7O2N9tiH-AE3rfUxbq2aKeuqM-7ClR8MQBvp3oBubBLQYUjBf0xDpQus&amp;utm_content=289240192&amp;utm_source=hs_email" TargetMode="External"/><Relationship Id="rId19" Type="http://schemas.openxmlformats.org/officeDocument/2006/relationships/hyperlink" Target="https://www.portsofstockholm.com/about-us/news/2024/government-gives-green-light-for-three-ports-of-stockholm-eu-grant-applicati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newsdesk.com/se/klimatbyraan/pressreleases/ny-kartlaeggning-antalet-elbilsladdare-i-kommunerna-klart-laegre-aen-eu-s-rekommendation-3297865?utm_campaign=Alert&amp;utm_medium=email&amp;_hsmi=291220626&amp;_hsenc=p2ANqtz-_5UP9WHaD-4UPEFJsiaT7KRLpdSWFDyMg7yB7JL5HfY5gbdWVf9BUHKX2V0yELjhfU9namtt9X3XtfB1I1_v1fz39D2YRufSPsc3ql59vlUPxOaEQ&amp;utm_content=291220626&amp;utm_source=hs_email" TargetMode="External"/><Relationship Id="rId14" Type="http://schemas.openxmlformats.org/officeDocument/2006/relationships/hyperlink" Target="https://www.svt.se/nyheter/snabbkollen/karnkraft-kan-bli-dyrare-an-raknat?utm_medium=email&amp;_hsmi=290297657&amp;_hsenc=p2ANqtz-8vFLUOJN1k_AhZJEwbbn2WKmbRlVzx7VSRwpa3oQ_1NCBowecI2aHHT1WgTLrk3TrkNTMVyf7y6QDUgd6UGb0a7HIrmkTiayHcmHYMhjU943c7mNU&amp;utm_content=290297657&amp;utm_source=hs_email" TargetMode="External"/><Relationship Id="rId22" Type="http://schemas.openxmlformats.org/officeDocument/2006/relationships/hyperlink" Target="https://www.regeringen.se/contentassets/9a76c50d1688481ab78f2c6094f7f1f6/viktigare-lagar-och-forordningar-infor-arsskiftet-2023-2024.pdf?utm_medium=email&amp;_hsmi=288452628&amp;_hsenc=p2ANqtz--3pSUTOfDt4WFP5M5XxCZLUXGWcFQZPbAMpuFPsgjxJHTlcjU0ihtMgJEAG9mGEMd3Z5RMO7k7h4AzmpEzDmyk4HCzag&amp;utm_content=288452628&amp;utm_source=hs_email" TargetMode="External"/><Relationship Id="rId27" Type="http://schemas.openxmlformats.org/officeDocument/2006/relationships/hyperlink" Target="https://sebgroup.com/our-offering/reports-and-publications/nordic-outlook-highligh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7430-EA57-4C03-AA6D-3DF86DAB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14458</Words>
  <Characters>8242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Viltė Pranckūnaitė</dc:creator>
  <cp:keywords/>
  <dc:description/>
  <cp:lastModifiedBy>Augustinas Uleckas</cp:lastModifiedBy>
  <cp:revision>2</cp:revision>
  <dcterms:created xsi:type="dcterms:W3CDTF">2024-02-02T09:59:00Z</dcterms:created>
  <dcterms:modified xsi:type="dcterms:W3CDTF">2024-02-02T09:59:00Z</dcterms:modified>
</cp:coreProperties>
</file>