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34C2" w14:textId="77777777" w:rsidR="00AA3CE3" w:rsidRPr="00EF0BB5" w:rsidRDefault="00AA3CE3" w:rsidP="00AA3CE3">
      <w:pPr>
        <w:spacing w:after="0" w:line="240" w:lineRule="auto"/>
        <w:ind w:left="5103"/>
        <w:rPr>
          <w:rFonts w:ascii="Times New Roman" w:hAnsi="Times New Roman"/>
          <w:sz w:val="24"/>
          <w:szCs w:val="24"/>
        </w:rPr>
      </w:pPr>
      <w:r w:rsidRPr="00EF0BB5">
        <w:rPr>
          <w:rFonts w:ascii="Times New Roman" w:hAnsi="Times New Roman"/>
          <w:sz w:val="24"/>
          <w:szCs w:val="24"/>
        </w:rPr>
        <w:t>Lietuvos Respublikos diplomatinių atstovybių, konsulinių įstaigų ir specialiųjų misijų ekonominių funkcijų vykdymo tvarkos aprašo</w:t>
      </w:r>
    </w:p>
    <w:p w14:paraId="5DFFB950" w14:textId="77777777" w:rsidR="00AA3CE3" w:rsidRPr="00EF0BB5" w:rsidRDefault="00AA3CE3" w:rsidP="00AA3CE3">
      <w:pPr>
        <w:spacing w:after="0" w:line="240" w:lineRule="auto"/>
        <w:ind w:firstLine="5103"/>
        <w:rPr>
          <w:rFonts w:ascii="Times New Roman" w:hAnsi="Times New Roman"/>
          <w:sz w:val="24"/>
          <w:szCs w:val="24"/>
        </w:rPr>
      </w:pPr>
      <w:r w:rsidRPr="00EF0BB5">
        <w:rPr>
          <w:rFonts w:ascii="Times New Roman" w:hAnsi="Times New Roman"/>
          <w:sz w:val="24"/>
          <w:szCs w:val="24"/>
        </w:rPr>
        <w:t xml:space="preserve">3 priedas </w:t>
      </w:r>
    </w:p>
    <w:p w14:paraId="36750CCE" w14:textId="77777777" w:rsidR="00AA3CE3" w:rsidRPr="00EF0BB5" w:rsidRDefault="00AA3CE3" w:rsidP="00AA3CE3">
      <w:pPr>
        <w:spacing w:after="0" w:line="240" w:lineRule="auto"/>
        <w:ind w:firstLine="5103"/>
        <w:rPr>
          <w:rFonts w:ascii="Times New Roman" w:hAnsi="Times New Roman"/>
          <w:sz w:val="24"/>
          <w:szCs w:val="24"/>
        </w:rPr>
      </w:pPr>
    </w:p>
    <w:p w14:paraId="12E23326" w14:textId="20DCB229" w:rsidR="00AA3CE3" w:rsidRPr="00EF0BB5" w:rsidRDefault="00AA3CE3" w:rsidP="00AA3CE3">
      <w:pPr>
        <w:spacing w:after="0" w:line="240" w:lineRule="auto"/>
        <w:jc w:val="center"/>
        <w:rPr>
          <w:rFonts w:ascii="Times New Roman" w:hAnsi="Times New Roman"/>
          <w:b/>
          <w:sz w:val="24"/>
          <w:szCs w:val="24"/>
        </w:rPr>
      </w:pPr>
      <w:r w:rsidRPr="00EF0BB5">
        <w:rPr>
          <w:rFonts w:ascii="Times New Roman" w:hAnsi="Times New Roman"/>
          <w:b/>
          <w:sz w:val="24"/>
          <w:szCs w:val="24"/>
        </w:rPr>
        <w:t>Lietuvos Respublikos ambasada Australijoje ir Naujajai Zelandijai</w:t>
      </w:r>
    </w:p>
    <w:p w14:paraId="0AD0FAD2" w14:textId="77777777" w:rsidR="00AA3CE3" w:rsidRPr="00EF0BB5" w:rsidRDefault="00AA3CE3" w:rsidP="00AA3CE3">
      <w:pPr>
        <w:spacing w:after="0" w:line="240" w:lineRule="auto"/>
        <w:jc w:val="center"/>
        <w:rPr>
          <w:rFonts w:ascii="Times New Roman" w:hAnsi="Times New Roman"/>
          <w:sz w:val="24"/>
          <w:szCs w:val="24"/>
        </w:rPr>
      </w:pPr>
      <w:r w:rsidRPr="00EF0BB5">
        <w:rPr>
          <w:rFonts w:ascii="Times New Roman" w:hAnsi="Times New Roman"/>
          <w:sz w:val="24"/>
          <w:szCs w:val="24"/>
        </w:rPr>
        <w:t>_____________________________________________________________________________</w:t>
      </w:r>
    </w:p>
    <w:p w14:paraId="0E32FEBE" w14:textId="77777777" w:rsidR="00AA3CE3" w:rsidRPr="00EF0BB5" w:rsidRDefault="00AA3CE3" w:rsidP="00AA3CE3">
      <w:pPr>
        <w:spacing w:after="0" w:line="240" w:lineRule="auto"/>
        <w:jc w:val="center"/>
        <w:rPr>
          <w:rFonts w:ascii="Times New Roman" w:hAnsi="Times New Roman"/>
          <w:sz w:val="24"/>
          <w:szCs w:val="24"/>
        </w:rPr>
      </w:pPr>
      <w:r w:rsidRPr="00EF0BB5">
        <w:rPr>
          <w:rFonts w:ascii="Times New Roman" w:hAnsi="Times New Roman"/>
          <w:sz w:val="24"/>
          <w:szCs w:val="24"/>
        </w:rPr>
        <w:t xml:space="preserve">(Lietuvos Respublikos diplomatinės atstovybės, konsulinės įstaigos ar specialiosios misijos pavadinimas) </w:t>
      </w:r>
    </w:p>
    <w:p w14:paraId="55637831" w14:textId="77777777" w:rsidR="00AA3CE3" w:rsidRPr="00EF0BB5" w:rsidRDefault="00AA3CE3" w:rsidP="00AA3CE3">
      <w:pPr>
        <w:spacing w:after="0" w:line="240" w:lineRule="auto"/>
        <w:jc w:val="center"/>
        <w:rPr>
          <w:rFonts w:ascii="Times New Roman" w:hAnsi="Times New Roman"/>
          <w:sz w:val="24"/>
          <w:szCs w:val="24"/>
        </w:rPr>
      </w:pPr>
    </w:p>
    <w:p w14:paraId="6406E057" w14:textId="77777777" w:rsidR="00AA3CE3" w:rsidRPr="00EF0BB5" w:rsidRDefault="00AA3CE3" w:rsidP="00AA3CE3">
      <w:pPr>
        <w:spacing w:after="0" w:line="240" w:lineRule="auto"/>
        <w:jc w:val="center"/>
        <w:rPr>
          <w:rFonts w:ascii="Times New Roman" w:hAnsi="Times New Roman"/>
          <w:b/>
          <w:sz w:val="24"/>
          <w:szCs w:val="24"/>
        </w:rPr>
      </w:pPr>
      <w:r w:rsidRPr="00EF0BB5">
        <w:rPr>
          <w:rFonts w:ascii="Times New Roman" w:hAnsi="Times New Roman"/>
          <w:b/>
          <w:sz w:val="24"/>
          <w:szCs w:val="24"/>
        </w:rPr>
        <w:t>AKTUALIOS EKONOMINĖS INFORMACIJOS SUVESTINĖ</w:t>
      </w:r>
    </w:p>
    <w:p w14:paraId="76D96310" w14:textId="77777777" w:rsidR="00AA3CE3" w:rsidRPr="00EF0BB5" w:rsidRDefault="00AA3CE3" w:rsidP="00AA3CE3">
      <w:pPr>
        <w:spacing w:after="0" w:line="240" w:lineRule="auto"/>
        <w:jc w:val="center"/>
        <w:rPr>
          <w:rFonts w:ascii="Times New Roman" w:hAnsi="Times New Roman"/>
          <w:b/>
          <w:sz w:val="24"/>
          <w:szCs w:val="24"/>
        </w:rPr>
      </w:pPr>
    </w:p>
    <w:p w14:paraId="0CBA4784" w14:textId="17563282" w:rsidR="00AA3CE3" w:rsidRPr="00EF0BB5" w:rsidRDefault="00AA3CE3" w:rsidP="00AA3CE3">
      <w:pPr>
        <w:spacing w:after="0" w:line="240" w:lineRule="auto"/>
        <w:jc w:val="center"/>
        <w:rPr>
          <w:rFonts w:ascii="Times New Roman" w:hAnsi="Times New Roman"/>
          <w:sz w:val="24"/>
          <w:szCs w:val="24"/>
        </w:rPr>
      </w:pPr>
      <w:r w:rsidRPr="00EF0BB5">
        <w:rPr>
          <w:rFonts w:ascii="Times New Roman" w:hAnsi="Times New Roman"/>
          <w:sz w:val="24"/>
          <w:szCs w:val="24"/>
        </w:rPr>
        <w:t>_________</w:t>
      </w:r>
      <w:r w:rsidRPr="00EF0BB5">
        <w:rPr>
          <w:rFonts w:ascii="Times New Roman" w:hAnsi="Times New Roman"/>
          <w:sz w:val="24"/>
          <w:szCs w:val="24"/>
          <w:u w:val="single"/>
        </w:rPr>
        <w:t>2023-09-05</w:t>
      </w:r>
      <w:r w:rsidRPr="00EF0BB5">
        <w:rPr>
          <w:rFonts w:ascii="Times New Roman" w:hAnsi="Times New Roman"/>
          <w:sz w:val="24"/>
          <w:szCs w:val="24"/>
        </w:rPr>
        <w:t>_________</w:t>
      </w:r>
    </w:p>
    <w:p w14:paraId="6156393D" w14:textId="77777777" w:rsidR="00AA3CE3" w:rsidRPr="00EF0BB5" w:rsidRDefault="00AA3CE3" w:rsidP="00AA3CE3">
      <w:pPr>
        <w:spacing w:after="0" w:line="240" w:lineRule="auto"/>
        <w:jc w:val="center"/>
        <w:rPr>
          <w:rFonts w:ascii="Times New Roman" w:hAnsi="Times New Roman"/>
          <w:sz w:val="24"/>
          <w:szCs w:val="24"/>
        </w:rPr>
      </w:pPr>
      <w:r w:rsidRPr="00EF0BB5">
        <w:rPr>
          <w:rFonts w:ascii="Times New Roman" w:hAnsi="Times New Roman"/>
          <w:sz w:val="24"/>
          <w:szCs w:val="24"/>
        </w:rPr>
        <w:t>(Data)</w:t>
      </w:r>
    </w:p>
    <w:p w14:paraId="43DED265" w14:textId="77777777" w:rsidR="00AA3CE3" w:rsidRPr="00EF0BB5" w:rsidRDefault="00AA3CE3" w:rsidP="00AA3CE3">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3953"/>
        <w:gridCol w:w="2219"/>
        <w:gridCol w:w="2413"/>
      </w:tblGrid>
      <w:tr w:rsidR="00AA3CE3" w:rsidRPr="00EF0BB5" w14:paraId="675B2DCD" w14:textId="77777777" w:rsidTr="00662DB5">
        <w:trPr>
          <w:trHeight w:val="385"/>
        </w:trPr>
        <w:tc>
          <w:tcPr>
            <w:tcW w:w="1043" w:type="dxa"/>
            <w:shd w:val="clear" w:color="auto" w:fill="auto"/>
            <w:tcMar>
              <w:top w:w="29" w:type="dxa"/>
              <w:left w:w="115" w:type="dxa"/>
              <w:bottom w:w="29" w:type="dxa"/>
              <w:right w:w="115" w:type="dxa"/>
            </w:tcMar>
            <w:vAlign w:val="center"/>
          </w:tcPr>
          <w:p w14:paraId="563A427C" w14:textId="77777777" w:rsidR="00AA3CE3" w:rsidRPr="00EF0BB5" w:rsidRDefault="00AA3CE3" w:rsidP="00234562">
            <w:pPr>
              <w:pStyle w:val="Heading1"/>
              <w:spacing w:after="0" w:line="240" w:lineRule="auto"/>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Data</w:t>
            </w:r>
          </w:p>
        </w:tc>
        <w:tc>
          <w:tcPr>
            <w:tcW w:w="3953" w:type="dxa"/>
            <w:shd w:val="clear" w:color="auto" w:fill="auto"/>
            <w:tcMar>
              <w:top w:w="29" w:type="dxa"/>
              <w:left w:w="115" w:type="dxa"/>
              <w:bottom w:w="29" w:type="dxa"/>
              <w:right w:w="115" w:type="dxa"/>
            </w:tcMar>
            <w:vAlign w:val="center"/>
          </w:tcPr>
          <w:p w14:paraId="14156811" w14:textId="77777777" w:rsidR="00AA3CE3" w:rsidRPr="00EF0BB5" w:rsidRDefault="00AA3CE3" w:rsidP="00234562">
            <w:pPr>
              <w:pStyle w:val="Heading1"/>
              <w:spacing w:after="0" w:line="240" w:lineRule="auto"/>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Pateikiamos informacijos apibendrinimas</w:t>
            </w:r>
          </w:p>
        </w:tc>
        <w:tc>
          <w:tcPr>
            <w:tcW w:w="2219" w:type="dxa"/>
            <w:shd w:val="clear" w:color="auto" w:fill="auto"/>
            <w:tcMar>
              <w:top w:w="29" w:type="dxa"/>
              <w:left w:w="115" w:type="dxa"/>
              <w:bottom w:w="29" w:type="dxa"/>
              <w:right w:w="115" w:type="dxa"/>
            </w:tcMar>
            <w:vAlign w:val="center"/>
          </w:tcPr>
          <w:p w14:paraId="1445FF90" w14:textId="77777777" w:rsidR="00AA3CE3" w:rsidRPr="00EF0BB5" w:rsidRDefault="00AA3CE3" w:rsidP="00234562">
            <w:pPr>
              <w:pStyle w:val="Heading1"/>
              <w:spacing w:after="0" w:line="240" w:lineRule="auto"/>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Informacijos šaltinis</w:t>
            </w:r>
          </w:p>
        </w:tc>
        <w:tc>
          <w:tcPr>
            <w:tcW w:w="2413" w:type="dxa"/>
            <w:shd w:val="clear" w:color="auto" w:fill="auto"/>
            <w:tcMar>
              <w:top w:w="29" w:type="dxa"/>
              <w:left w:w="115" w:type="dxa"/>
              <w:bottom w:w="29" w:type="dxa"/>
              <w:right w:w="115" w:type="dxa"/>
            </w:tcMar>
            <w:vAlign w:val="center"/>
          </w:tcPr>
          <w:p w14:paraId="5C69F14E" w14:textId="77777777" w:rsidR="00AA3CE3" w:rsidRPr="00EF0BB5" w:rsidRDefault="00AA3CE3" w:rsidP="00234562">
            <w:pPr>
              <w:pStyle w:val="Heading1"/>
              <w:spacing w:after="0" w:line="240" w:lineRule="auto"/>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Pastabos</w:t>
            </w:r>
          </w:p>
        </w:tc>
      </w:tr>
      <w:tr w:rsidR="00AA3CE3" w:rsidRPr="00EF0BB5" w14:paraId="7F19E32F" w14:textId="77777777" w:rsidTr="00662DB5">
        <w:trPr>
          <w:trHeight w:val="216"/>
        </w:trPr>
        <w:tc>
          <w:tcPr>
            <w:tcW w:w="9628" w:type="dxa"/>
            <w:gridSpan w:val="4"/>
            <w:shd w:val="clear" w:color="auto" w:fill="auto"/>
            <w:tcMar>
              <w:top w:w="29" w:type="dxa"/>
              <w:left w:w="115" w:type="dxa"/>
              <w:bottom w:w="29" w:type="dxa"/>
              <w:right w:w="115" w:type="dxa"/>
            </w:tcMar>
          </w:tcPr>
          <w:p w14:paraId="2FF903F7" w14:textId="77777777" w:rsidR="00AA3CE3" w:rsidRPr="00EF0BB5" w:rsidRDefault="00AA3CE3" w:rsidP="00234562">
            <w:pPr>
              <w:spacing w:after="0" w:line="240" w:lineRule="auto"/>
              <w:rPr>
                <w:rFonts w:ascii="Times New Roman" w:hAnsi="Times New Roman"/>
                <w:sz w:val="24"/>
                <w:szCs w:val="24"/>
              </w:rPr>
            </w:pPr>
            <w:r w:rsidRPr="00EF0BB5">
              <w:rPr>
                <w:rFonts w:ascii="Times New Roman" w:hAnsi="Times New Roman"/>
                <w:sz w:val="24"/>
                <w:szCs w:val="24"/>
              </w:rPr>
              <w:t>Lietuvos eksportuotojams aktuali informacija</w:t>
            </w:r>
          </w:p>
        </w:tc>
      </w:tr>
      <w:tr w:rsidR="00662DB5" w:rsidRPr="00EF0BB5" w14:paraId="4F269648" w14:textId="77777777" w:rsidTr="00662DB5">
        <w:trPr>
          <w:trHeight w:val="234"/>
        </w:trPr>
        <w:tc>
          <w:tcPr>
            <w:tcW w:w="1043" w:type="dxa"/>
            <w:shd w:val="clear" w:color="auto" w:fill="auto"/>
            <w:tcMar>
              <w:top w:w="29" w:type="dxa"/>
              <w:left w:w="115" w:type="dxa"/>
              <w:bottom w:w="29" w:type="dxa"/>
              <w:right w:w="115" w:type="dxa"/>
            </w:tcMar>
          </w:tcPr>
          <w:p w14:paraId="1F2D74B8"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DE36706" w14:textId="469CC898" w:rsidR="00662DB5" w:rsidRPr="00EF0BB5" w:rsidRDefault="008B7E2D" w:rsidP="008B7E2D">
            <w:pPr>
              <w:spacing w:after="0" w:line="240" w:lineRule="auto"/>
              <w:jc w:val="both"/>
              <w:rPr>
                <w:rFonts w:ascii="Times New Roman" w:hAnsi="Times New Roman"/>
                <w:sz w:val="24"/>
                <w:szCs w:val="24"/>
              </w:rPr>
            </w:pPr>
            <w:r>
              <w:rPr>
                <w:rFonts w:ascii="Times New Roman" w:hAnsi="Times New Roman"/>
                <w:sz w:val="24"/>
                <w:szCs w:val="24"/>
              </w:rPr>
              <w:t xml:space="preserve">Spalio 17-20 dienomis Melburne, derinant prie LR Prezidento vizito Australijoje, vyks Lietuvos verslo misija. Verslo delegaciją renka Inovacijų agentūra ir </w:t>
            </w:r>
            <w:proofErr w:type="spellStart"/>
            <w:r>
              <w:rPr>
                <w:rFonts w:ascii="Times New Roman" w:hAnsi="Times New Roman"/>
                <w:sz w:val="24"/>
                <w:szCs w:val="24"/>
              </w:rPr>
              <w:t>Litfood</w:t>
            </w:r>
            <w:proofErr w:type="spellEnd"/>
            <w:r>
              <w:rPr>
                <w:rFonts w:ascii="Times New Roman" w:hAnsi="Times New Roman"/>
                <w:sz w:val="24"/>
                <w:szCs w:val="24"/>
              </w:rPr>
              <w:t>, norinčius dalyvauti verslo misijoje raginame susisiekti su organizatoriais</w:t>
            </w:r>
          </w:p>
        </w:tc>
        <w:tc>
          <w:tcPr>
            <w:tcW w:w="2219" w:type="dxa"/>
            <w:shd w:val="clear" w:color="auto" w:fill="auto"/>
            <w:tcMar>
              <w:top w:w="29" w:type="dxa"/>
              <w:left w:w="115" w:type="dxa"/>
              <w:bottom w:w="29" w:type="dxa"/>
              <w:right w:w="115" w:type="dxa"/>
            </w:tcMar>
          </w:tcPr>
          <w:p w14:paraId="07F42328" w14:textId="68AA4014" w:rsidR="00662DB5" w:rsidRPr="00EF0BB5" w:rsidRDefault="00662DB5" w:rsidP="00662DB5">
            <w:pPr>
              <w:spacing w:after="0" w:line="240" w:lineRule="auto"/>
              <w:rPr>
                <w:rFonts w:ascii="Times New Roman" w:hAnsi="Times New Roman"/>
                <w:sz w:val="24"/>
                <w:szCs w:val="24"/>
              </w:rPr>
            </w:pPr>
            <w:r>
              <w:rPr>
                <w:rFonts w:ascii="Times New Roman" w:hAnsi="Times New Roman"/>
                <w:sz w:val="24"/>
                <w:szCs w:val="24"/>
              </w:rPr>
              <w:t>LR Prezidentūra, ambasada</w:t>
            </w:r>
          </w:p>
        </w:tc>
        <w:tc>
          <w:tcPr>
            <w:tcW w:w="2413" w:type="dxa"/>
            <w:shd w:val="clear" w:color="auto" w:fill="auto"/>
            <w:tcMar>
              <w:top w:w="29" w:type="dxa"/>
              <w:left w:w="115" w:type="dxa"/>
              <w:bottom w:w="29" w:type="dxa"/>
              <w:right w:w="115" w:type="dxa"/>
            </w:tcMar>
          </w:tcPr>
          <w:p w14:paraId="3BF55E11"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605332C2" w14:textId="77777777" w:rsidTr="00662DB5">
        <w:trPr>
          <w:trHeight w:val="234"/>
        </w:trPr>
        <w:tc>
          <w:tcPr>
            <w:tcW w:w="1043" w:type="dxa"/>
            <w:shd w:val="clear" w:color="auto" w:fill="auto"/>
            <w:tcMar>
              <w:top w:w="29" w:type="dxa"/>
              <w:left w:w="115" w:type="dxa"/>
              <w:bottom w:w="29" w:type="dxa"/>
              <w:right w:w="115" w:type="dxa"/>
            </w:tcMar>
          </w:tcPr>
          <w:p w14:paraId="16601569"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7F221B08"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5A740375"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2FB57B98"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11FEC068" w14:textId="77777777" w:rsidTr="00662DB5">
        <w:trPr>
          <w:trHeight w:val="216"/>
        </w:trPr>
        <w:tc>
          <w:tcPr>
            <w:tcW w:w="9628" w:type="dxa"/>
            <w:gridSpan w:val="4"/>
            <w:shd w:val="clear" w:color="auto" w:fill="auto"/>
            <w:tcMar>
              <w:top w:w="29" w:type="dxa"/>
              <w:left w:w="115" w:type="dxa"/>
              <w:bottom w:w="29" w:type="dxa"/>
              <w:right w:w="115" w:type="dxa"/>
            </w:tcMar>
          </w:tcPr>
          <w:p w14:paraId="72CF33AF" w14:textId="77777777"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Tiesioginėms užsienio investicijoms pritraukti į Lietuvą aktuali informacija</w:t>
            </w:r>
          </w:p>
        </w:tc>
      </w:tr>
      <w:tr w:rsidR="00662DB5" w:rsidRPr="00EF0BB5" w14:paraId="29D7C539" w14:textId="77777777" w:rsidTr="00662DB5">
        <w:trPr>
          <w:trHeight w:val="234"/>
        </w:trPr>
        <w:tc>
          <w:tcPr>
            <w:tcW w:w="1043" w:type="dxa"/>
            <w:shd w:val="clear" w:color="auto" w:fill="auto"/>
            <w:tcMar>
              <w:top w:w="29" w:type="dxa"/>
              <w:left w:w="115" w:type="dxa"/>
              <w:bottom w:w="29" w:type="dxa"/>
              <w:right w:w="115" w:type="dxa"/>
            </w:tcMar>
          </w:tcPr>
          <w:p w14:paraId="752804C2"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1B4B8269" w14:textId="46913CEF" w:rsidR="00662DB5" w:rsidRPr="00EF0BB5" w:rsidRDefault="00662DB5" w:rsidP="00662DB5">
            <w:pPr>
              <w:spacing w:after="0" w:line="240" w:lineRule="auto"/>
              <w:rPr>
                <w:rFonts w:ascii="Times New Roman" w:hAnsi="Times New Roman"/>
                <w:sz w:val="24"/>
                <w:szCs w:val="24"/>
              </w:rPr>
            </w:pPr>
            <w:r>
              <w:rPr>
                <w:rFonts w:ascii="Times New Roman" w:hAnsi="Times New Roman"/>
                <w:sz w:val="24"/>
                <w:szCs w:val="24"/>
              </w:rPr>
              <w:t>-</w:t>
            </w:r>
          </w:p>
        </w:tc>
        <w:tc>
          <w:tcPr>
            <w:tcW w:w="2219" w:type="dxa"/>
            <w:shd w:val="clear" w:color="auto" w:fill="auto"/>
            <w:tcMar>
              <w:top w:w="29" w:type="dxa"/>
              <w:left w:w="115" w:type="dxa"/>
              <w:bottom w:w="29" w:type="dxa"/>
              <w:right w:w="115" w:type="dxa"/>
            </w:tcMar>
          </w:tcPr>
          <w:p w14:paraId="3AD6BA68"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AB9ED77"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601B774C" w14:textId="77777777" w:rsidTr="00662DB5">
        <w:trPr>
          <w:trHeight w:val="234"/>
        </w:trPr>
        <w:tc>
          <w:tcPr>
            <w:tcW w:w="1043" w:type="dxa"/>
            <w:shd w:val="clear" w:color="auto" w:fill="auto"/>
            <w:tcMar>
              <w:top w:w="29" w:type="dxa"/>
              <w:left w:w="115" w:type="dxa"/>
              <w:bottom w:w="29" w:type="dxa"/>
              <w:right w:w="115" w:type="dxa"/>
            </w:tcMar>
          </w:tcPr>
          <w:p w14:paraId="55B5F120"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3FF03529"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7D344C3E"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A5DEB5F"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1453E3B3" w14:textId="77777777" w:rsidTr="00662DB5">
        <w:trPr>
          <w:trHeight w:val="216"/>
        </w:trPr>
        <w:tc>
          <w:tcPr>
            <w:tcW w:w="9628" w:type="dxa"/>
            <w:gridSpan w:val="4"/>
            <w:shd w:val="clear" w:color="auto" w:fill="auto"/>
            <w:tcMar>
              <w:top w:w="29" w:type="dxa"/>
              <w:left w:w="115" w:type="dxa"/>
              <w:bottom w:w="29" w:type="dxa"/>
              <w:right w:w="115" w:type="dxa"/>
            </w:tcMar>
          </w:tcPr>
          <w:p w14:paraId="18BC8C02" w14:textId="77777777"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Lietuvos verslo plėtrai užsienyje aktuali informacija</w:t>
            </w:r>
          </w:p>
        </w:tc>
      </w:tr>
      <w:tr w:rsidR="00662DB5" w:rsidRPr="00EF0BB5" w14:paraId="5A458DAE" w14:textId="77777777" w:rsidTr="00662DB5">
        <w:trPr>
          <w:trHeight w:val="234"/>
        </w:trPr>
        <w:tc>
          <w:tcPr>
            <w:tcW w:w="1043" w:type="dxa"/>
            <w:shd w:val="clear" w:color="auto" w:fill="auto"/>
            <w:tcMar>
              <w:top w:w="29" w:type="dxa"/>
              <w:left w:w="115" w:type="dxa"/>
              <w:bottom w:w="29" w:type="dxa"/>
              <w:right w:w="115" w:type="dxa"/>
            </w:tcMar>
          </w:tcPr>
          <w:p w14:paraId="7152FBA1"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178C32C5" w14:textId="19A9C35F" w:rsidR="00662DB5" w:rsidRPr="00EF0BB5" w:rsidRDefault="008B7E2D" w:rsidP="008B7E2D">
            <w:pPr>
              <w:spacing w:after="0" w:line="240" w:lineRule="auto"/>
              <w:jc w:val="both"/>
              <w:rPr>
                <w:rFonts w:ascii="Times New Roman" w:hAnsi="Times New Roman"/>
                <w:sz w:val="24"/>
                <w:szCs w:val="24"/>
              </w:rPr>
            </w:pPr>
            <w:r>
              <w:rPr>
                <w:rFonts w:ascii="Times New Roman" w:hAnsi="Times New Roman"/>
                <w:sz w:val="24"/>
                <w:szCs w:val="24"/>
              </w:rPr>
              <w:t xml:space="preserve">Spalio 17-20 dienomis Melburne, derinant prie LR Prezidento vizito Australijoje, vyks Lietuvos verslo misija. Verslo delegaciją renka Inovacijų agentūra ir </w:t>
            </w:r>
            <w:proofErr w:type="spellStart"/>
            <w:r>
              <w:rPr>
                <w:rFonts w:ascii="Times New Roman" w:hAnsi="Times New Roman"/>
                <w:sz w:val="24"/>
                <w:szCs w:val="24"/>
              </w:rPr>
              <w:t>Litfood</w:t>
            </w:r>
            <w:proofErr w:type="spellEnd"/>
            <w:r>
              <w:rPr>
                <w:rFonts w:ascii="Times New Roman" w:hAnsi="Times New Roman"/>
                <w:sz w:val="24"/>
                <w:szCs w:val="24"/>
              </w:rPr>
              <w:t>, norinčius dalyvauti verslo misijoje raginame susisiekti su organizatoriais</w:t>
            </w:r>
          </w:p>
        </w:tc>
        <w:tc>
          <w:tcPr>
            <w:tcW w:w="2219" w:type="dxa"/>
            <w:shd w:val="clear" w:color="auto" w:fill="auto"/>
            <w:tcMar>
              <w:top w:w="29" w:type="dxa"/>
              <w:left w:w="115" w:type="dxa"/>
              <w:bottom w:w="29" w:type="dxa"/>
              <w:right w:w="115" w:type="dxa"/>
            </w:tcMar>
          </w:tcPr>
          <w:p w14:paraId="78847CF7" w14:textId="15A2A46D" w:rsidR="00662DB5" w:rsidRPr="00EF0BB5" w:rsidRDefault="00662DB5" w:rsidP="00662DB5">
            <w:pPr>
              <w:spacing w:after="0" w:line="240" w:lineRule="auto"/>
              <w:rPr>
                <w:rFonts w:ascii="Times New Roman" w:hAnsi="Times New Roman"/>
                <w:sz w:val="24"/>
                <w:szCs w:val="24"/>
              </w:rPr>
            </w:pPr>
            <w:r>
              <w:rPr>
                <w:rFonts w:ascii="Times New Roman" w:hAnsi="Times New Roman"/>
                <w:sz w:val="24"/>
                <w:szCs w:val="24"/>
              </w:rPr>
              <w:t>LR Prezidentūra, ambasada</w:t>
            </w:r>
          </w:p>
        </w:tc>
        <w:tc>
          <w:tcPr>
            <w:tcW w:w="2413" w:type="dxa"/>
            <w:shd w:val="clear" w:color="auto" w:fill="auto"/>
            <w:tcMar>
              <w:top w:w="29" w:type="dxa"/>
              <w:left w:w="115" w:type="dxa"/>
              <w:bottom w:w="29" w:type="dxa"/>
              <w:right w:w="115" w:type="dxa"/>
            </w:tcMar>
          </w:tcPr>
          <w:p w14:paraId="0DBB01ED"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530C69B3" w14:textId="77777777" w:rsidTr="00662DB5">
        <w:trPr>
          <w:trHeight w:val="234"/>
        </w:trPr>
        <w:tc>
          <w:tcPr>
            <w:tcW w:w="1043" w:type="dxa"/>
            <w:shd w:val="clear" w:color="auto" w:fill="auto"/>
            <w:tcMar>
              <w:top w:w="29" w:type="dxa"/>
              <w:left w:w="115" w:type="dxa"/>
              <w:bottom w:w="29" w:type="dxa"/>
              <w:right w:w="115" w:type="dxa"/>
            </w:tcMar>
          </w:tcPr>
          <w:p w14:paraId="395928F9"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C85AD5A"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1F5827D2"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13FC59C4"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155C958B" w14:textId="77777777" w:rsidTr="00662DB5">
        <w:trPr>
          <w:trHeight w:val="234"/>
        </w:trPr>
        <w:tc>
          <w:tcPr>
            <w:tcW w:w="9628" w:type="dxa"/>
            <w:gridSpan w:val="4"/>
            <w:shd w:val="clear" w:color="auto" w:fill="auto"/>
            <w:tcMar>
              <w:top w:w="29" w:type="dxa"/>
              <w:left w:w="115" w:type="dxa"/>
              <w:bottom w:w="29" w:type="dxa"/>
              <w:right w:w="115" w:type="dxa"/>
            </w:tcMar>
          </w:tcPr>
          <w:p w14:paraId="1E3FEC65" w14:textId="77777777"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Lietuvos turizmo sektoriui aktuali informacija</w:t>
            </w:r>
          </w:p>
        </w:tc>
      </w:tr>
      <w:tr w:rsidR="00662DB5" w:rsidRPr="00EF0BB5" w14:paraId="1D9A9D9B" w14:textId="77777777" w:rsidTr="00662DB5">
        <w:trPr>
          <w:trHeight w:val="216"/>
        </w:trPr>
        <w:tc>
          <w:tcPr>
            <w:tcW w:w="1043" w:type="dxa"/>
            <w:shd w:val="clear" w:color="auto" w:fill="auto"/>
            <w:tcMar>
              <w:top w:w="29" w:type="dxa"/>
              <w:left w:w="115" w:type="dxa"/>
              <w:bottom w:w="29" w:type="dxa"/>
              <w:right w:w="115" w:type="dxa"/>
            </w:tcMar>
          </w:tcPr>
          <w:p w14:paraId="1BE1A77A"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3AE2ACB7" w14:textId="08457BF0" w:rsidR="00662DB5" w:rsidRPr="00EF0BB5" w:rsidRDefault="00662DB5" w:rsidP="00662DB5">
            <w:pPr>
              <w:spacing w:after="0" w:line="240" w:lineRule="auto"/>
              <w:rPr>
                <w:rFonts w:ascii="Times New Roman" w:hAnsi="Times New Roman"/>
                <w:sz w:val="24"/>
                <w:szCs w:val="24"/>
              </w:rPr>
            </w:pPr>
            <w:r>
              <w:rPr>
                <w:rFonts w:ascii="Times New Roman" w:hAnsi="Times New Roman"/>
                <w:sz w:val="24"/>
                <w:szCs w:val="24"/>
              </w:rPr>
              <w:t>-</w:t>
            </w:r>
          </w:p>
        </w:tc>
        <w:tc>
          <w:tcPr>
            <w:tcW w:w="2219" w:type="dxa"/>
            <w:shd w:val="clear" w:color="auto" w:fill="auto"/>
            <w:tcMar>
              <w:top w:w="29" w:type="dxa"/>
              <w:left w:w="115" w:type="dxa"/>
              <w:bottom w:w="29" w:type="dxa"/>
              <w:right w:w="115" w:type="dxa"/>
            </w:tcMar>
          </w:tcPr>
          <w:p w14:paraId="2508C791"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CDCCC68"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68E8B4BF" w14:textId="77777777" w:rsidTr="00662DB5">
        <w:trPr>
          <w:trHeight w:val="234"/>
        </w:trPr>
        <w:tc>
          <w:tcPr>
            <w:tcW w:w="1043" w:type="dxa"/>
            <w:shd w:val="clear" w:color="auto" w:fill="auto"/>
            <w:tcMar>
              <w:top w:w="29" w:type="dxa"/>
              <w:left w:w="115" w:type="dxa"/>
              <w:bottom w:w="29" w:type="dxa"/>
              <w:right w:w="115" w:type="dxa"/>
            </w:tcMar>
          </w:tcPr>
          <w:p w14:paraId="4F9D0565"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55E4D579"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46DE5E5F"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BD72D10"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1DE5CFFF" w14:textId="77777777" w:rsidTr="00662DB5">
        <w:trPr>
          <w:trHeight w:val="234"/>
        </w:trPr>
        <w:tc>
          <w:tcPr>
            <w:tcW w:w="9628" w:type="dxa"/>
            <w:gridSpan w:val="4"/>
            <w:shd w:val="clear" w:color="auto" w:fill="auto"/>
            <w:tcMar>
              <w:top w:w="29" w:type="dxa"/>
              <w:left w:w="115" w:type="dxa"/>
              <w:bottom w:w="29" w:type="dxa"/>
              <w:right w:w="115" w:type="dxa"/>
            </w:tcMar>
          </w:tcPr>
          <w:p w14:paraId="426AFFD8" w14:textId="77777777"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Bendradarbiavimui mokslinių tyrimų, eksperimentinės plėtros ir inovacijų</w:t>
            </w:r>
            <w:r w:rsidRPr="00EF0BB5" w:rsidDel="005968A5">
              <w:rPr>
                <w:rFonts w:ascii="Times New Roman" w:hAnsi="Times New Roman"/>
                <w:sz w:val="24"/>
                <w:szCs w:val="24"/>
              </w:rPr>
              <w:t xml:space="preserve"> </w:t>
            </w:r>
            <w:r w:rsidRPr="00EF0BB5">
              <w:rPr>
                <w:rFonts w:ascii="Times New Roman" w:hAnsi="Times New Roman"/>
                <w:sz w:val="24"/>
                <w:szCs w:val="24"/>
              </w:rPr>
              <w:t>(MTEPI) srityse aktuali informacija</w:t>
            </w:r>
          </w:p>
        </w:tc>
      </w:tr>
      <w:tr w:rsidR="00662DB5" w:rsidRPr="00EF0BB5" w14:paraId="42968A45" w14:textId="77777777" w:rsidTr="00662DB5">
        <w:trPr>
          <w:trHeight w:val="234"/>
        </w:trPr>
        <w:tc>
          <w:tcPr>
            <w:tcW w:w="1043" w:type="dxa"/>
            <w:shd w:val="clear" w:color="auto" w:fill="auto"/>
            <w:tcMar>
              <w:top w:w="29" w:type="dxa"/>
              <w:left w:w="115" w:type="dxa"/>
              <w:bottom w:w="29" w:type="dxa"/>
              <w:right w:w="115" w:type="dxa"/>
            </w:tcMar>
          </w:tcPr>
          <w:p w14:paraId="14692AE7"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19F9B6A" w14:textId="6F59FFAE" w:rsidR="00662DB5" w:rsidRPr="00EF0BB5" w:rsidRDefault="008B7E2D" w:rsidP="008B7E2D">
            <w:pPr>
              <w:spacing w:after="0" w:line="240" w:lineRule="auto"/>
              <w:jc w:val="both"/>
              <w:rPr>
                <w:rFonts w:ascii="Times New Roman" w:hAnsi="Times New Roman"/>
                <w:sz w:val="24"/>
                <w:szCs w:val="24"/>
              </w:rPr>
            </w:pPr>
            <w:r>
              <w:rPr>
                <w:rFonts w:ascii="Times New Roman" w:hAnsi="Times New Roman"/>
                <w:sz w:val="24"/>
                <w:szCs w:val="24"/>
              </w:rPr>
              <w:t xml:space="preserve">Spalio 17-20 dienomis Melburne, derinant prie LR Prezidento vizito Australijoje, vyks Lietuvos verslo misija. Verslo delegaciją renka Inovacijų agentūra ir </w:t>
            </w:r>
            <w:proofErr w:type="spellStart"/>
            <w:r>
              <w:rPr>
                <w:rFonts w:ascii="Times New Roman" w:hAnsi="Times New Roman"/>
                <w:sz w:val="24"/>
                <w:szCs w:val="24"/>
              </w:rPr>
              <w:t>Litfood</w:t>
            </w:r>
            <w:proofErr w:type="spellEnd"/>
            <w:r>
              <w:rPr>
                <w:rFonts w:ascii="Times New Roman" w:hAnsi="Times New Roman"/>
                <w:sz w:val="24"/>
                <w:szCs w:val="24"/>
              </w:rPr>
              <w:t xml:space="preserve">, </w:t>
            </w:r>
            <w:r>
              <w:rPr>
                <w:rFonts w:ascii="Times New Roman" w:hAnsi="Times New Roman"/>
                <w:sz w:val="24"/>
                <w:szCs w:val="24"/>
              </w:rPr>
              <w:lastRenderedPageBreak/>
              <w:t>norinčius dalyvauti verslo misijoje raginame susisiekti su organizatoriais</w:t>
            </w:r>
          </w:p>
        </w:tc>
        <w:tc>
          <w:tcPr>
            <w:tcW w:w="2219" w:type="dxa"/>
            <w:shd w:val="clear" w:color="auto" w:fill="auto"/>
            <w:tcMar>
              <w:top w:w="29" w:type="dxa"/>
              <w:left w:w="115" w:type="dxa"/>
              <w:bottom w:w="29" w:type="dxa"/>
              <w:right w:w="115" w:type="dxa"/>
            </w:tcMar>
          </w:tcPr>
          <w:p w14:paraId="0319ED88" w14:textId="1CE42999" w:rsidR="00662DB5" w:rsidRPr="00EF0BB5" w:rsidRDefault="00662DB5" w:rsidP="00662DB5">
            <w:pPr>
              <w:spacing w:after="0" w:line="240" w:lineRule="auto"/>
              <w:rPr>
                <w:rFonts w:ascii="Times New Roman" w:hAnsi="Times New Roman"/>
                <w:sz w:val="24"/>
                <w:szCs w:val="24"/>
              </w:rPr>
            </w:pPr>
            <w:r>
              <w:rPr>
                <w:rFonts w:ascii="Times New Roman" w:hAnsi="Times New Roman"/>
                <w:sz w:val="24"/>
                <w:szCs w:val="24"/>
              </w:rPr>
              <w:lastRenderedPageBreak/>
              <w:t>LR Prezidentūra, ambasada</w:t>
            </w:r>
          </w:p>
        </w:tc>
        <w:tc>
          <w:tcPr>
            <w:tcW w:w="2413" w:type="dxa"/>
            <w:shd w:val="clear" w:color="auto" w:fill="auto"/>
            <w:tcMar>
              <w:top w:w="29" w:type="dxa"/>
              <w:left w:w="115" w:type="dxa"/>
              <w:bottom w:w="29" w:type="dxa"/>
              <w:right w:w="115" w:type="dxa"/>
            </w:tcMar>
          </w:tcPr>
          <w:p w14:paraId="14BA1A7B"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52970198" w14:textId="77777777" w:rsidTr="00662DB5">
        <w:trPr>
          <w:trHeight w:val="216"/>
        </w:trPr>
        <w:tc>
          <w:tcPr>
            <w:tcW w:w="1043" w:type="dxa"/>
            <w:shd w:val="clear" w:color="auto" w:fill="auto"/>
            <w:tcMar>
              <w:top w:w="29" w:type="dxa"/>
              <w:left w:w="115" w:type="dxa"/>
              <w:bottom w:w="29" w:type="dxa"/>
              <w:right w:w="115" w:type="dxa"/>
            </w:tcMar>
          </w:tcPr>
          <w:p w14:paraId="244362A4"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482C04CB"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5BC0CA11"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0E14E4B7"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53504156" w14:textId="77777777" w:rsidTr="00662DB5">
        <w:trPr>
          <w:trHeight w:val="234"/>
        </w:trPr>
        <w:tc>
          <w:tcPr>
            <w:tcW w:w="9628" w:type="dxa"/>
            <w:gridSpan w:val="4"/>
            <w:shd w:val="clear" w:color="auto" w:fill="auto"/>
            <w:tcMar>
              <w:top w:w="29" w:type="dxa"/>
              <w:left w:w="115" w:type="dxa"/>
              <w:bottom w:w="29" w:type="dxa"/>
              <w:right w:w="115" w:type="dxa"/>
            </w:tcMar>
          </w:tcPr>
          <w:p w14:paraId="0624F824" w14:textId="77777777"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 xml:space="preserve">Lietuvos ekonominiam saugumui aktuali informacija </w:t>
            </w:r>
          </w:p>
        </w:tc>
      </w:tr>
      <w:tr w:rsidR="00662DB5" w:rsidRPr="00EF0BB5" w14:paraId="4A3FBB82" w14:textId="77777777" w:rsidTr="00662DB5">
        <w:trPr>
          <w:trHeight w:val="216"/>
        </w:trPr>
        <w:tc>
          <w:tcPr>
            <w:tcW w:w="1043" w:type="dxa"/>
            <w:shd w:val="clear" w:color="auto" w:fill="auto"/>
            <w:tcMar>
              <w:top w:w="29" w:type="dxa"/>
              <w:left w:w="115" w:type="dxa"/>
              <w:bottom w:w="29" w:type="dxa"/>
              <w:right w:w="115" w:type="dxa"/>
            </w:tcMar>
          </w:tcPr>
          <w:p w14:paraId="48E76C4A" w14:textId="0860961C" w:rsidR="00662DB5" w:rsidRPr="00EF0BB5" w:rsidRDefault="00662DB5" w:rsidP="00662DB5">
            <w:pPr>
              <w:spacing w:after="0" w:line="240" w:lineRule="auto"/>
              <w:rPr>
                <w:rFonts w:ascii="Times New Roman" w:hAnsi="Times New Roman"/>
                <w:sz w:val="24"/>
                <w:szCs w:val="24"/>
              </w:rPr>
            </w:pPr>
            <w:r>
              <w:rPr>
                <w:rFonts w:ascii="Times New Roman" w:hAnsi="Times New Roman"/>
                <w:sz w:val="24"/>
                <w:szCs w:val="24"/>
              </w:rPr>
              <w:t>2023-09-05</w:t>
            </w:r>
          </w:p>
        </w:tc>
        <w:tc>
          <w:tcPr>
            <w:tcW w:w="3953" w:type="dxa"/>
            <w:shd w:val="clear" w:color="auto" w:fill="auto"/>
            <w:tcMar>
              <w:top w:w="29" w:type="dxa"/>
              <w:left w:w="115" w:type="dxa"/>
              <w:bottom w:w="29" w:type="dxa"/>
              <w:right w:w="115" w:type="dxa"/>
            </w:tcMar>
          </w:tcPr>
          <w:p w14:paraId="56FEB163" w14:textId="77777777" w:rsidR="00662DB5" w:rsidRDefault="00662DB5" w:rsidP="008B7E2D">
            <w:pPr>
              <w:spacing w:after="0" w:line="240" w:lineRule="auto"/>
              <w:jc w:val="both"/>
              <w:rPr>
                <w:rFonts w:ascii="Times New Roman" w:hAnsi="Times New Roman"/>
                <w:sz w:val="24"/>
                <w:szCs w:val="24"/>
              </w:rPr>
            </w:pPr>
            <w:r w:rsidRPr="00D61E60">
              <w:rPr>
                <w:rFonts w:ascii="Times New Roman" w:hAnsi="Times New Roman"/>
                <w:sz w:val="24"/>
                <w:szCs w:val="24"/>
              </w:rPr>
              <w:t>„</w:t>
            </w:r>
            <w:proofErr w:type="spellStart"/>
            <w:r w:rsidRPr="00D61E60">
              <w:rPr>
                <w:rFonts w:ascii="Times New Roman" w:hAnsi="Times New Roman"/>
                <w:sz w:val="24"/>
                <w:szCs w:val="24"/>
              </w:rPr>
              <w:t>Chevron</w:t>
            </w:r>
            <w:proofErr w:type="spellEnd"/>
            <w:r w:rsidRPr="00D61E60">
              <w:rPr>
                <w:rFonts w:ascii="Times New Roman" w:hAnsi="Times New Roman"/>
                <w:sz w:val="24"/>
                <w:szCs w:val="24"/>
              </w:rPr>
              <w:t xml:space="preserve">“ darbuotojai dviejuose didžiausiuose suskystintųjų gamtinių dujų (SGD) gamyklose Australijoje paskelbė apie planus dviem savaitėms streikuoti, kilus ginčui dėl atlyginimų ir sąlygų. Vakarų Australijoje </w:t>
            </w:r>
            <w:proofErr w:type="spellStart"/>
            <w:r w:rsidRPr="00D61E60">
              <w:rPr>
                <w:rFonts w:ascii="Times New Roman" w:hAnsi="Times New Roman"/>
                <w:sz w:val="24"/>
                <w:szCs w:val="24"/>
              </w:rPr>
              <w:t>Gorgon</w:t>
            </w:r>
            <w:proofErr w:type="spellEnd"/>
            <w:r w:rsidRPr="00D61E60">
              <w:rPr>
                <w:rFonts w:ascii="Times New Roman" w:hAnsi="Times New Roman"/>
                <w:sz w:val="24"/>
                <w:szCs w:val="24"/>
              </w:rPr>
              <w:t xml:space="preserve"> ir </w:t>
            </w:r>
            <w:proofErr w:type="spellStart"/>
            <w:r w:rsidRPr="00D61E60">
              <w:rPr>
                <w:rFonts w:ascii="Times New Roman" w:hAnsi="Times New Roman"/>
                <w:sz w:val="24"/>
                <w:szCs w:val="24"/>
              </w:rPr>
              <w:t>Wheatstone</w:t>
            </w:r>
            <w:proofErr w:type="spellEnd"/>
            <w:r w:rsidRPr="00D61E60">
              <w:rPr>
                <w:rFonts w:ascii="Times New Roman" w:hAnsi="Times New Roman"/>
                <w:sz w:val="24"/>
                <w:szCs w:val="24"/>
              </w:rPr>
              <w:t xml:space="preserve"> telkiniuose esančių SGD gamyklų darbuotojai nuo rugsėjo 14 d. ketina pradėti visišką streiką.</w:t>
            </w:r>
          </w:p>
          <w:p w14:paraId="713229DF" w14:textId="4C9257D6" w:rsidR="00662DB5" w:rsidRPr="00EF0BB5" w:rsidRDefault="00662DB5" w:rsidP="008B7E2D">
            <w:pPr>
              <w:spacing w:after="0" w:line="240" w:lineRule="auto"/>
              <w:jc w:val="both"/>
              <w:rPr>
                <w:rFonts w:ascii="Times New Roman" w:hAnsi="Times New Roman"/>
                <w:sz w:val="24"/>
                <w:szCs w:val="24"/>
              </w:rPr>
            </w:pPr>
            <w:r w:rsidRPr="00D61E60">
              <w:rPr>
                <w:rFonts w:ascii="Times New Roman" w:hAnsi="Times New Roman"/>
                <w:sz w:val="24"/>
                <w:szCs w:val="24"/>
              </w:rPr>
              <w:t xml:space="preserve">Australija yra viena didžiausių pasaulyje SGD eksportuotojų, o </w:t>
            </w:r>
            <w:proofErr w:type="spellStart"/>
            <w:r w:rsidRPr="00D61E60">
              <w:rPr>
                <w:rFonts w:ascii="Times New Roman" w:hAnsi="Times New Roman"/>
                <w:sz w:val="24"/>
                <w:szCs w:val="24"/>
              </w:rPr>
              <w:t>Gorgon</w:t>
            </w:r>
            <w:proofErr w:type="spellEnd"/>
            <w:r w:rsidRPr="00D61E60">
              <w:rPr>
                <w:rFonts w:ascii="Times New Roman" w:hAnsi="Times New Roman"/>
                <w:sz w:val="24"/>
                <w:szCs w:val="24"/>
              </w:rPr>
              <w:t xml:space="preserve"> ir </w:t>
            </w:r>
            <w:proofErr w:type="spellStart"/>
            <w:r w:rsidRPr="00D61E60">
              <w:rPr>
                <w:rFonts w:ascii="Times New Roman" w:hAnsi="Times New Roman"/>
                <w:sz w:val="24"/>
                <w:szCs w:val="24"/>
              </w:rPr>
              <w:t>Wheatstone</w:t>
            </w:r>
            <w:proofErr w:type="spellEnd"/>
            <w:r w:rsidRPr="00D61E60">
              <w:rPr>
                <w:rFonts w:ascii="Times New Roman" w:hAnsi="Times New Roman"/>
                <w:sz w:val="24"/>
                <w:szCs w:val="24"/>
              </w:rPr>
              <w:t xml:space="preserve"> telkiniai kartu sudaro apie 7 proc. pasaulinio SGD tiekimo. Baiminamasi, kad dėl streiko gali sutrikti SGD eksportas, todėl pastarosiomis savaitėmis energijos rinkose smarkiai svyravo kainos. Nors Europa yra užpildžiusi savo dujų saugyklas iki daugiau nei 90 proc., reikšmingas Australijos gavybos sumažinimas gali sukelti įtampą </w:t>
            </w:r>
            <w:r>
              <w:rPr>
                <w:rFonts w:ascii="Times New Roman" w:hAnsi="Times New Roman"/>
                <w:sz w:val="24"/>
                <w:szCs w:val="24"/>
              </w:rPr>
              <w:t xml:space="preserve">rinkose bei </w:t>
            </w:r>
            <w:r w:rsidRPr="00D61E60">
              <w:rPr>
                <w:rFonts w:ascii="Times New Roman" w:hAnsi="Times New Roman"/>
                <w:sz w:val="24"/>
                <w:szCs w:val="24"/>
              </w:rPr>
              <w:t>ateities tiekimui</w:t>
            </w:r>
            <w:r>
              <w:rPr>
                <w:rFonts w:ascii="Times New Roman" w:hAnsi="Times New Roman"/>
                <w:sz w:val="24"/>
                <w:szCs w:val="24"/>
              </w:rPr>
              <w:t xml:space="preserve"> artimojoje perspektyvoje</w:t>
            </w:r>
            <w:r w:rsidRPr="00D61E60">
              <w:rPr>
                <w:rFonts w:ascii="Times New Roman" w:hAnsi="Times New Roman"/>
                <w:sz w:val="24"/>
                <w:szCs w:val="24"/>
              </w:rPr>
              <w:t>.</w:t>
            </w:r>
          </w:p>
        </w:tc>
        <w:tc>
          <w:tcPr>
            <w:tcW w:w="2219" w:type="dxa"/>
            <w:shd w:val="clear" w:color="auto" w:fill="auto"/>
            <w:tcMar>
              <w:top w:w="29" w:type="dxa"/>
              <w:left w:w="115" w:type="dxa"/>
              <w:bottom w:w="29" w:type="dxa"/>
              <w:right w:w="115" w:type="dxa"/>
            </w:tcMar>
          </w:tcPr>
          <w:p w14:paraId="4DE3D903" w14:textId="77777777" w:rsidR="00662DB5" w:rsidRDefault="00662DB5" w:rsidP="00662DB5">
            <w:pPr>
              <w:spacing w:after="0" w:line="240" w:lineRule="auto"/>
              <w:rPr>
                <w:rFonts w:ascii="Times New Roman" w:hAnsi="Times New Roman"/>
                <w:sz w:val="24"/>
                <w:szCs w:val="24"/>
              </w:rPr>
            </w:pPr>
            <w:r w:rsidRPr="00D61E60">
              <w:rPr>
                <w:rFonts w:ascii="Times New Roman" w:hAnsi="Times New Roman"/>
                <w:sz w:val="24"/>
                <w:szCs w:val="24"/>
              </w:rPr>
              <w:t>aljazeera.com</w:t>
            </w:r>
          </w:p>
          <w:p w14:paraId="2C7D4BCB" w14:textId="405BD7A6"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DD18748"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49DBE074" w14:textId="77777777" w:rsidTr="00662DB5">
        <w:trPr>
          <w:trHeight w:val="216"/>
        </w:trPr>
        <w:tc>
          <w:tcPr>
            <w:tcW w:w="1043" w:type="dxa"/>
            <w:shd w:val="clear" w:color="auto" w:fill="auto"/>
            <w:tcMar>
              <w:top w:w="29" w:type="dxa"/>
              <w:left w:w="115" w:type="dxa"/>
              <w:bottom w:w="29" w:type="dxa"/>
              <w:right w:w="115" w:type="dxa"/>
            </w:tcMar>
          </w:tcPr>
          <w:p w14:paraId="0A0948B7"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13749D5"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61183071"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78074480"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65E6E75A" w14:textId="77777777" w:rsidTr="00662DB5">
        <w:trPr>
          <w:trHeight w:val="234"/>
        </w:trPr>
        <w:tc>
          <w:tcPr>
            <w:tcW w:w="9628" w:type="dxa"/>
            <w:gridSpan w:val="4"/>
            <w:shd w:val="clear" w:color="auto" w:fill="auto"/>
            <w:tcMar>
              <w:top w:w="29" w:type="dxa"/>
              <w:left w:w="115" w:type="dxa"/>
              <w:bottom w:w="29" w:type="dxa"/>
              <w:right w:w="115" w:type="dxa"/>
            </w:tcMar>
          </w:tcPr>
          <w:p w14:paraId="133EA905" w14:textId="77777777"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Bendra akreditacijos valstybių ekonominė informacija</w:t>
            </w:r>
          </w:p>
        </w:tc>
      </w:tr>
      <w:tr w:rsidR="00662DB5" w:rsidRPr="00EF0BB5" w14:paraId="212DCEA3" w14:textId="77777777" w:rsidTr="00662DB5">
        <w:trPr>
          <w:trHeight w:val="216"/>
        </w:trPr>
        <w:tc>
          <w:tcPr>
            <w:tcW w:w="1043" w:type="dxa"/>
            <w:shd w:val="clear" w:color="auto" w:fill="auto"/>
            <w:tcMar>
              <w:top w:w="29" w:type="dxa"/>
              <w:left w:w="115" w:type="dxa"/>
              <w:bottom w:w="29" w:type="dxa"/>
              <w:right w:w="115" w:type="dxa"/>
            </w:tcMar>
          </w:tcPr>
          <w:p w14:paraId="66464CEC" w14:textId="71FA9B31"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2023-08</w:t>
            </w:r>
          </w:p>
        </w:tc>
        <w:tc>
          <w:tcPr>
            <w:tcW w:w="3953" w:type="dxa"/>
            <w:shd w:val="clear" w:color="auto" w:fill="auto"/>
            <w:tcMar>
              <w:top w:w="29" w:type="dxa"/>
              <w:left w:w="115" w:type="dxa"/>
              <w:bottom w:w="29" w:type="dxa"/>
              <w:right w:w="115" w:type="dxa"/>
            </w:tcMar>
          </w:tcPr>
          <w:p w14:paraId="0256E897" w14:textId="77777777" w:rsidR="00662DB5" w:rsidRDefault="00662DB5" w:rsidP="00662DB5">
            <w:pPr>
              <w:jc w:val="both"/>
              <w:rPr>
                <w:rFonts w:ascii="Times New Roman" w:hAnsi="Times New Roman"/>
                <w:b/>
                <w:bCs/>
                <w:sz w:val="24"/>
                <w:szCs w:val="24"/>
              </w:rPr>
            </w:pPr>
            <w:r>
              <w:rPr>
                <w:rFonts w:ascii="Times New Roman" w:hAnsi="Times New Roman"/>
                <w:b/>
                <w:bCs/>
                <w:sz w:val="24"/>
                <w:szCs w:val="24"/>
              </w:rPr>
              <w:t>Australija:</w:t>
            </w:r>
          </w:p>
          <w:p w14:paraId="1A1E3595" w14:textId="529D9481" w:rsidR="00662DB5" w:rsidRPr="00EF0BB5" w:rsidRDefault="00662DB5" w:rsidP="008B7E2D">
            <w:pPr>
              <w:spacing w:after="0" w:line="240" w:lineRule="auto"/>
              <w:jc w:val="both"/>
              <w:rPr>
                <w:rFonts w:ascii="Times New Roman" w:hAnsi="Times New Roman"/>
                <w:b/>
                <w:bCs/>
                <w:sz w:val="24"/>
                <w:szCs w:val="24"/>
              </w:rPr>
            </w:pPr>
            <w:r w:rsidRPr="00EF0BB5">
              <w:rPr>
                <w:rFonts w:ascii="Times New Roman" w:hAnsi="Times New Roman"/>
                <w:b/>
                <w:bCs/>
                <w:sz w:val="24"/>
                <w:szCs w:val="24"/>
              </w:rPr>
              <w:t>Dabartinė padėtis</w:t>
            </w:r>
          </w:p>
          <w:p w14:paraId="13FA574B" w14:textId="77777777" w:rsidR="00662DB5" w:rsidRPr="00EF0BB5" w:rsidRDefault="00662DB5" w:rsidP="008B7E2D">
            <w:pPr>
              <w:spacing w:after="0" w:line="240" w:lineRule="auto"/>
              <w:jc w:val="both"/>
              <w:rPr>
                <w:rFonts w:ascii="Times New Roman" w:hAnsi="Times New Roman"/>
                <w:sz w:val="24"/>
                <w:szCs w:val="24"/>
              </w:rPr>
            </w:pPr>
            <w:r w:rsidRPr="00EF0BB5">
              <w:rPr>
                <w:rFonts w:ascii="Times New Roman" w:hAnsi="Times New Roman"/>
                <w:sz w:val="24"/>
                <w:szCs w:val="24"/>
              </w:rPr>
              <w:t xml:space="preserve">Australijos BVP šiuo metu vertinama apie 1,75 </w:t>
            </w:r>
            <w:proofErr w:type="spellStart"/>
            <w:r w:rsidRPr="00EF0BB5">
              <w:rPr>
                <w:rFonts w:ascii="Times New Roman" w:hAnsi="Times New Roman"/>
                <w:sz w:val="24"/>
                <w:szCs w:val="24"/>
              </w:rPr>
              <w:t>trln</w:t>
            </w:r>
            <w:proofErr w:type="spellEnd"/>
            <w:r w:rsidRPr="00EF0BB5">
              <w:rPr>
                <w:rFonts w:ascii="Times New Roman" w:hAnsi="Times New Roman"/>
                <w:sz w:val="24"/>
                <w:szCs w:val="24"/>
              </w:rPr>
              <w:t>. JAV dolerių, šalis yra 12-a didžiausių pasaulio ekonomikų sąraše ir 10-a pasaulyje pagal BVP dalį, tenkančią vienam gyventojui (apie 65 000 JAV dolerių).</w:t>
            </w:r>
          </w:p>
          <w:p w14:paraId="05F39AA3" w14:textId="77777777" w:rsidR="00662DB5" w:rsidRPr="00EF0BB5" w:rsidRDefault="00662DB5" w:rsidP="008B7E2D">
            <w:pPr>
              <w:spacing w:after="0" w:line="240" w:lineRule="auto"/>
              <w:jc w:val="both"/>
              <w:rPr>
                <w:rFonts w:ascii="Times New Roman" w:hAnsi="Times New Roman"/>
                <w:sz w:val="24"/>
                <w:szCs w:val="24"/>
              </w:rPr>
            </w:pPr>
            <w:r w:rsidRPr="00EF0BB5">
              <w:rPr>
                <w:rFonts w:ascii="Times New Roman" w:hAnsi="Times New Roman"/>
                <w:sz w:val="24"/>
                <w:szCs w:val="24"/>
              </w:rPr>
              <w:t>Ekonomikoje vyrauja paslaugų sektorius, kuriame sukuriama 68 % šalies BVP, tačiau išlieka labai svarbūs kalnakasybos ir žemės ūkio sektoriai (kartu paėmus sudaro 8 % BVP) ir tai sudaro net 68 % Australijos eksporto. Australija yra viena svarbiausių žemės ūkio produktų eksportuotojų pasaulyje. Šiuo metu pagrindiniai eksploatuojami gamtiniai ištekliai yra anglis, geležies rūda ir urano rūda.</w:t>
            </w:r>
          </w:p>
          <w:p w14:paraId="6D801024" w14:textId="77777777" w:rsidR="00662DB5" w:rsidRPr="00EF0BB5" w:rsidRDefault="00662DB5" w:rsidP="008B7E2D">
            <w:pPr>
              <w:spacing w:after="0" w:line="240" w:lineRule="auto"/>
              <w:jc w:val="both"/>
              <w:rPr>
                <w:rFonts w:ascii="Times New Roman" w:hAnsi="Times New Roman"/>
                <w:sz w:val="24"/>
                <w:szCs w:val="24"/>
              </w:rPr>
            </w:pPr>
            <w:r w:rsidRPr="00EF0BB5">
              <w:rPr>
                <w:rStyle w:val="rynqvb"/>
                <w:rFonts w:ascii="Times New Roman" w:hAnsi="Times New Roman"/>
                <w:sz w:val="24"/>
                <w:szCs w:val="24"/>
              </w:rPr>
              <w:t xml:space="preserve">Kinijoje panaikinus COVID-19 apribojimus, su turizmu ir švietimu </w:t>
            </w:r>
            <w:r w:rsidRPr="00EF0BB5">
              <w:rPr>
                <w:rStyle w:val="rynqvb"/>
                <w:rFonts w:ascii="Times New Roman" w:hAnsi="Times New Roman"/>
                <w:sz w:val="24"/>
                <w:szCs w:val="24"/>
              </w:rPr>
              <w:lastRenderedPageBreak/>
              <w:t>susijusių kelionių sugrįžimas padidino Australijos paslaugų eksportą.</w:t>
            </w:r>
            <w:r w:rsidRPr="00EF0BB5">
              <w:rPr>
                <w:rStyle w:val="hwtze"/>
                <w:rFonts w:ascii="Times New Roman" w:hAnsi="Times New Roman"/>
                <w:sz w:val="24"/>
                <w:szCs w:val="24"/>
              </w:rPr>
              <w:t xml:space="preserve"> </w:t>
            </w:r>
            <w:r w:rsidRPr="00EF0BB5">
              <w:rPr>
                <w:rStyle w:val="rynqvb"/>
                <w:rFonts w:ascii="Times New Roman" w:hAnsi="Times New Roman"/>
                <w:sz w:val="24"/>
                <w:szCs w:val="24"/>
              </w:rPr>
              <w:t xml:space="preserve">Kinijos ekonominis kilimas padidino Australijos žaliavų, ypač geležies rūdos, kainas, tačiau pastaruoju metu jos pamažu normalizuojasi. 2022 metais Australijos BVP augo 3,7 %, o infliacija sudarė 6,6 </w:t>
            </w:r>
            <w:r w:rsidRPr="00EF0BB5">
              <w:rPr>
                <w:rFonts w:ascii="Times New Roman" w:hAnsi="Times New Roman"/>
                <w:sz w:val="24"/>
                <w:szCs w:val="24"/>
              </w:rPr>
              <w:t>%.</w:t>
            </w:r>
          </w:p>
          <w:p w14:paraId="64F8265E" w14:textId="77777777" w:rsidR="00662DB5" w:rsidRPr="00EF0BB5" w:rsidRDefault="00662DB5" w:rsidP="008B7E2D">
            <w:pPr>
              <w:spacing w:after="0" w:line="240" w:lineRule="auto"/>
              <w:jc w:val="both"/>
              <w:rPr>
                <w:rStyle w:val="rynqvb"/>
                <w:rFonts w:ascii="Times New Roman" w:hAnsi="Times New Roman"/>
                <w:sz w:val="24"/>
                <w:szCs w:val="24"/>
              </w:rPr>
            </w:pPr>
            <w:r w:rsidRPr="00EF0BB5">
              <w:rPr>
                <w:rFonts w:ascii="Times New Roman" w:hAnsi="Times New Roman"/>
                <w:sz w:val="24"/>
                <w:szCs w:val="24"/>
              </w:rPr>
              <w:t xml:space="preserve">Ką tik pasibaigę biudžetiniai metai turėjo šiokį tokį pajamų perviršį, tačiau šiais biudžetiniais metais tikimasi 0,4 </w:t>
            </w:r>
            <w:r w:rsidRPr="00EF0BB5">
              <w:rPr>
                <w:rStyle w:val="rynqvb"/>
                <w:rFonts w:ascii="Times New Roman" w:hAnsi="Times New Roman"/>
                <w:sz w:val="24"/>
                <w:szCs w:val="24"/>
              </w:rPr>
              <w:t>% deficito. To priežastis – pajamų iš resursų eksporto (ypač geležies rūdos) kritimas krentant jų kainoms.</w:t>
            </w:r>
          </w:p>
          <w:p w14:paraId="1EE4D691" w14:textId="77777777" w:rsidR="00662DB5" w:rsidRPr="00EF0BB5" w:rsidRDefault="00662DB5" w:rsidP="008B7E2D">
            <w:pPr>
              <w:spacing w:after="0" w:line="240" w:lineRule="auto"/>
              <w:jc w:val="both"/>
              <w:rPr>
                <w:rFonts w:ascii="Times New Roman" w:hAnsi="Times New Roman"/>
                <w:b/>
                <w:bCs/>
                <w:sz w:val="24"/>
                <w:szCs w:val="24"/>
              </w:rPr>
            </w:pPr>
            <w:r w:rsidRPr="00EF0BB5">
              <w:rPr>
                <w:rFonts w:ascii="Times New Roman" w:hAnsi="Times New Roman"/>
                <w:b/>
                <w:bCs/>
                <w:sz w:val="24"/>
                <w:szCs w:val="24"/>
              </w:rPr>
              <w:t>Ekonominio augimo prognozės</w:t>
            </w:r>
          </w:p>
          <w:p w14:paraId="4C083A2A" w14:textId="77777777" w:rsidR="00662DB5" w:rsidRPr="00EF0BB5" w:rsidRDefault="00662DB5" w:rsidP="008B7E2D">
            <w:pPr>
              <w:spacing w:after="0" w:line="240" w:lineRule="auto"/>
              <w:jc w:val="both"/>
              <w:rPr>
                <w:rStyle w:val="hwtze"/>
                <w:rFonts w:ascii="Times New Roman" w:hAnsi="Times New Roman"/>
                <w:sz w:val="24"/>
                <w:szCs w:val="24"/>
              </w:rPr>
            </w:pPr>
            <w:r w:rsidRPr="00EF0BB5">
              <w:rPr>
                <w:rFonts w:ascii="Times New Roman" w:hAnsi="Times New Roman"/>
                <w:sz w:val="24"/>
                <w:szCs w:val="24"/>
              </w:rPr>
              <w:t>Anot EBPO</w:t>
            </w:r>
            <w:r w:rsidRPr="00EF0BB5">
              <w:rPr>
                <w:rStyle w:val="rynqvb"/>
                <w:rFonts w:ascii="Times New Roman" w:hAnsi="Times New Roman"/>
                <w:sz w:val="24"/>
                <w:szCs w:val="24"/>
              </w:rPr>
              <w:t>, 2023 m. Australijos realusis BVP turėtų augti 1,8 %, o 2024 m. – 1,4 %. Išlaidos kelionėms ir švietimui turėtų stipriai prisidėti prie augimo išlikimo aukščiau nulio. Vis tik griežtėjančios finansinės sąlygos ir prastesnė realiųjų pajamų perspektyva turės įtakos augimui.</w:t>
            </w:r>
            <w:r w:rsidRPr="00EF0BB5">
              <w:rPr>
                <w:rStyle w:val="hwtze"/>
                <w:rFonts w:ascii="Times New Roman" w:hAnsi="Times New Roman"/>
                <w:sz w:val="24"/>
                <w:szCs w:val="24"/>
              </w:rPr>
              <w:t xml:space="preserve"> Dauguma ekspertų tikisi, kad recesija, jei ir bus, tai sekli. Taip pat tikimasi „per </w:t>
            </w:r>
            <w:proofErr w:type="spellStart"/>
            <w:r w:rsidRPr="00EF0BB5">
              <w:rPr>
                <w:rStyle w:val="hwtze"/>
                <w:rFonts w:ascii="Times New Roman" w:hAnsi="Times New Roman"/>
                <w:sz w:val="24"/>
                <w:szCs w:val="24"/>
              </w:rPr>
              <w:t>capita</w:t>
            </w:r>
            <w:proofErr w:type="spellEnd"/>
            <w:r w:rsidRPr="00EF0BB5">
              <w:rPr>
                <w:rStyle w:val="hwtze"/>
                <w:rFonts w:ascii="Times New Roman" w:hAnsi="Times New Roman"/>
                <w:sz w:val="24"/>
                <w:szCs w:val="24"/>
              </w:rPr>
              <w:t>“ recesijos, nes gyventojų skaičius šalyje didėja greičiau, nei vyksta ūkio augimas.</w:t>
            </w:r>
          </w:p>
          <w:p w14:paraId="72AC2DA7" w14:textId="77777777" w:rsidR="00662DB5" w:rsidRPr="00EF0BB5" w:rsidRDefault="00662DB5" w:rsidP="008B7E2D">
            <w:pPr>
              <w:spacing w:after="0" w:line="240" w:lineRule="auto"/>
              <w:jc w:val="both"/>
              <w:rPr>
                <w:rStyle w:val="hwtze"/>
                <w:rFonts w:ascii="Times New Roman" w:hAnsi="Times New Roman"/>
                <w:sz w:val="24"/>
                <w:szCs w:val="24"/>
              </w:rPr>
            </w:pPr>
            <w:r w:rsidRPr="00EF0BB5">
              <w:rPr>
                <w:rStyle w:val="hwtze"/>
                <w:rFonts w:ascii="Times New Roman" w:hAnsi="Times New Roman"/>
                <w:sz w:val="24"/>
                <w:szCs w:val="24"/>
              </w:rPr>
              <w:t xml:space="preserve">Tuo tarpu Australijos centrinis bankas mano, kad 2023 m. ekonomikos augimas sudarys tik 0,9 </w:t>
            </w:r>
            <w:r w:rsidRPr="00EF0BB5">
              <w:rPr>
                <w:rStyle w:val="hwtze"/>
                <w:rFonts w:ascii="Times New Roman" w:hAnsi="Times New Roman"/>
                <w:sz w:val="24"/>
                <w:szCs w:val="24"/>
                <w:lang w:val="en-US"/>
              </w:rPr>
              <w:t>%</w:t>
            </w:r>
            <w:r w:rsidRPr="00EF0BB5">
              <w:rPr>
                <w:rStyle w:val="hwtze"/>
                <w:rFonts w:ascii="Times New Roman" w:hAnsi="Times New Roman"/>
                <w:sz w:val="24"/>
                <w:szCs w:val="24"/>
              </w:rPr>
              <w:t xml:space="preserve">, tačiau atsigaus 2024-2025 metais ir bus atitinkamai 1,6 </w:t>
            </w:r>
            <w:r w:rsidRPr="00EF0BB5">
              <w:rPr>
                <w:rStyle w:val="hwtze"/>
                <w:rFonts w:ascii="Times New Roman" w:hAnsi="Times New Roman"/>
                <w:sz w:val="24"/>
                <w:szCs w:val="24"/>
                <w:lang w:val="en-US"/>
              </w:rPr>
              <w:t xml:space="preserve">% </w:t>
            </w:r>
            <w:proofErr w:type="spellStart"/>
            <w:r w:rsidRPr="00EF0BB5">
              <w:rPr>
                <w:rStyle w:val="hwtze"/>
                <w:rFonts w:ascii="Times New Roman" w:hAnsi="Times New Roman"/>
                <w:sz w:val="24"/>
                <w:szCs w:val="24"/>
                <w:lang w:val="en-US"/>
              </w:rPr>
              <w:t>ir</w:t>
            </w:r>
            <w:proofErr w:type="spellEnd"/>
            <w:r w:rsidRPr="00EF0BB5">
              <w:rPr>
                <w:rStyle w:val="hwtze"/>
                <w:rFonts w:ascii="Times New Roman" w:hAnsi="Times New Roman"/>
                <w:sz w:val="24"/>
                <w:szCs w:val="24"/>
                <w:lang w:val="en-US"/>
              </w:rPr>
              <w:t xml:space="preserve"> 2,3 %.</w:t>
            </w:r>
          </w:p>
          <w:p w14:paraId="52605C0C" w14:textId="77777777" w:rsidR="00662DB5" w:rsidRPr="00EF0BB5" w:rsidRDefault="00662DB5" w:rsidP="008B7E2D">
            <w:pPr>
              <w:spacing w:after="0" w:line="240" w:lineRule="auto"/>
              <w:jc w:val="both"/>
              <w:rPr>
                <w:rStyle w:val="rynqvb"/>
                <w:rFonts w:ascii="Times New Roman" w:hAnsi="Times New Roman"/>
                <w:sz w:val="24"/>
                <w:szCs w:val="24"/>
              </w:rPr>
            </w:pPr>
            <w:r w:rsidRPr="00EF0BB5">
              <w:rPr>
                <w:rStyle w:val="rynqvb"/>
                <w:rFonts w:ascii="Times New Roman" w:hAnsi="Times New Roman"/>
                <w:sz w:val="24"/>
                <w:szCs w:val="24"/>
              </w:rPr>
              <w:t>Šiuo metu nedarbo lygis dabar siekia 3,7 % ir yra netoli istorinių žemumų, tačiau manoma, kad iki 2024 m. pabaigos jis palengva padidės iki 4,6 %.</w:t>
            </w:r>
          </w:p>
          <w:p w14:paraId="55B82647" w14:textId="77777777" w:rsidR="00662DB5" w:rsidRPr="00EF0BB5" w:rsidRDefault="00662DB5" w:rsidP="008B7E2D">
            <w:pPr>
              <w:spacing w:after="0" w:line="240" w:lineRule="auto"/>
              <w:jc w:val="both"/>
              <w:rPr>
                <w:rStyle w:val="rynqvb"/>
                <w:rFonts w:ascii="Times New Roman" w:hAnsi="Times New Roman"/>
                <w:sz w:val="24"/>
                <w:szCs w:val="24"/>
              </w:rPr>
            </w:pPr>
            <w:r w:rsidRPr="00EF0BB5">
              <w:rPr>
                <w:rStyle w:val="rynqvb"/>
                <w:rFonts w:ascii="Times New Roman" w:hAnsi="Times New Roman"/>
                <w:sz w:val="24"/>
                <w:szCs w:val="24"/>
              </w:rPr>
              <w:t>Prognozuojama, kad infliacija, kuri, greičiausiai, pasiekė aukščiausią tašką 2022 m. pabaigoje, 2023 m. toliau mažės, nes mažės tiekimo grandinės ir prekių sąnaudų spaudimas.</w:t>
            </w:r>
            <w:r w:rsidRPr="00EF0BB5">
              <w:rPr>
                <w:rStyle w:val="hwtze"/>
                <w:rFonts w:ascii="Times New Roman" w:hAnsi="Times New Roman"/>
                <w:sz w:val="24"/>
                <w:szCs w:val="24"/>
              </w:rPr>
              <w:t xml:space="preserve"> 2023 m. pabaigoje infliacija turėtų siekti </w:t>
            </w:r>
            <w:r w:rsidRPr="00EF0BB5">
              <w:rPr>
                <w:rStyle w:val="rynqvb"/>
                <w:rFonts w:ascii="Times New Roman" w:hAnsi="Times New Roman"/>
                <w:sz w:val="24"/>
                <w:szCs w:val="24"/>
              </w:rPr>
              <w:t>5,2 %, 2024 m. viduryje 3,9 % ir 2024 metų pabaigoje 2,9 %.</w:t>
            </w:r>
          </w:p>
          <w:p w14:paraId="14A15D8B" w14:textId="77777777" w:rsidR="00662DB5" w:rsidRPr="00EF0BB5" w:rsidRDefault="00662DB5" w:rsidP="008B7E2D">
            <w:pPr>
              <w:spacing w:after="0" w:line="240" w:lineRule="auto"/>
              <w:jc w:val="both"/>
              <w:rPr>
                <w:rFonts w:ascii="Times New Roman" w:hAnsi="Times New Roman"/>
                <w:sz w:val="24"/>
                <w:szCs w:val="24"/>
              </w:rPr>
            </w:pPr>
            <w:r w:rsidRPr="00EF0BB5">
              <w:rPr>
                <w:rStyle w:val="rynqvb"/>
                <w:rFonts w:ascii="Times New Roman" w:hAnsi="Times New Roman"/>
                <w:sz w:val="24"/>
                <w:szCs w:val="24"/>
              </w:rPr>
              <w:t>Planuojamas namų ūkių išlaidų mažėjimas, to pagrindinė priežastis – būsto kainų augimas ir būsto kreditų kaštų didėjimas.</w:t>
            </w:r>
          </w:p>
          <w:p w14:paraId="0D8E589E" w14:textId="77777777" w:rsidR="00662DB5" w:rsidRPr="00EF0BB5" w:rsidRDefault="00662DB5" w:rsidP="008B7E2D">
            <w:pPr>
              <w:spacing w:after="0" w:line="240" w:lineRule="auto"/>
              <w:jc w:val="both"/>
              <w:rPr>
                <w:rFonts w:ascii="Times New Roman" w:hAnsi="Times New Roman"/>
                <w:b/>
                <w:bCs/>
                <w:sz w:val="24"/>
                <w:szCs w:val="24"/>
              </w:rPr>
            </w:pPr>
            <w:r w:rsidRPr="00EF0BB5">
              <w:rPr>
                <w:rFonts w:ascii="Times New Roman" w:hAnsi="Times New Roman"/>
                <w:b/>
                <w:bCs/>
                <w:sz w:val="24"/>
                <w:szCs w:val="24"/>
              </w:rPr>
              <w:t>Problemos ir rizikos, su kuriomis susiduria Australijos ūkis</w:t>
            </w:r>
          </w:p>
          <w:p w14:paraId="28EA64F0" w14:textId="77777777" w:rsidR="00662DB5" w:rsidRPr="00EF0BB5" w:rsidRDefault="00662DB5" w:rsidP="008B7E2D">
            <w:pPr>
              <w:spacing w:after="0" w:line="240" w:lineRule="auto"/>
              <w:jc w:val="both"/>
              <w:rPr>
                <w:rStyle w:val="rynqvb"/>
                <w:rFonts w:ascii="Times New Roman" w:hAnsi="Times New Roman"/>
                <w:sz w:val="24"/>
                <w:szCs w:val="24"/>
              </w:rPr>
            </w:pPr>
            <w:r w:rsidRPr="00EF0BB5">
              <w:rPr>
                <w:rStyle w:val="rynqvb"/>
                <w:rFonts w:ascii="Times New Roman" w:hAnsi="Times New Roman"/>
                <w:sz w:val="24"/>
                <w:szCs w:val="24"/>
              </w:rPr>
              <w:lastRenderedPageBreak/>
              <w:t>Infliacija, geopolitinis nestabilumas ir konfliktai bei augančios palūkanų normos vis dar yra trys didžiausios rizikos šalies ekonomikos augimui.</w:t>
            </w:r>
          </w:p>
          <w:p w14:paraId="432F263A" w14:textId="77777777" w:rsidR="00662DB5" w:rsidRPr="00EF0BB5" w:rsidRDefault="00662DB5" w:rsidP="008B7E2D">
            <w:pPr>
              <w:pStyle w:val="ListParagraph"/>
              <w:numPr>
                <w:ilvl w:val="0"/>
                <w:numId w:val="1"/>
              </w:numPr>
              <w:spacing w:after="0" w:line="240" w:lineRule="auto"/>
              <w:jc w:val="both"/>
              <w:rPr>
                <w:rStyle w:val="rynqvb"/>
                <w:rFonts w:ascii="Times New Roman" w:hAnsi="Times New Roman" w:cs="Times New Roman"/>
                <w:sz w:val="24"/>
                <w:szCs w:val="24"/>
              </w:rPr>
            </w:pPr>
            <w:r w:rsidRPr="00EF0BB5">
              <w:rPr>
                <w:rStyle w:val="rynqvb"/>
                <w:rFonts w:ascii="Times New Roman" w:hAnsi="Times New Roman" w:cs="Times New Roman"/>
                <w:sz w:val="24"/>
                <w:szCs w:val="24"/>
              </w:rPr>
              <w:t>Norint sumažinti infliaciją iki 2–3 % tikslinės ribos, reikės toliau griežtinti pinigų politiką. Australijos centrinis bankas tą ir daro: po 12 palūkanų normų pakėlimų iš eilės, po kurių palūkanų norma buvo padidinta nuo 0,1 % iki 4,1 % per šiek tiek daugiau nei metus, 2023-2024 metais tikimasi dar dviejų pakėlimų, tačiau po 2024 m. vidurio palūkanų norma turėtų imti mažėti. Australijos centrinis bankas prognozuoja, kad antiinfliacinių priemonių prireiks iki 2025 m. vidurio, kol infliacija pasieks 2–3 % ribą.</w:t>
            </w:r>
          </w:p>
          <w:p w14:paraId="02DA4D26" w14:textId="77777777" w:rsidR="00662DB5" w:rsidRPr="00EF0BB5" w:rsidRDefault="00662DB5" w:rsidP="008B7E2D">
            <w:pPr>
              <w:pStyle w:val="ListParagraph"/>
              <w:numPr>
                <w:ilvl w:val="0"/>
                <w:numId w:val="1"/>
              </w:numPr>
              <w:spacing w:after="0" w:line="240" w:lineRule="auto"/>
              <w:jc w:val="both"/>
              <w:rPr>
                <w:rStyle w:val="rynqvb"/>
                <w:rFonts w:ascii="Times New Roman" w:hAnsi="Times New Roman" w:cs="Times New Roman"/>
                <w:sz w:val="24"/>
                <w:szCs w:val="24"/>
              </w:rPr>
            </w:pPr>
            <w:r w:rsidRPr="00EF0BB5">
              <w:rPr>
                <w:rStyle w:val="rynqvb"/>
                <w:rFonts w:ascii="Times New Roman" w:hAnsi="Times New Roman" w:cs="Times New Roman"/>
                <w:sz w:val="24"/>
                <w:szCs w:val="24"/>
              </w:rPr>
              <w:t>Siekiant pagerinti viešųjų finansų tvarumą, šalyje reikalingos tolesnės fiskalinės reformos.</w:t>
            </w:r>
            <w:r w:rsidRPr="00EF0BB5">
              <w:rPr>
                <w:rStyle w:val="hwtze"/>
                <w:rFonts w:ascii="Times New Roman" w:hAnsi="Times New Roman" w:cs="Times New Roman"/>
                <w:sz w:val="24"/>
                <w:szCs w:val="24"/>
              </w:rPr>
              <w:t xml:space="preserve"> </w:t>
            </w:r>
            <w:r w:rsidRPr="00EF0BB5">
              <w:rPr>
                <w:rStyle w:val="rynqvb"/>
                <w:rFonts w:ascii="Times New Roman" w:hAnsi="Times New Roman" w:cs="Times New Roman"/>
                <w:sz w:val="24"/>
                <w:szCs w:val="24"/>
              </w:rPr>
              <w:t>Su visuomenės senėjimu susijęs išlaidų spaudimas sustiprės, o tai lems nuolatinį fiskalinį deficitą esant dabartinei politikai. Dėl federalinio biudžeto deficito valstijų vyriausybės turės priimti sudėtingus sprendimus dėl pajamų ir išlaidų, atsižvelgiant į didėjančios skolos aptarnavimo išlaidų augimą, taip pat į sveikatos priežiūros, pensinio amžiaus reformos ir gynybos išlaidas.</w:t>
            </w:r>
          </w:p>
          <w:p w14:paraId="0BCE68A0" w14:textId="77777777" w:rsidR="00662DB5" w:rsidRPr="00EF0BB5" w:rsidRDefault="00662DB5" w:rsidP="008B7E2D">
            <w:pPr>
              <w:pStyle w:val="ListParagraph"/>
              <w:numPr>
                <w:ilvl w:val="0"/>
                <w:numId w:val="1"/>
              </w:numPr>
              <w:spacing w:after="0" w:line="240" w:lineRule="auto"/>
              <w:jc w:val="both"/>
              <w:rPr>
                <w:rFonts w:ascii="Times New Roman" w:hAnsi="Times New Roman" w:cs="Times New Roman"/>
                <w:sz w:val="24"/>
                <w:szCs w:val="24"/>
              </w:rPr>
            </w:pPr>
            <w:r w:rsidRPr="00EF0BB5">
              <w:rPr>
                <w:rFonts w:ascii="Times New Roman" w:hAnsi="Times New Roman" w:cs="Times New Roman"/>
                <w:sz w:val="24"/>
                <w:szCs w:val="24"/>
              </w:rPr>
              <w:t xml:space="preserve">Netolygus Kinijos atsigavimas po COVID-19 apribojimų kelia netikrumą dėl Australijos eksporto paklausos perspektyvų ir pagrindinių Australijos eksporto prekių kainų. Sumažėjus gyvenamojo nekilnojamojo turto paklausai Kinijoje, tai gali lemti dar didesnį investicijų į nekilnojamąjį turtą nuosmukį ir mažesnę plieno paklausą. Jei vartojimo tendencijos Kinijoje negerės, tai kels papildomą </w:t>
            </w:r>
            <w:r w:rsidRPr="00EF0BB5">
              <w:rPr>
                <w:rFonts w:ascii="Times New Roman" w:hAnsi="Times New Roman" w:cs="Times New Roman"/>
                <w:sz w:val="24"/>
                <w:szCs w:val="24"/>
              </w:rPr>
              <w:lastRenderedPageBreak/>
              <w:t>riziką Australijos eksportui į Kiniją, įskaitant švietimo ir turizmo paslaugas, taip pat vartojimo prekes.</w:t>
            </w:r>
          </w:p>
          <w:p w14:paraId="08906FFD" w14:textId="77777777" w:rsidR="00662DB5" w:rsidRPr="00EF0BB5" w:rsidRDefault="00662DB5" w:rsidP="008B7E2D">
            <w:pPr>
              <w:pStyle w:val="ListParagraph"/>
              <w:numPr>
                <w:ilvl w:val="0"/>
                <w:numId w:val="1"/>
              </w:numPr>
              <w:spacing w:after="0" w:line="240" w:lineRule="auto"/>
              <w:ind w:right="85"/>
              <w:jc w:val="both"/>
              <w:rPr>
                <w:rFonts w:ascii="Times New Roman" w:hAnsi="Times New Roman" w:cs="Times New Roman"/>
                <w:sz w:val="24"/>
                <w:szCs w:val="24"/>
              </w:rPr>
            </w:pPr>
            <w:r w:rsidRPr="00EF0BB5">
              <w:rPr>
                <w:rStyle w:val="rynqvb"/>
                <w:rFonts w:ascii="Times New Roman" w:hAnsi="Times New Roman" w:cs="Times New Roman"/>
                <w:sz w:val="24"/>
                <w:szCs w:val="24"/>
              </w:rPr>
              <w:t>Australijos namų ūkių vartojimo perspektyvos tebėra pagrindinis vidaus neapibrėžtumas.</w:t>
            </w:r>
            <w:r w:rsidRPr="00EF0BB5">
              <w:rPr>
                <w:rStyle w:val="hwtze"/>
                <w:rFonts w:ascii="Times New Roman" w:hAnsi="Times New Roman" w:cs="Times New Roman"/>
                <w:sz w:val="24"/>
                <w:szCs w:val="24"/>
              </w:rPr>
              <w:t xml:space="preserve"> </w:t>
            </w:r>
            <w:r w:rsidRPr="00EF0BB5">
              <w:rPr>
                <w:rStyle w:val="rynqvb"/>
                <w:rFonts w:ascii="Times New Roman" w:hAnsi="Times New Roman" w:cs="Times New Roman"/>
                <w:sz w:val="24"/>
                <w:szCs w:val="24"/>
              </w:rPr>
              <w:t>Daugelis namų ūkių per pandemiją sukaupė rezervų, kuriais galėtų pasinaudoti dabartinėje aplinkoje ir</w:t>
            </w:r>
            <w:r w:rsidRPr="00EF0BB5">
              <w:rPr>
                <w:rStyle w:val="hwtze"/>
                <w:rFonts w:ascii="Times New Roman" w:hAnsi="Times New Roman" w:cs="Times New Roman"/>
                <w:sz w:val="24"/>
                <w:szCs w:val="24"/>
              </w:rPr>
              <w:t xml:space="preserve"> </w:t>
            </w:r>
            <w:r w:rsidRPr="00EF0BB5">
              <w:rPr>
                <w:rStyle w:val="rynqvb"/>
                <w:rFonts w:ascii="Times New Roman" w:hAnsi="Times New Roman" w:cs="Times New Roman"/>
                <w:sz w:val="24"/>
                <w:szCs w:val="24"/>
              </w:rPr>
              <w:t xml:space="preserve">išlaidos gali būti didesnės nei tikėtasi. </w:t>
            </w:r>
            <w:r w:rsidRPr="00EF0BB5">
              <w:rPr>
                <w:rFonts w:ascii="Times New Roman" w:hAnsi="Times New Roman" w:cs="Times New Roman"/>
                <w:sz w:val="24"/>
                <w:szCs w:val="24"/>
              </w:rPr>
              <w:t>Kita vertus silpnas namų ūkių vartojimas gali išlikti ilgiau nei tikėtasi tuo atveju, jei realiosios pajamos ir toliau augs vangiai. Ypač tai aktualu mažas pajamas gaunantiems namų ūkiams.</w:t>
            </w:r>
          </w:p>
          <w:p w14:paraId="2824E750" w14:textId="77777777" w:rsidR="00662DB5" w:rsidRPr="00EF0BB5" w:rsidRDefault="00662DB5" w:rsidP="008B7E2D">
            <w:pPr>
              <w:pStyle w:val="ListParagraph"/>
              <w:numPr>
                <w:ilvl w:val="0"/>
                <w:numId w:val="1"/>
              </w:numPr>
              <w:spacing w:after="0" w:line="240" w:lineRule="auto"/>
              <w:ind w:right="85"/>
              <w:jc w:val="both"/>
              <w:rPr>
                <w:rFonts w:ascii="Times New Roman" w:hAnsi="Times New Roman" w:cs="Times New Roman"/>
                <w:sz w:val="24"/>
                <w:szCs w:val="24"/>
              </w:rPr>
            </w:pPr>
            <w:r w:rsidRPr="00EF0BB5">
              <w:rPr>
                <w:rStyle w:val="rynqvb"/>
                <w:rFonts w:ascii="Times New Roman" w:hAnsi="Times New Roman" w:cs="Times New Roman"/>
                <w:sz w:val="24"/>
                <w:szCs w:val="24"/>
              </w:rPr>
              <w:t>Migracijos reforma yra labai svarbi siekiant išspręsti darbo jėgos (ypač kvalifikuotos) trūkumą pagrindiniuose Australijos augimo sektoriuose, ypač plėtojant viešąją infrastruktūrą ir atsinaujinančios energijos išteklius.</w:t>
            </w:r>
          </w:p>
          <w:p w14:paraId="3201E2C9" w14:textId="76A7CE92" w:rsidR="00662DB5" w:rsidRPr="00EF0BB5" w:rsidRDefault="00662DB5" w:rsidP="008B7E2D">
            <w:pPr>
              <w:spacing w:after="0" w:line="240" w:lineRule="auto"/>
              <w:rPr>
                <w:rFonts w:ascii="Times New Roman" w:hAnsi="Times New Roman"/>
                <w:sz w:val="24"/>
                <w:szCs w:val="24"/>
              </w:rPr>
            </w:pPr>
            <w:r w:rsidRPr="00EF0BB5">
              <w:rPr>
                <w:rStyle w:val="rynqvb"/>
                <w:rFonts w:ascii="Times New Roman" w:hAnsi="Times New Roman"/>
                <w:sz w:val="24"/>
                <w:szCs w:val="24"/>
              </w:rPr>
              <w:t>Kad Australija iki 2050 m. galėtų pasiekti net-</w:t>
            </w:r>
            <w:proofErr w:type="spellStart"/>
            <w:r w:rsidRPr="00EF0BB5">
              <w:rPr>
                <w:rStyle w:val="rynqvb"/>
                <w:rFonts w:ascii="Times New Roman" w:hAnsi="Times New Roman"/>
                <w:sz w:val="24"/>
                <w:szCs w:val="24"/>
              </w:rPr>
              <w:t>zero</w:t>
            </w:r>
            <w:proofErr w:type="spellEnd"/>
            <w:r>
              <w:rPr>
                <w:rStyle w:val="rynqvb"/>
                <w:rFonts w:ascii="Times New Roman" w:hAnsi="Times New Roman"/>
                <w:sz w:val="24"/>
                <w:szCs w:val="24"/>
              </w:rPr>
              <w:t xml:space="preserve"> (vyriausybė kelia sau tokį tikslą)</w:t>
            </w:r>
            <w:r w:rsidRPr="00EF0BB5">
              <w:rPr>
                <w:rStyle w:val="rynqvb"/>
                <w:rFonts w:ascii="Times New Roman" w:hAnsi="Times New Roman"/>
                <w:sz w:val="24"/>
                <w:szCs w:val="24"/>
              </w:rPr>
              <w:t>, būtinas energetinis virsmas visuose ūkio sektoriuose, įskaitant pramonę, transportą, žemės ūkį ir buitinį vartojimą.</w:t>
            </w:r>
          </w:p>
        </w:tc>
        <w:tc>
          <w:tcPr>
            <w:tcW w:w="2219" w:type="dxa"/>
            <w:shd w:val="clear" w:color="auto" w:fill="auto"/>
            <w:tcMar>
              <w:top w:w="29" w:type="dxa"/>
              <w:left w:w="115" w:type="dxa"/>
              <w:bottom w:w="29" w:type="dxa"/>
              <w:right w:w="115" w:type="dxa"/>
            </w:tcMar>
          </w:tcPr>
          <w:p w14:paraId="0D6605D3" w14:textId="4D961C5D" w:rsidR="00662DB5" w:rsidRPr="004D24F4" w:rsidRDefault="00662DB5" w:rsidP="00662DB5">
            <w:pPr>
              <w:spacing w:after="0" w:line="240" w:lineRule="auto"/>
              <w:rPr>
                <w:rFonts w:ascii="Times New Roman" w:hAnsi="Times New Roman"/>
                <w:sz w:val="24"/>
                <w:szCs w:val="24"/>
                <w:lang w:val="en-US"/>
              </w:rPr>
            </w:pPr>
            <w:r w:rsidRPr="00EF0BB5">
              <w:rPr>
                <w:rFonts w:ascii="Times New Roman" w:hAnsi="Times New Roman"/>
                <w:sz w:val="24"/>
                <w:szCs w:val="24"/>
              </w:rPr>
              <w:lastRenderedPageBreak/>
              <w:t xml:space="preserve">Australijos centrinis bankas, ekonomikos ekspertai, </w:t>
            </w:r>
            <w:proofErr w:type="spellStart"/>
            <w:r w:rsidRPr="00EF0BB5">
              <w:rPr>
                <w:rFonts w:ascii="Times New Roman" w:hAnsi="Times New Roman"/>
                <w:sz w:val="24"/>
                <w:szCs w:val="24"/>
              </w:rPr>
              <w:t>think</w:t>
            </w:r>
            <w:proofErr w:type="spellEnd"/>
            <w:r w:rsidRPr="00EF0BB5">
              <w:rPr>
                <w:rFonts w:ascii="Times New Roman" w:hAnsi="Times New Roman"/>
                <w:sz w:val="24"/>
                <w:szCs w:val="24"/>
              </w:rPr>
              <w:t>-tankai</w:t>
            </w:r>
          </w:p>
        </w:tc>
        <w:tc>
          <w:tcPr>
            <w:tcW w:w="2413" w:type="dxa"/>
            <w:shd w:val="clear" w:color="auto" w:fill="auto"/>
            <w:tcMar>
              <w:top w:w="29" w:type="dxa"/>
              <w:left w:w="115" w:type="dxa"/>
              <w:bottom w:w="29" w:type="dxa"/>
              <w:right w:w="115" w:type="dxa"/>
            </w:tcMar>
          </w:tcPr>
          <w:p w14:paraId="1DFA2A19"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06C07EBA" w14:textId="77777777" w:rsidTr="00662DB5">
        <w:trPr>
          <w:trHeight w:val="216"/>
        </w:trPr>
        <w:tc>
          <w:tcPr>
            <w:tcW w:w="1043" w:type="dxa"/>
            <w:shd w:val="clear" w:color="auto" w:fill="auto"/>
            <w:tcMar>
              <w:top w:w="29" w:type="dxa"/>
              <w:left w:w="115" w:type="dxa"/>
              <w:bottom w:w="29" w:type="dxa"/>
              <w:right w:w="115" w:type="dxa"/>
            </w:tcMar>
          </w:tcPr>
          <w:p w14:paraId="755CF69D"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0A6DD61B"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32BB8108"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E51E4B9"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6BD806BE" w14:textId="77777777" w:rsidTr="00662DB5">
        <w:trPr>
          <w:trHeight w:val="216"/>
        </w:trPr>
        <w:tc>
          <w:tcPr>
            <w:tcW w:w="9628" w:type="dxa"/>
            <w:gridSpan w:val="4"/>
            <w:shd w:val="clear" w:color="auto" w:fill="auto"/>
            <w:tcMar>
              <w:top w:w="29" w:type="dxa"/>
              <w:left w:w="115" w:type="dxa"/>
              <w:bottom w:w="29" w:type="dxa"/>
              <w:right w:w="115" w:type="dxa"/>
            </w:tcMar>
          </w:tcPr>
          <w:p w14:paraId="21CA602B" w14:textId="77777777" w:rsidR="00662DB5" w:rsidRPr="00EF0BB5" w:rsidRDefault="00662DB5" w:rsidP="00662DB5">
            <w:pPr>
              <w:spacing w:after="0" w:line="240" w:lineRule="auto"/>
              <w:rPr>
                <w:rFonts w:ascii="Times New Roman" w:hAnsi="Times New Roman"/>
                <w:sz w:val="24"/>
                <w:szCs w:val="24"/>
              </w:rPr>
            </w:pPr>
            <w:r w:rsidRPr="00EF0BB5">
              <w:rPr>
                <w:rFonts w:ascii="Times New Roman" w:hAnsi="Times New Roman"/>
                <w:sz w:val="24"/>
                <w:szCs w:val="24"/>
              </w:rPr>
              <w:t>Kita ekonominiam bendradarbiavimui aktuali informacija</w:t>
            </w:r>
          </w:p>
        </w:tc>
      </w:tr>
      <w:tr w:rsidR="00662DB5" w:rsidRPr="00EF0BB5" w14:paraId="60DEC917" w14:textId="77777777" w:rsidTr="00662DB5">
        <w:trPr>
          <w:trHeight w:val="216"/>
        </w:trPr>
        <w:tc>
          <w:tcPr>
            <w:tcW w:w="1043" w:type="dxa"/>
            <w:shd w:val="clear" w:color="auto" w:fill="auto"/>
            <w:tcMar>
              <w:top w:w="29" w:type="dxa"/>
              <w:left w:w="115" w:type="dxa"/>
              <w:bottom w:w="29" w:type="dxa"/>
              <w:right w:w="115" w:type="dxa"/>
            </w:tcMar>
          </w:tcPr>
          <w:p w14:paraId="59879EE8"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42E81C19" w14:textId="60525736" w:rsidR="00662DB5" w:rsidRPr="00EF0BB5" w:rsidRDefault="008B7E2D" w:rsidP="00662DB5">
            <w:pPr>
              <w:spacing w:after="0" w:line="240" w:lineRule="auto"/>
              <w:rPr>
                <w:rFonts w:ascii="Times New Roman" w:hAnsi="Times New Roman"/>
                <w:sz w:val="24"/>
                <w:szCs w:val="24"/>
              </w:rPr>
            </w:pPr>
            <w:r>
              <w:rPr>
                <w:rFonts w:ascii="Times New Roman" w:hAnsi="Times New Roman"/>
                <w:sz w:val="24"/>
                <w:szCs w:val="24"/>
              </w:rPr>
              <w:t>-</w:t>
            </w:r>
          </w:p>
        </w:tc>
        <w:tc>
          <w:tcPr>
            <w:tcW w:w="2219" w:type="dxa"/>
            <w:shd w:val="clear" w:color="auto" w:fill="auto"/>
            <w:tcMar>
              <w:top w:w="29" w:type="dxa"/>
              <w:left w:w="115" w:type="dxa"/>
              <w:bottom w:w="29" w:type="dxa"/>
              <w:right w:w="115" w:type="dxa"/>
            </w:tcMar>
          </w:tcPr>
          <w:p w14:paraId="5D8AC18C"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2F30093A" w14:textId="77777777" w:rsidR="00662DB5" w:rsidRPr="00EF0BB5" w:rsidRDefault="00662DB5" w:rsidP="00662DB5">
            <w:pPr>
              <w:spacing w:after="0" w:line="240" w:lineRule="auto"/>
              <w:rPr>
                <w:rFonts w:ascii="Times New Roman" w:hAnsi="Times New Roman"/>
                <w:sz w:val="24"/>
                <w:szCs w:val="24"/>
              </w:rPr>
            </w:pPr>
          </w:p>
        </w:tc>
      </w:tr>
      <w:tr w:rsidR="00662DB5" w:rsidRPr="00EF0BB5" w14:paraId="6955C339" w14:textId="77777777" w:rsidTr="00662DB5">
        <w:trPr>
          <w:trHeight w:val="216"/>
        </w:trPr>
        <w:tc>
          <w:tcPr>
            <w:tcW w:w="1043" w:type="dxa"/>
            <w:shd w:val="clear" w:color="auto" w:fill="auto"/>
            <w:tcMar>
              <w:top w:w="29" w:type="dxa"/>
              <w:left w:w="115" w:type="dxa"/>
              <w:bottom w:w="29" w:type="dxa"/>
              <w:right w:w="115" w:type="dxa"/>
            </w:tcMar>
          </w:tcPr>
          <w:p w14:paraId="5DD55B15" w14:textId="77777777" w:rsidR="00662DB5" w:rsidRPr="00EF0BB5" w:rsidRDefault="00662DB5" w:rsidP="00662DB5">
            <w:pPr>
              <w:spacing w:after="0" w:line="240" w:lineRule="auto"/>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5D142BC3" w14:textId="77777777" w:rsidR="00662DB5" w:rsidRPr="00EF0BB5" w:rsidRDefault="00662DB5" w:rsidP="00662DB5">
            <w:pPr>
              <w:spacing w:after="0" w:line="240" w:lineRule="auto"/>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69DFD0B2" w14:textId="77777777" w:rsidR="00662DB5" w:rsidRPr="00EF0BB5" w:rsidRDefault="00662DB5" w:rsidP="00662DB5">
            <w:pPr>
              <w:spacing w:after="0" w:line="240" w:lineRule="auto"/>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4A563C57" w14:textId="77777777" w:rsidR="00662DB5" w:rsidRPr="00EF0BB5" w:rsidRDefault="00662DB5" w:rsidP="00662DB5">
            <w:pPr>
              <w:spacing w:after="0" w:line="240" w:lineRule="auto"/>
              <w:rPr>
                <w:rFonts w:ascii="Times New Roman" w:hAnsi="Times New Roman"/>
                <w:sz w:val="24"/>
                <w:szCs w:val="24"/>
              </w:rPr>
            </w:pPr>
          </w:p>
        </w:tc>
      </w:tr>
    </w:tbl>
    <w:p w14:paraId="1A2F57F2" w14:textId="77777777" w:rsidR="00AA3CE3" w:rsidRPr="00EF0BB5" w:rsidRDefault="00AA3CE3" w:rsidP="00AA3CE3">
      <w:pPr>
        <w:spacing w:after="0" w:line="240" w:lineRule="auto"/>
        <w:rPr>
          <w:rFonts w:ascii="Times New Roman" w:hAnsi="Times New Roman"/>
          <w:sz w:val="24"/>
          <w:szCs w:val="24"/>
        </w:rPr>
      </w:pPr>
    </w:p>
    <w:p w14:paraId="254DAA85" w14:textId="253F7AFB" w:rsidR="00AA3CE3" w:rsidRPr="00EF0BB5" w:rsidRDefault="00AA3CE3" w:rsidP="00AA3CE3">
      <w:pPr>
        <w:spacing w:after="0" w:line="240" w:lineRule="auto"/>
        <w:rPr>
          <w:rFonts w:ascii="Times New Roman" w:hAnsi="Times New Roman"/>
          <w:sz w:val="24"/>
          <w:szCs w:val="24"/>
        </w:rPr>
      </w:pPr>
      <w:r w:rsidRPr="00EF0BB5">
        <w:rPr>
          <w:rFonts w:ascii="Times New Roman" w:hAnsi="Times New Roman"/>
          <w:sz w:val="24"/>
          <w:szCs w:val="24"/>
        </w:rPr>
        <w:t>Rengėjas:</w:t>
      </w:r>
    </w:p>
    <w:p w14:paraId="2F936E5C" w14:textId="58958707" w:rsidR="00AA3CE3" w:rsidRDefault="004D24F4" w:rsidP="00AA3CE3">
      <w:pPr>
        <w:spacing w:after="0" w:line="240" w:lineRule="auto"/>
        <w:rPr>
          <w:rFonts w:ascii="Times New Roman" w:hAnsi="Times New Roman"/>
          <w:sz w:val="24"/>
          <w:szCs w:val="24"/>
          <w:lang w:val="en-US"/>
        </w:rPr>
      </w:pPr>
      <w:r>
        <w:rPr>
          <w:rFonts w:ascii="Times New Roman" w:hAnsi="Times New Roman"/>
          <w:sz w:val="24"/>
          <w:szCs w:val="24"/>
        </w:rPr>
        <w:t xml:space="preserve">Pirmasis sekretorius Minijus </w:t>
      </w:r>
      <w:proofErr w:type="spellStart"/>
      <w:r>
        <w:rPr>
          <w:rFonts w:ascii="Times New Roman" w:hAnsi="Times New Roman"/>
          <w:sz w:val="24"/>
          <w:szCs w:val="24"/>
        </w:rPr>
        <w:t>Samuila</w:t>
      </w:r>
      <w:proofErr w:type="spellEnd"/>
      <w:r w:rsidRPr="00863D6E">
        <w:rPr>
          <w:rFonts w:ascii="Times New Roman" w:hAnsi="Times New Roman"/>
          <w:sz w:val="24"/>
          <w:szCs w:val="24"/>
        </w:rPr>
        <w:t>, +</w:t>
      </w:r>
      <w:r w:rsidR="00863D6E" w:rsidRPr="00863D6E">
        <w:rPr>
          <w:rFonts w:ascii="Times New Roman" w:hAnsi="Times New Roman"/>
          <w:sz w:val="24"/>
          <w:szCs w:val="24"/>
        </w:rPr>
        <w:t>37070653047</w:t>
      </w:r>
      <w:r>
        <w:rPr>
          <w:rFonts w:ascii="Times New Roman" w:hAnsi="Times New Roman"/>
          <w:sz w:val="24"/>
          <w:szCs w:val="24"/>
        </w:rPr>
        <w:t xml:space="preserve">, </w:t>
      </w:r>
      <w:hyperlink r:id="rId5" w:history="1">
        <w:r w:rsidRPr="002B0828">
          <w:rPr>
            <w:rStyle w:val="Hyperlink"/>
            <w:rFonts w:ascii="Times New Roman" w:hAnsi="Times New Roman"/>
            <w:sz w:val="24"/>
            <w:szCs w:val="24"/>
          </w:rPr>
          <w:t>minijus.samuila</w:t>
        </w:r>
        <w:r w:rsidRPr="002B0828">
          <w:rPr>
            <w:rStyle w:val="Hyperlink"/>
            <w:rFonts w:ascii="Times New Roman" w:hAnsi="Times New Roman"/>
            <w:sz w:val="24"/>
            <w:szCs w:val="24"/>
            <w:lang w:val="en-US"/>
          </w:rPr>
          <w:t>@urm.lt</w:t>
        </w:r>
      </w:hyperlink>
    </w:p>
    <w:p w14:paraId="7F5DF327" w14:textId="77777777" w:rsidR="00AA3CE3" w:rsidRPr="00EF0BB5" w:rsidRDefault="00AA3CE3" w:rsidP="00AA3CE3">
      <w:pPr>
        <w:spacing w:after="0" w:line="240" w:lineRule="auto"/>
        <w:jc w:val="center"/>
        <w:rPr>
          <w:rFonts w:ascii="Times New Roman" w:eastAsia="Times New Roman" w:hAnsi="Times New Roman"/>
          <w:color w:val="000000"/>
          <w:sz w:val="24"/>
          <w:szCs w:val="24"/>
          <w:lang w:eastAsia="lt-LT"/>
        </w:rPr>
      </w:pPr>
      <w:r w:rsidRPr="00EF0BB5">
        <w:rPr>
          <w:rFonts w:ascii="Times New Roman" w:eastAsia="Times New Roman" w:hAnsi="Times New Roman"/>
          <w:color w:val="000000"/>
          <w:sz w:val="24"/>
          <w:szCs w:val="24"/>
          <w:lang w:eastAsia="lt-LT"/>
        </w:rPr>
        <w:t>_________________________</w:t>
      </w:r>
    </w:p>
    <w:p w14:paraId="52461375" w14:textId="77777777" w:rsidR="00AA3CE3" w:rsidRPr="00EF0BB5" w:rsidRDefault="00AA3CE3" w:rsidP="00AA3CE3">
      <w:pPr>
        <w:spacing w:after="0" w:line="240" w:lineRule="auto"/>
        <w:jc w:val="both"/>
        <w:rPr>
          <w:rFonts w:ascii="Times New Roman" w:hAnsi="Times New Roman"/>
          <w:sz w:val="24"/>
          <w:szCs w:val="24"/>
        </w:rPr>
        <w:sectPr w:rsidR="00AA3CE3" w:rsidRPr="00EF0BB5" w:rsidSect="00C75025">
          <w:pgSz w:w="11906" w:h="16838"/>
          <w:pgMar w:top="1134" w:right="567" w:bottom="1134" w:left="1701" w:header="567" w:footer="567" w:gutter="0"/>
          <w:pgNumType w:start="1"/>
          <w:cols w:space="1296"/>
          <w:titlePg/>
          <w:docGrid w:linePitch="360"/>
        </w:sectPr>
      </w:pPr>
    </w:p>
    <w:p w14:paraId="12784B7E" w14:textId="77777777" w:rsidR="007D3E81" w:rsidRPr="00EF0BB5" w:rsidRDefault="007D3E81">
      <w:pPr>
        <w:rPr>
          <w:rFonts w:ascii="Times New Roman" w:hAnsi="Times New Roman"/>
          <w:sz w:val="24"/>
          <w:szCs w:val="24"/>
        </w:rPr>
      </w:pPr>
    </w:p>
    <w:sectPr w:rsidR="007D3E81" w:rsidRPr="00EF0B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6F9"/>
    <w:multiLevelType w:val="hybridMultilevel"/>
    <w:tmpl w:val="9E2A35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0836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E3"/>
    <w:rsid w:val="004D24F4"/>
    <w:rsid w:val="00662DB5"/>
    <w:rsid w:val="007D3E81"/>
    <w:rsid w:val="00863D6E"/>
    <w:rsid w:val="008B7E2D"/>
    <w:rsid w:val="00AA3CE3"/>
    <w:rsid w:val="00C55867"/>
    <w:rsid w:val="00D61E60"/>
    <w:rsid w:val="00EF0BB5"/>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0C97"/>
  <w15:chartTrackingRefBased/>
  <w15:docId w15:val="{C3DCDB29-971E-418A-9D16-FCF939EF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E3"/>
    <w:pPr>
      <w:spacing w:after="200" w:line="276" w:lineRule="auto"/>
    </w:pPr>
    <w:rPr>
      <w:rFonts w:ascii="Calibri" w:eastAsia="Calibri" w:hAnsi="Calibri" w:cs="Times New Roman"/>
      <w:kern w:val="0"/>
      <w:lang w:eastAsia="en-US"/>
      <w14:ligatures w14:val="none"/>
    </w:rPr>
  </w:style>
  <w:style w:type="paragraph" w:styleId="Heading1">
    <w:name w:val="heading 1"/>
    <w:basedOn w:val="Normal"/>
    <w:next w:val="Normal"/>
    <w:link w:val="Heading1Char"/>
    <w:qFormat/>
    <w:rsid w:val="00AA3CE3"/>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CE3"/>
    <w:rPr>
      <w:rFonts w:ascii="Garamond" w:eastAsia="Times New Roman" w:hAnsi="Garamond" w:cs="Arial"/>
      <w:caps/>
      <w:color w:val="4F6228"/>
      <w:kern w:val="0"/>
      <w:sz w:val="16"/>
      <w:szCs w:val="32"/>
      <w:lang w:val="en-US" w:eastAsia="en-US"/>
      <w14:ligatures w14:val="none"/>
    </w:rPr>
  </w:style>
  <w:style w:type="character" w:customStyle="1" w:styleId="hwtze">
    <w:name w:val="hwtze"/>
    <w:basedOn w:val="DefaultParagraphFont"/>
    <w:rsid w:val="00EF0BB5"/>
  </w:style>
  <w:style w:type="character" w:customStyle="1" w:styleId="rynqvb">
    <w:name w:val="rynqvb"/>
    <w:basedOn w:val="DefaultParagraphFont"/>
    <w:rsid w:val="00EF0BB5"/>
  </w:style>
  <w:style w:type="paragraph" w:styleId="ListParagraph">
    <w:name w:val="List Paragraph"/>
    <w:basedOn w:val="Normal"/>
    <w:uiPriority w:val="34"/>
    <w:qFormat/>
    <w:rsid w:val="00EF0BB5"/>
    <w:pPr>
      <w:spacing w:after="160" w:line="259" w:lineRule="auto"/>
      <w:ind w:left="720"/>
      <w:contextualSpacing/>
    </w:pPr>
    <w:rPr>
      <w:rFonts w:asciiTheme="minorHAnsi" w:eastAsiaTheme="minorEastAsia" w:hAnsiTheme="minorHAnsi" w:cstheme="minorBidi"/>
      <w:kern w:val="2"/>
      <w:lang w:eastAsia="zh-TW"/>
      <w14:ligatures w14:val="standardContextual"/>
    </w:rPr>
  </w:style>
  <w:style w:type="character" w:styleId="Hyperlink">
    <w:name w:val="Hyperlink"/>
    <w:basedOn w:val="DefaultParagraphFont"/>
    <w:uiPriority w:val="99"/>
    <w:unhideWhenUsed/>
    <w:rsid w:val="004D24F4"/>
    <w:rPr>
      <w:color w:val="0563C1" w:themeColor="hyperlink"/>
      <w:u w:val="single"/>
    </w:rPr>
  </w:style>
  <w:style w:type="character" w:styleId="UnresolvedMention">
    <w:name w:val="Unresolved Mention"/>
    <w:basedOn w:val="DefaultParagraphFont"/>
    <w:uiPriority w:val="99"/>
    <w:semiHidden/>
    <w:unhideWhenUsed/>
    <w:rsid w:val="004D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ijus.samuila@ur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5035</Words>
  <Characters>2870</Characters>
  <Application>Microsoft Office Word</Application>
  <DocSecurity>0</DocSecurity>
  <Lines>23</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Minijus SAMUILA</dc:creator>
  <cp:keywords/>
  <dc:description/>
  <cp:lastModifiedBy>Minijus SAMUILA</cp:lastModifiedBy>
  <cp:revision>7</cp:revision>
  <dcterms:created xsi:type="dcterms:W3CDTF">2023-09-04T23:16:00Z</dcterms:created>
  <dcterms:modified xsi:type="dcterms:W3CDTF">2023-09-06T01:08:00Z</dcterms:modified>
</cp:coreProperties>
</file>